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As filed with the Securities and Exchange Commission on September 17, 2020.</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333-248559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jc w:val="center"/>
        <w:spacing w:after="0" w:line="234" w:lineRule="auto"/>
        <w:rPr>
          <w:sz w:val="20"/>
          <w:szCs w:val="20"/>
          <w:color w:val="auto"/>
        </w:rPr>
      </w:pPr>
      <w:r>
        <w:rPr>
          <w:rFonts w:ascii="Arial" w:cs="Arial" w:eastAsia="Arial" w:hAnsi="Arial"/>
          <w:sz w:val="18"/>
          <w:szCs w:val="18"/>
          <w:b w:val="1"/>
          <w:bCs w:val="1"/>
          <w:color w:val="auto"/>
        </w:rPr>
        <w:t>FORM S-1</w:t>
      </w:r>
    </w:p>
    <w:p>
      <w:pPr>
        <w:jc w:val="center"/>
        <w:spacing w:after="0" w:line="235" w:lineRule="auto"/>
        <w:rPr>
          <w:sz w:val="20"/>
          <w:szCs w:val="20"/>
          <w:color w:val="auto"/>
        </w:rPr>
      </w:pPr>
      <w:r>
        <w:rPr>
          <w:rFonts w:ascii="Arial" w:cs="Arial" w:eastAsia="Arial" w:hAnsi="Arial"/>
          <w:sz w:val="18"/>
          <w:szCs w:val="18"/>
          <w:b w:val="1"/>
          <w:bCs w:val="1"/>
          <w:color w:val="auto"/>
        </w:rPr>
        <w:t>REGISTRATION STATEMENT</w:t>
      </w:r>
    </w:p>
    <w:p>
      <w:pPr>
        <w:jc w:val="center"/>
        <w:spacing w:after="0" w:line="235" w:lineRule="auto"/>
        <w:rPr>
          <w:sz w:val="20"/>
          <w:szCs w:val="20"/>
          <w:color w:val="auto"/>
        </w:rPr>
      </w:pPr>
      <w:r>
        <w:rPr>
          <w:rFonts w:ascii="Arial" w:cs="Arial" w:eastAsia="Arial" w:hAnsi="Arial"/>
          <w:sz w:val="18"/>
          <w:szCs w:val="18"/>
          <w:b w:val="1"/>
          <w:bCs w:val="1"/>
          <w:color w:val="auto"/>
        </w:rPr>
        <w:t>UNDER</w:t>
      </w: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Taysha Gene Therapies,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03" w:lineRule="exact"/>
        <w:rPr>
          <w:sz w:val="24"/>
          <w:szCs w:val="24"/>
          <w:color w:val="auto"/>
        </w:rPr>
      </w:pPr>
    </w:p>
    <w:tbl>
      <w:tblPr>
        <w:tblLayout w:type="fixed"/>
        <w:tblInd w:w="980" w:type="dxa"/>
        <w:tblCellMar>
          <w:top w:w="0" w:type="dxa"/>
          <w:left w:w="0" w:type="dxa"/>
          <w:bottom w:w="0" w:type="dxa"/>
          <w:right w:w="0" w:type="dxa"/>
        </w:tblCellMar>
      </w:tblPr>
      <w:tr>
        <w:trPr>
          <w:trHeight w:val="164"/>
        </w:trPr>
        <w:tc>
          <w:tcPr>
            <w:tcW w:w="2860" w:type="dxa"/>
            <w:vAlign w:val="bottom"/>
          </w:tcPr>
          <w:p>
            <w:pPr>
              <w:jc w:val="center"/>
              <w:ind w:right="928"/>
              <w:spacing w:after="0"/>
              <w:rPr>
                <w:sz w:val="20"/>
                <w:szCs w:val="20"/>
                <w:color w:val="auto"/>
              </w:rPr>
            </w:pPr>
            <w:r>
              <w:rPr>
                <w:rFonts w:ascii="Arial" w:cs="Arial" w:eastAsia="Arial" w:hAnsi="Arial"/>
                <w:sz w:val="14"/>
                <w:szCs w:val="14"/>
                <w:b w:val="1"/>
                <w:bCs w:val="1"/>
                <w:color w:val="auto"/>
              </w:rPr>
              <w:t>Delaware</w:t>
            </w:r>
          </w:p>
        </w:tc>
        <w:tc>
          <w:tcPr>
            <w:tcW w:w="3940" w:type="dxa"/>
            <w:vAlign w:val="bottom"/>
          </w:tcPr>
          <w:p>
            <w:pPr>
              <w:jc w:val="center"/>
              <w:ind w:right="68"/>
              <w:spacing w:after="0"/>
              <w:rPr>
                <w:sz w:val="20"/>
                <w:szCs w:val="20"/>
                <w:color w:val="auto"/>
              </w:rPr>
            </w:pPr>
            <w:r>
              <w:rPr>
                <w:rFonts w:ascii="Arial" w:cs="Arial" w:eastAsia="Arial" w:hAnsi="Arial"/>
                <w:sz w:val="14"/>
                <w:szCs w:val="14"/>
                <w:b w:val="1"/>
                <w:bCs w:val="1"/>
                <w:color w:val="auto"/>
              </w:rPr>
              <w:t>2836</w:t>
            </w:r>
          </w:p>
        </w:tc>
        <w:tc>
          <w:tcPr>
            <w:tcW w:w="2220" w:type="dxa"/>
            <w:vAlign w:val="bottom"/>
          </w:tcPr>
          <w:p>
            <w:pPr>
              <w:jc w:val="center"/>
              <w:ind w:left="1028"/>
              <w:spacing w:after="0"/>
              <w:rPr>
                <w:sz w:val="20"/>
                <w:szCs w:val="20"/>
                <w:color w:val="auto"/>
              </w:rPr>
            </w:pPr>
            <w:r>
              <w:rPr>
                <w:rFonts w:ascii="Arial" w:cs="Arial" w:eastAsia="Arial" w:hAnsi="Arial"/>
                <w:sz w:val="14"/>
                <w:szCs w:val="14"/>
                <w:b w:val="1"/>
                <w:bCs w:val="1"/>
                <w:color w:val="auto"/>
              </w:rPr>
              <w:t>84-3199512</w:t>
            </w:r>
          </w:p>
        </w:tc>
      </w:tr>
      <w:tr>
        <w:trPr>
          <w:trHeight w:val="162"/>
        </w:trPr>
        <w:tc>
          <w:tcPr>
            <w:tcW w:w="2860" w:type="dxa"/>
            <w:vAlign w:val="bottom"/>
          </w:tcPr>
          <w:p>
            <w:pPr>
              <w:jc w:val="center"/>
              <w:ind w:right="908"/>
              <w:spacing w:after="0"/>
              <w:rPr>
                <w:sz w:val="20"/>
                <w:szCs w:val="20"/>
                <w:color w:val="auto"/>
              </w:rPr>
            </w:pPr>
            <w:r>
              <w:rPr>
                <w:rFonts w:ascii="Arial" w:cs="Arial" w:eastAsia="Arial" w:hAnsi="Arial"/>
                <w:sz w:val="14"/>
                <w:szCs w:val="14"/>
                <w:color w:val="auto"/>
              </w:rPr>
              <w:t>(State or other jurisdiction of</w:t>
            </w:r>
          </w:p>
        </w:tc>
        <w:tc>
          <w:tcPr>
            <w:tcW w:w="3940" w:type="dxa"/>
            <w:vAlign w:val="bottom"/>
          </w:tcPr>
          <w:p>
            <w:pPr>
              <w:jc w:val="center"/>
              <w:ind w:right="48"/>
              <w:spacing w:after="0"/>
              <w:rPr>
                <w:sz w:val="20"/>
                <w:szCs w:val="20"/>
                <w:color w:val="auto"/>
              </w:rPr>
            </w:pPr>
            <w:r>
              <w:rPr>
                <w:rFonts w:ascii="Arial" w:cs="Arial" w:eastAsia="Arial" w:hAnsi="Arial"/>
                <w:sz w:val="14"/>
                <w:szCs w:val="14"/>
                <w:color w:val="auto"/>
              </w:rPr>
              <w:t>(Primary Standard Industrial</w:t>
            </w:r>
          </w:p>
        </w:tc>
        <w:tc>
          <w:tcPr>
            <w:tcW w:w="2220" w:type="dxa"/>
            <w:vAlign w:val="bottom"/>
          </w:tcPr>
          <w:p>
            <w:pPr>
              <w:jc w:val="center"/>
              <w:ind w:left="1048"/>
              <w:spacing w:after="0"/>
              <w:rPr>
                <w:sz w:val="20"/>
                <w:szCs w:val="20"/>
                <w:color w:val="auto"/>
              </w:rPr>
            </w:pPr>
            <w:r>
              <w:rPr>
                <w:rFonts w:ascii="Arial" w:cs="Arial" w:eastAsia="Arial" w:hAnsi="Arial"/>
                <w:sz w:val="14"/>
                <w:szCs w:val="14"/>
                <w:color w:val="auto"/>
              </w:rPr>
              <w:t>(I.R.S. Employer</w:t>
            </w:r>
          </w:p>
        </w:tc>
      </w:tr>
      <w:tr>
        <w:trPr>
          <w:trHeight w:val="194"/>
        </w:trPr>
        <w:tc>
          <w:tcPr>
            <w:tcW w:w="2860" w:type="dxa"/>
            <w:vAlign w:val="bottom"/>
          </w:tcPr>
          <w:p>
            <w:pPr>
              <w:jc w:val="center"/>
              <w:ind w:right="928"/>
              <w:spacing w:after="0"/>
              <w:rPr>
                <w:sz w:val="20"/>
                <w:szCs w:val="20"/>
                <w:color w:val="auto"/>
              </w:rPr>
            </w:pPr>
            <w:r>
              <w:rPr>
                <w:rFonts w:ascii="Arial" w:cs="Arial" w:eastAsia="Arial" w:hAnsi="Arial"/>
                <w:sz w:val="14"/>
                <w:szCs w:val="14"/>
                <w:color w:val="auto"/>
              </w:rPr>
              <w:t>incorporation or organization)</w:t>
            </w:r>
          </w:p>
        </w:tc>
        <w:tc>
          <w:tcPr>
            <w:tcW w:w="3940" w:type="dxa"/>
            <w:vAlign w:val="bottom"/>
          </w:tcPr>
          <w:p>
            <w:pPr>
              <w:jc w:val="center"/>
              <w:ind w:right="48"/>
              <w:spacing w:after="0"/>
              <w:rPr>
                <w:sz w:val="20"/>
                <w:szCs w:val="20"/>
                <w:color w:val="auto"/>
              </w:rPr>
            </w:pPr>
            <w:r>
              <w:rPr>
                <w:rFonts w:ascii="Arial" w:cs="Arial" w:eastAsia="Arial" w:hAnsi="Arial"/>
                <w:sz w:val="14"/>
                <w:szCs w:val="14"/>
                <w:color w:val="auto"/>
              </w:rPr>
              <w:t>Classification Code Number)</w:t>
            </w:r>
          </w:p>
        </w:tc>
        <w:tc>
          <w:tcPr>
            <w:tcW w:w="2220" w:type="dxa"/>
            <w:vAlign w:val="bottom"/>
          </w:tcPr>
          <w:p>
            <w:pPr>
              <w:jc w:val="center"/>
              <w:ind w:left="1028"/>
              <w:spacing w:after="0"/>
              <w:rPr>
                <w:sz w:val="20"/>
                <w:szCs w:val="20"/>
                <w:color w:val="auto"/>
              </w:rPr>
            </w:pPr>
            <w:r>
              <w:rPr>
                <w:rFonts w:ascii="Arial" w:cs="Arial" w:eastAsia="Arial" w:hAnsi="Arial"/>
                <w:sz w:val="14"/>
                <w:szCs w:val="14"/>
                <w:color w:val="auto"/>
              </w:rPr>
              <w:t>Identification No.)</w:t>
            </w: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2280 Inwood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Dallas, TX 75235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(214) 612-0000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83185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RA Session II</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Taysha Gene Therapies,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2280 Inwood Road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Dallas, TX 75235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(214) 612-0000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143510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16" w:lineRule="exact"/>
        <w:rPr>
          <w:sz w:val="24"/>
          <w:szCs w:val="24"/>
          <w:color w:val="auto"/>
        </w:rPr>
      </w:pPr>
    </w:p>
    <w:tbl>
      <w:tblPr>
        <w:tblLayout w:type="fixed"/>
        <w:tblInd w:w="194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5020" w:type="dxa"/>
            <w:vAlign w:val="bottom"/>
          </w:tcPr>
          <w:p>
            <w:pPr>
              <w:ind w:left="780"/>
              <w:spacing w:after="0"/>
              <w:rPr>
                <w:sz w:val="20"/>
                <w:szCs w:val="20"/>
                <w:color w:val="auto"/>
              </w:rPr>
            </w:pPr>
            <w:r>
              <w:rPr>
                <w:rFonts w:ascii="Arial" w:cs="Arial" w:eastAsia="Arial" w:hAnsi="Arial"/>
                <w:sz w:val="14"/>
                <w:szCs w:val="14"/>
                <w:i w:val="1"/>
                <w:iCs w:val="1"/>
                <w:color w:val="auto"/>
              </w:rPr>
              <w:t>Copies to:</w:t>
            </w:r>
          </w:p>
        </w:tc>
      </w:tr>
      <w:tr>
        <w:trPr>
          <w:trHeight w:val="168"/>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Divakar Gupta</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Robert E. Puopolo</w:t>
            </w:r>
          </w:p>
        </w:tc>
      </w:tr>
      <w:tr>
        <w:trPr>
          <w:trHeight w:val="16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Darren DeStefano</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Seo Salimi</w:t>
            </w:r>
          </w:p>
        </w:tc>
      </w:tr>
      <w:tr>
        <w:trPr>
          <w:trHeight w:val="16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Brian F. Leaf</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Goodwin Procter LLP</w:t>
            </w:r>
          </w:p>
        </w:tc>
      </w:tr>
      <w:tr>
        <w:trPr>
          <w:trHeight w:val="16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Madison A. Jones</w:t>
            </w:r>
          </w:p>
        </w:tc>
        <w:tc>
          <w:tcPr>
            <w:tcW w:w="5020" w:type="dxa"/>
            <w:vAlign w:val="bottom"/>
          </w:tcPr>
          <w:p>
            <w:pPr>
              <w:jc w:val="center"/>
              <w:ind w:left="2908"/>
              <w:spacing w:after="0"/>
              <w:rPr>
                <w:sz w:val="20"/>
                <w:szCs w:val="20"/>
                <w:color w:val="auto"/>
              </w:rPr>
            </w:pPr>
            <w:r>
              <w:rPr>
                <w:rFonts w:ascii="Arial" w:cs="Arial" w:eastAsia="Arial" w:hAnsi="Arial"/>
                <w:sz w:val="14"/>
                <w:szCs w:val="14"/>
                <w:b w:val="1"/>
                <w:bCs w:val="1"/>
                <w:color w:val="auto"/>
              </w:rPr>
              <w:t>100 Northern Avenue</w:t>
            </w:r>
          </w:p>
        </w:tc>
      </w:tr>
      <w:tr>
        <w:trPr>
          <w:trHeight w:val="162"/>
        </w:trPr>
        <w:tc>
          <w:tcPr>
            <w:tcW w:w="2580" w:type="dxa"/>
            <w:vAlign w:val="bottom"/>
          </w:tcPr>
          <w:p>
            <w:pPr>
              <w:jc w:val="center"/>
              <w:ind w:right="708"/>
              <w:spacing w:after="0"/>
              <w:rPr>
                <w:sz w:val="20"/>
                <w:szCs w:val="20"/>
                <w:color w:val="auto"/>
              </w:rPr>
            </w:pPr>
            <w:r>
              <w:rPr>
                <w:rFonts w:ascii="Arial" w:cs="Arial" w:eastAsia="Arial" w:hAnsi="Arial"/>
                <w:sz w:val="14"/>
                <w:szCs w:val="14"/>
                <w:b w:val="1"/>
                <w:bCs w:val="1"/>
                <w:color w:val="auto"/>
              </w:rPr>
              <w:t>Cooley LLP</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Boston, Massachusetts 02210</w:t>
            </w:r>
          </w:p>
        </w:tc>
      </w:tr>
      <w:tr>
        <w:trPr>
          <w:trHeight w:val="162"/>
        </w:trPr>
        <w:tc>
          <w:tcPr>
            <w:tcW w:w="2580" w:type="dxa"/>
            <w:vAlign w:val="bottom"/>
          </w:tcPr>
          <w:p>
            <w:pPr>
              <w:jc w:val="center"/>
              <w:ind w:right="708"/>
              <w:spacing w:after="0"/>
              <w:rPr>
                <w:sz w:val="20"/>
                <w:szCs w:val="20"/>
                <w:color w:val="auto"/>
              </w:rPr>
            </w:pPr>
            <w:r>
              <w:rPr>
                <w:rFonts w:ascii="Arial" w:cs="Arial" w:eastAsia="Arial" w:hAnsi="Arial"/>
                <w:sz w:val="14"/>
                <w:szCs w:val="14"/>
                <w:b w:val="1"/>
                <w:bCs w:val="1"/>
                <w:color w:val="auto"/>
              </w:rPr>
              <w:t>55 Hudson Yards</w:t>
            </w:r>
          </w:p>
        </w:tc>
        <w:tc>
          <w:tcPr>
            <w:tcW w:w="5020" w:type="dxa"/>
            <w:vAlign w:val="bottom"/>
          </w:tcPr>
          <w:p>
            <w:pPr>
              <w:jc w:val="center"/>
              <w:ind w:left="2888"/>
              <w:spacing w:after="0"/>
              <w:rPr>
                <w:sz w:val="20"/>
                <w:szCs w:val="20"/>
                <w:color w:val="auto"/>
              </w:rPr>
            </w:pPr>
            <w:r>
              <w:rPr>
                <w:rFonts w:ascii="Arial" w:cs="Arial" w:eastAsia="Arial" w:hAnsi="Arial"/>
                <w:sz w:val="14"/>
                <w:szCs w:val="14"/>
                <w:b w:val="1"/>
                <w:bCs w:val="1"/>
                <w:color w:val="auto"/>
              </w:rPr>
              <w:t>(617) 570-1000</w:t>
            </w:r>
          </w:p>
        </w:tc>
      </w:tr>
      <w:tr>
        <w:trPr>
          <w:trHeight w:val="162"/>
        </w:trPr>
        <w:tc>
          <w:tcPr>
            <w:tcW w:w="2580" w:type="dxa"/>
            <w:vAlign w:val="bottom"/>
          </w:tcPr>
          <w:p>
            <w:pPr>
              <w:jc w:val="center"/>
              <w:ind w:right="708"/>
              <w:spacing w:after="0"/>
              <w:rPr>
                <w:sz w:val="20"/>
                <w:szCs w:val="20"/>
                <w:color w:val="auto"/>
              </w:rPr>
            </w:pPr>
            <w:r>
              <w:rPr>
                <w:rFonts w:ascii="Arial" w:cs="Arial" w:eastAsia="Arial" w:hAnsi="Arial"/>
                <w:sz w:val="14"/>
                <w:szCs w:val="14"/>
                <w:b w:val="1"/>
                <w:bCs w:val="1"/>
                <w:color w:val="auto"/>
              </w:rPr>
              <w:t>New York, New York 10001</w:t>
            </w:r>
          </w:p>
        </w:tc>
        <w:tc>
          <w:tcPr>
            <w:tcW w:w="5020" w:type="dxa"/>
            <w:vAlign w:val="bottom"/>
          </w:tcPr>
          <w:p>
            <w:pPr>
              <w:spacing w:after="0"/>
              <w:rPr>
                <w:sz w:val="14"/>
                <w:szCs w:val="14"/>
                <w:color w:val="auto"/>
              </w:rPr>
            </w:pPr>
          </w:p>
        </w:tc>
      </w:tr>
      <w:tr>
        <w:trPr>
          <w:trHeight w:val="202"/>
        </w:trPr>
        <w:tc>
          <w:tcPr>
            <w:tcW w:w="2580" w:type="dxa"/>
            <w:vAlign w:val="bottom"/>
          </w:tcPr>
          <w:p>
            <w:pPr>
              <w:jc w:val="center"/>
              <w:ind w:right="688"/>
              <w:spacing w:after="0"/>
              <w:rPr>
                <w:sz w:val="20"/>
                <w:szCs w:val="20"/>
                <w:color w:val="auto"/>
              </w:rPr>
            </w:pPr>
            <w:r>
              <w:rPr>
                <w:rFonts w:ascii="Arial" w:cs="Arial" w:eastAsia="Arial" w:hAnsi="Arial"/>
                <w:sz w:val="14"/>
                <w:szCs w:val="14"/>
                <w:b w:val="1"/>
                <w:bCs w:val="1"/>
                <w:color w:val="auto"/>
              </w:rPr>
              <w:t>(212) 479-6000</w:t>
            </w:r>
          </w:p>
        </w:tc>
        <w:tc>
          <w:tcPr>
            <w:tcW w:w="502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104140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50"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7" w:lineRule="exact"/>
        <w:rPr>
          <w:sz w:val="24"/>
          <w:szCs w:val="24"/>
          <w:color w:val="auto"/>
        </w:rPr>
      </w:pPr>
    </w:p>
    <w:p>
      <w:pPr>
        <w:ind w:right="220" w:firstLine="562"/>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4" w:lineRule="exact"/>
        <w:rPr>
          <w:sz w:val="24"/>
          <w:szCs w:val="24"/>
          <w:color w:val="auto"/>
        </w:rPr>
      </w:pPr>
    </w:p>
    <w:p>
      <w:pPr>
        <w:ind w:right="40" w:firstLine="562"/>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600" w:firstLine="562"/>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600" w:firstLine="562"/>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right="40" w:firstLine="562"/>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3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3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340" w:type="dxa"/>
            <w:vAlign w:val="bottom"/>
          </w:tcPr>
          <w:p>
            <w:pPr>
              <w:ind w:left="33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right="300" w:firstLine="562"/>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58" w:lineRule="exact"/>
        <w:rPr>
          <w:sz w:val="24"/>
          <w:szCs w:val="24"/>
          <w:color w:val="auto"/>
        </w:rPr>
      </w:pPr>
    </w:p>
    <w:p>
      <w:pPr>
        <w:ind w:right="180" w:firstLine="562"/>
        <w:spacing w:after="0" w:line="26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Subject to completion, dated September 17,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6,578,950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179705</wp:posOffset>
            </wp:positionV>
            <wp:extent cx="2228850"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885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257175</wp:posOffset>
            </wp:positionV>
            <wp:extent cx="149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is an initial offering of shares of common stock of Taysha Gene Therapies, Inc.</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offering 6,578,950 shares of our common stock.</w:t>
      </w:r>
    </w:p>
    <w:p>
      <w:pPr>
        <w:spacing w:after="0" w:line="212" w:lineRule="exact"/>
        <w:rPr>
          <w:sz w:val="20"/>
          <w:szCs w:val="20"/>
          <w:color w:val="auto"/>
        </w:rPr>
      </w:pPr>
    </w:p>
    <w:p>
      <w:pPr>
        <w:jc w:val="both"/>
        <w:ind w:right="440" w:firstLine="562"/>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It is currently estimated that the initial public offering price per share will be between $18.00 and $20.00. We have applied to list our common stock on The Nasdaq Global Market under the trading symbol “TSHA.”</w:t>
      </w:r>
    </w:p>
    <w:p>
      <w:pPr>
        <w:spacing w:after="0" w:line="164"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We are an “emerging growth company” as defined under U.S. federal securities laws and, as such,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192405</wp:posOffset>
            </wp:positionV>
            <wp:extent cx="1491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right="400" w:firstLine="562"/>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risks. See “</w:t>
      </w:r>
      <w:hyperlink w:anchor="page18">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15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193040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right="420" w:firstLine="562"/>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204470</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380" w:type="dxa"/>
            <w:vAlign w:val="bottom"/>
          </w:tcPr>
          <w:p>
            <w:pPr>
              <w:spacing w:after="0"/>
              <w:rPr>
                <w:sz w:val="19"/>
                <w:szCs w:val="19"/>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9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Underwriting discounts(1)</w:t>
            </w: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Taysha Gene Therapies, Inc.</w:t>
            </w: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6" w:lineRule="exact"/>
        <w:rPr>
          <w:sz w:val="20"/>
          <w:szCs w:val="20"/>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the section titled “Underwriting” for a description of the compensation payable to the underwriters.</w:t>
      </w:r>
    </w:p>
    <w:p>
      <w:pPr>
        <w:spacing w:after="0" w:line="212"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To the extent that the underwriters sell more than 6,578,950 shares of common stock, the underwriters have the option to purchase up to an additional 986,842 shares from us at the initial price to the public less the underwriting discount.</w:t>
      </w:r>
    </w:p>
    <w:p>
      <w:pPr>
        <w:spacing w:after="0" w:line="145" w:lineRule="exact"/>
        <w:rPr>
          <w:sz w:val="20"/>
          <w:szCs w:val="20"/>
          <w:color w:val="auto"/>
        </w:rPr>
      </w:pPr>
    </w:p>
    <w:p>
      <w:pPr>
        <w:ind w:left="560"/>
        <w:spacing w:after="0"/>
        <w:tabs>
          <w:tab w:leader="none" w:pos="8680" w:val="left"/>
        </w:tabs>
        <w:rPr>
          <w:sz w:val="20"/>
          <w:szCs w:val="20"/>
          <w:color w:val="auto"/>
        </w:rPr>
      </w:pPr>
      <w:r>
        <w:rPr>
          <w:rFonts w:ascii="Arial" w:cs="Arial" w:eastAsia="Arial" w:hAnsi="Arial"/>
          <w:sz w:val="18"/>
          <w:szCs w:val="18"/>
          <w:color w:val="auto"/>
        </w:rPr>
        <w:t>The underwriters expect to deliver the shares against payment in New York, New York on</w:t>
      </w:r>
      <w:r>
        <w:rPr>
          <w:sz w:val="20"/>
          <w:szCs w:val="20"/>
          <w:color w:val="auto"/>
        </w:rPr>
        <w:tab/>
      </w:r>
      <w:r>
        <w:rPr>
          <w:rFonts w:ascii="Arial" w:cs="Arial" w:eastAsia="Arial" w:hAnsi="Arial"/>
          <w:sz w:val="18"/>
          <w:szCs w:val="18"/>
          <w:color w:val="auto"/>
        </w:rPr>
        <w:t>, 2020.</w:t>
      </w:r>
    </w:p>
    <w:p>
      <w:pPr>
        <w:spacing w:after="0" w:line="227" w:lineRule="exact"/>
        <w:rPr>
          <w:sz w:val="20"/>
          <w:szCs w:val="20"/>
          <w:color w:val="auto"/>
        </w:rPr>
      </w:pPr>
    </w:p>
    <w:p>
      <w:pPr>
        <w:spacing w:after="0"/>
        <w:tabs>
          <w:tab w:leader="none" w:pos="4780" w:val="left"/>
          <w:tab w:leader="none" w:pos="1018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Jefferies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254635</wp:posOffset>
            </wp:positionV>
            <wp:extent cx="149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40"/>
        <w:spacing w:after="0"/>
        <w:tabs>
          <w:tab w:leader="none" w:pos="658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2020</w:t>
      </w:r>
    </w:p>
    <w:p>
      <w:pPr>
        <w:sectPr>
          <w:pgSz w:w="11900" w:h="16838" w:orient="portrait"/>
          <w:cols w:equalWidth="0" w:num="1">
            <w:col w:w="11240"/>
          </w:cols>
          <w:pgMar w:left="320" w:top="455" w:right="3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7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1078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3"/>
        </w:trPr>
        <w:tc>
          <w:tcPr>
            <w:tcW w:w="10780" w:type="dxa"/>
            <w:vAlign w:val="bottom"/>
            <w:vMerge w:val="continue"/>
          </w:tcPr>
          <w:p>
            <w:pPr>
              <w:spacing w:after="0"/>
              <w:rPr>
                <w:sz w:val="15"/>
                <w:szCs w:val="15"/>
                <w:color w:val="auto"/>
              </w:rPr>
            </w:pPr>
          </w:p>
        </w:tc>
        <w:tc>
          <w:tcPr>
            <w:tcW w:w="4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Special Note Regarding Forward-Looking Statements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Market and Industry Data</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Use of Proceeds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Dividend Policy</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Capitalization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Dilution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Selected Financial Data</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Business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Management</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Executive Compensation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Certain Relationships and Related Party Transactions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Principal Stockholders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Description of Capital Stock</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Shares Eligible for Future Sale</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Material U.S. Federal Income Tax Consequences to Non-U.S. Holders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Underwriting</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Legal Matters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Experts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Where You Can Find Additional Information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10780" w:type="dxa"/>
            <w:vAlign w:val="bottom"/>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Index to Financial Statements</w:t>
              </w:r>
            </w:hyperlink>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220345</wp:posOffset>
            </wp:positionV>
            <wp:extent cx="1491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2" w:lineRule="exact"/>
        <w:rPr>
          <w:sz w:val="20"/>
          <w:szCs w:val="20"/>
          <w:color w:val="auto"/>
        </w:rPr>
      </w:pPr>
    </w:p>
    <w:p>
      <w:pPr>
        <w:ind w:right="200" w:firstLine="562"/>
        <w:spacing w:after="0" w:line="248"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70" w:lineRule="exact"/>
        <w:rPr>
          <w:sz w:val="20"/>
          <w:szCs w:val="20"/>
          <w:color w:val="auto"/>
        </w:rPr>
      </w:pPr>
    </w:p>
    <w:p>
      <w:pPr>
        <w:ind w:right="340" w:firstLine="562"/>
        <w:spacing w:after="0" w:line="255" w:lineRule="auto"/>
        <w:rPr>
          <w:sz w:val="20"/>
          <w:szCs w:val="20"/>
          <w:color w:val="auto"/>
        </w:rPr>
      </w:pPr>
      <w:r>
        <w:rPr>
          <w:rFonts w:ascii="Arial" w:cs="Arial" w:eastAsia="Arial" w:hAnsi="Arial"/>
          <w:sz w:val="18"/>
          <w:szCs w:val="18"/>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ectPr>
          <w:pgSz w:w="11900" w:h="16838" w:orient="portrait"/>
          <w:cols w:equalWidth="0" w:num="1">
            <w:col w:w="11240"/>
          </w:cols>
          <w:pgMar w:left="32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215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215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200" w:right="20" w:firstLine="543"/>
        <w:spacing w:after="0" w:line="242" w:lineRule="auto"/>
        <w:rPr>
          <w:sz w:val="20"/>
          <w:szCs w:val="20"/>
          <w:color w:val="auto"/>
        </w:rPr>
      </w:pPr>
      <w:r>
        <w:rPr>
          <w:rFonts w:ascii="Arial" w:cs="Arial" w:eastAsia="Arial" w:hAnsi="Arial"/>
          <w:sz w:val="18"/>
          <w:szCs w:val="18"/>
          <w:i w:val="1"/>
          <w:iCs w:val="1"/>
          <w:color w:val="auto"/>
        </w:rPr>
        <w:t>This summary highlights, and is qualified in its entirety by, information contained elsewhere in this prospectus. This summary does not contain all of the information you should consider before investing in our common stock. You should read this entire prospectus carefully, especially the sections titled “Risk Factors” and “Management’s Discussion and Analysis of Financial Condition and Results of Operations” and our financial statements and the related notes appearing elsewhere in this prospectus, before making an investment decision. As used in this prospectus, unless the context otherwise requires, references to “we,” “us,” “our,” “the company,” “Taysha” and “Taysha Gene Therapies” refer to Taysha Gene Therapies, Inc., together with its consolidated subsidiaries.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Taysha Gene Therapies, Inc.</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left="200" w:firstLine="543"/>
        <w:spacing w:after="0" w:line="237" w:lineRule="auto"/>
        <w:rPr>
          <w:sz w:val="20"/>
          <w:szCs w:val="20"/>
          <w:color w:val="auto"/>
        </w:rPr>
      </w:pPr>
      <w:r>
        <w:rPr>
          <w:rFonts w:ascii="Arial" w:cs="Arial" w:eastAsia="Arial" w:hAnsi="Arial"/>
          <w:sz w:val="18"/>
          <w:szCs w:val="18"/>
          <w:color w:val="auto"/>
        </w:rPr>
        <w:t>We are a patient-centric gene therapy company focused on developing and commercializing AAV-based gene therapies for the treatment of monogenic diseases of the central nervous system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18 gene therapy product candidates, with exclusive options to acquire four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We expect to initiate a Phase 1/2 clinical trial of TSHA-101 for the treatment of GM2 gangliosidosis, under a Clinical Trial Application, or CTA, in Canada by the end of 2020. In addition, we plan to submit investigational new drug applications, or INDs, for four programs to the U.S. Food and Drug Administration, or the FDA, by the end of 2021: TSHA-101, TSHA-102 (Rett syndrome), TSHA-103 (SLC6A1 haploinsufficiency) and TSHA-104 (SURF1 deficiency). We are also developing TSHA-118 (formerly ABO-202) for the treatment of CLN1 disease (or infantile Batten disease) and intend to initiate a Phase 1/2 clinical trial of TSHA-118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188" w:lineRule="exact"/>
        <w:rPr>
          <w:sz w:val="20"/>
          <w:szCs w:val="20"/>
          <w:color w:val="auto"/>
        </w:rPr>
      </w:pPr>
    </w:p>
    <w:p>
      <w:pPr>
        <w:ind w:left="200" w:right="40" w:firstLine="543"/>
        <w:spacing w:after="0"/>
        <w:rPr>
          <w:sz w:val="20"/>
          <w:szCs w:val="20"/>
          <w:color w:val="auto"/>
        </w:rPr>
      </w:pPr>
      <w:r>
        <w:rPr>
          <w:rFonts w:ascii="Arial" w:cs="Arial" w:eastAsia="Arial" w:hAnsi="Arial"/>
          <w:sz w:val="18"/>
          <w:szCs w:val="18"/>
          <w:color w:val="auto"/>
        </w:rPr>
        <w:t>The fundamental components of our approach to gene therapy development are an adeno-associated virus serotype 9, or AAV9, capsid, intrathecal delivery and an efficient manufacturing process. We use an AAV9 capsid to deliver therapeutic genes engineered to replace a mutated gene, enhance the expression of a silenced gene or decrease the expression of a gene, depending on the underlying biology of the specific disease. We use intrathecal administration, which involves direct delivery of our gene therapies to the cerebrospinal fluid, or CSF, to facilitate optimal biodistribution and cell transduction within the central nervous system, or CNS. Our flexible manufacturing processes allow us to produce our gene therapy product candidates efficiently at scale. Through our partnership with UT Southwestern, we have access to a Good Manufacturing Practice-, or GMP-, compliant manufacturing suite that utilizes a suspension HEK293 process to produce AAV9. We also intend to establish our own commercial-scale, GMP-compliant manufacturing facility to meet demand in the event that our product candidates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116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Pipeline</w:t>
      </w:r>
    </w:p>
    <w:p>
      <w:pPr>
        <w:spacing w:after="0" w:line="104" w:lineRule="exact"/>
        <w:rPr>
          <w:sz w:val="20"/>
          <w:szCs w:val="20"/>
          <w:color w:val="auto"/>
        </w:rPr>
      </w:pPr>
    </w:p>
    <w:p>
      <w:pPr>
        <w:ind w:left="200" w:firstLine="543"/>
        <w:spacing w:after="0" w:line="255" w:lineRule="auto"/>
        <w:rPr>
          <w:sz w:val="20"/>
          <w:szCs w:val="20"/>
          <w:color w:val="auto"/>
        </w:rPr>
      </w:pPr>
      <w:r>
        <w:rPr>
          <w:rFonts w:ascii="Arial" w:cs="Arial" w:eastAsia="Arial" w:hAnsi="Arial"/>
          <w:sz w:val="18"/>
          <w:szCs w:val="18"/>
          <w:color w:val="auto"/>
        </w:rPr>
        <w:t>We are advancing a deep and sustainable product portfolio of 18 gene therapy product candidates for monogenic diseases of the CNS in both rare and large patient populations, with exclusive options to acquire four additional development programs at no cost. Our current pipeline, including the stage of development of each of our product candidates, is represented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firstLine="543"/>
        <w:spacing w:after="0" w:line="276" w:lineRule="auto"/>
        <w:rPr>
          <w:sz w:val="20"/>
          <w:szCs w:val="20"/>
          <w:color w:val="auto"/>
        </w:rPr>
      </w:pPr>
      <w:r>
        <w:rPr>
          <w:rFonts w:ascii="Arial" w:cs="Arial" w:eastAsia="Arial" w:hAnsi="Arial"/>
          <w:sz w:val="18"/>
          <w:szCs w:val="18"/>
          <w:color w:val="auto"/>
        </w:rPr>
        <w:t>Our portfolio of gene therapy candidates targets broad neurological indications across three distinct therapeutic categories, which together have the potential to address over 500,000 patients in the United States and the European Union:</w:t>
      </w:r>
    </w:p>
    <w:p>
      <w:pPr>
        <w:spacing w:after="0" w:line="48" w:lineRule="exact"/>
        <w:rPr>
          <w:sz w:val="20"/>
          <w:szCs w:val="20"/>
          <w:color w:val="auto"/>
        </w:rPr>
      </w:pPr>
    </w:p>
    <w:p>
      <w:pPr>
        <w:ind w:left="940" w:right="760" w:hanging="206"/>
        <w:spacing w:after="0" w:line="27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Neurodegenerative diseases</w:t>
      </w:r>
      <w:r>
        <w:rPr>
          <w:rFonts w:ascii="Arial" w:cs="Arial" w:eastAsia="Arial" w:hAnsi="Arial"/>
          <w:sz w:val="18"/>
          <w:szCs w:val="18"/>
          <w:color w:val="auto"/>
        </w:rPr>
        <w:t>, which refer to diseases that are characterized by the progressive degeneration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structures and functions of the CNS.</w:t>
      </w:r>
    </w:p>
    <w:p>
      <w:pPr>
        <w:spacing w:after="0" w:line="46" w:lineRule="exact"/>
        <w:rPr>
          <w:rFonts w:ascii="Arial" w:cs="Arial" w:eastAsia="Arial" w:hAnsi="Arial"/>
          <w:sz w:val="18"/>
          <w:szCs w:val="18"/>
          <w:color w:val="auto"/>
        </w:rPr>
      </w:pPr>
    </w:p>
    <w:p>
      <w:pPr>
        <w:ind w:left="940" w:right="60" w:hanging="206"/>
        <w:spacing w:after="0" w:line="27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Neurodevelopmental disorders</w:t>
      </w:r>
      <w:r>
        <w:rPr>
          <w:rFonts w:ascii="Arial" w:cs="Arial" w:eastAsia="Arial" w:hAnsi="Arial"/>
          <w:sz w:val="18"/>
          <w:szCs w:val="18"/>
          <w:color w:val="auto"/>
        </w:rPr>
        <w:t>, which refer to a group of conditions with onset during the time when the brain is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a reflection of disabilities associated primarily with the functioning of the neurological system and brain.</w:t>
      </w:r>
    </w:p>
    <w:p>
      <w:pPr>
        <w:spacing w:after="0" w:line="46" w:lineRule="exact"/>
        <w:rPr>
          <w:rFonts w:ascii="Arial" w:cs="Arial" w:eastAsia="Arial" w:hAnsi="Arial"/>
          <w:sz w:val="18"/>
          <w:szCs w:val="18"/>
          <w:color w:val="auto"/>
        </w:rPr>
      </w:pPr>
    </w:p>
    <w:p>
      <w:pPr>
        <w:ind w:left="940" w:hanging="206"/>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Genetic epilepsies</w:t>
      </w:r>
      <w:r>
        <w:rPr>
          <w:rFonts w:ascii="Arial" w:cs="Arial" w:eastAsia="Arial" w:hAnsi="Arial"/>
          <w:sz w:val="18"/>
          <w:szCs w:val="18"/>
          <w:color w:val="auto"/>
        </w:rPr>
        <w:t>, which refer to disorders with recurrent seizures associated with abnormal development of the brain.</w:t>
      </w:r>
    </w:p>
    <w:p>
      <w:pPr>
        <w:spacing w:after="0" w:line="21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most advanced product candidates include:</w:t>
      </w:r>
    </w:p>
    <w:p>
      <w:pPr>
        <w:spacing w:after="0" w:line="115" w:lineRule="exact"/>
        <w:rPr>
          <w:sz w:val="20"/>
          <w:szCs w:val="20"/>
          <w:color w:val="auto"/>
        </w:rPr>
      </w:pPr>
    </w:p>
    <w:p>
      <w:pPr>
        <w:ind w:left="940" w:right="60" w:hanging="206"/>
        <w:spacing w:after="0" w:line="243" w:lineRule="auto"/>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TSHA-101</w:t>
      </w:r>
      <w:r>
        <w:rPr>
          <w:rFonts w:ascii="Arial" w:cs="Arial" w:eastAsia="Arial" w:hAnsi="Arial"/>
          <w:sz w:val="18"/>
          <w:szCs w:val="18"/>
          <w:color w:val="auto"/>
        </w:rPr>
        <w:t>, which is being developed for the treatment of GM2 gangliosidosis, a lysosomal storage disorder and family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severe neurodegenerative diseases that includes Tay-Sachs disease and Sandhoff disease. We are developing TSHA-101 as a bicistronic </w:t>
      </w:r>
      <w:r>
        <w:rPr>
          <w:rFonts w:ascii="Arial" w:cs="Arial" w:eastAsia="Arial" w:hAnsi="Arial"/>
          <w:sz w:val="18"/>
          <w:szCs w:val="18"/>
          <w:i w:val="1"/>
          <w:iCs w:val="1"/>
          <w:color w:val="auto"/>
        </w:rPr>
        <w:t>HEXB</w:t>
      </w:r>
      <w:r>
        <w:rPr>
          <w:rFonts w:ascii="Arial" w:cs="Arial" w:eastAsia="Arial" w:hAnsi="Arial"/>
          <w:sz w:val="18"/>
          <w:szCs w:val="18"/>
          <w:color w:val="auto"/>
        </w:rPr>
        <w:t>P2A-</w:t>
      </w:r>
      <w:r>
        <w:rPr>
          <w:rFonts w:ascii="Arial" w:cs="Arial" w:eastAsia="Arial" w:hAnsi="Arial"/>
          <w:sz w:val="18"/>
          <w:szCs w:val="18"/>
          <w:i w:val="1"/>
          <w:iCs w:val="1"/>
          <w:color w:val="auto"/>
        </w:rPr>
        <w:t>HEXA</w:t>
      </w:r>
      <w:r>
        <w:rPr>
          <w:rFonts w:ascii="Arial" w:cs="Arial" w:eastAsia="Arial" w:hAnsi="Arial"/>
          <w:sz w:val="18"/>
          <w:szCs w:val="18"/>
          <w:color w:val="auto"/>
        </w:rPr>
        <w:t xml:space="preserve"> transgene packaged into an AAV9 vector under the control of a CAG promoter. We have conducted preclinical studies evaluating safety and biodistribution, and plan to initiate a Phase 1/2 clinical trial under a CTA in Canada by the end of 2020. We plan to submit an IND for TSHA-101 to the FDA and initiate a clinical trial by the end of 2021. TSHA-101 has received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320" w:top="455" w:right="5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3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6362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orphan drug designation and rare pediatric disease designation from the FDA for the treatment of GM2 gangliosidosis.</w:t>
      </w:r>
    </w:p>
    <w:p>
      <w:pPr>
        <w:spacing w:after="0" w:line="115" w:lineRule="exact"/>
        <w:rPr>
          <w:sz w:val="20"/>
          <w:szCs w:val="20"/>
          <w:color w:val="auto"/>
        </w:rPr>
      </w:pPr>
    </w:p>
    <w:p>
      <w:pPr>
        <w:ind w:left="940" w:right="400" w:hanging="206"/>
        <w:spacing w:after="0" w:line="245"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TSHA-118 </w:t>
      </w:r>
      <w:r>
        <w:rPr>
          <w:rFonts w:ascii="Arial" w:cs="Arial" w:eastAsia="Arial" w:hAnsi="Arial"/>
          <w:sz w:val="18"/>
          <w:szCs w:val="18"/>
          <w:color w:val="auto"/>
        </w:rPr>
        <w:t>is a self-complementary AAV9 viral vector that expresses human codon-optimized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CLN1</w:t>
      </w:r>
      <w:r>
        <w:rPr>
          <w:rFonts w:ascii="Arial" w:cs="Arial" w:eastAsia="Arial" w:hAnsi="Arial"/>
          <w:sz w:val="18"/>
          <w:szCs w:val="18"/>
          <w:b w:val="1"/>
          <w:bCs w:val="1"/>
          <w:color w:val="auto"/>
        </w:rPr>
        <w:t xml:space="preserve"> </w:t>
      </w:r>
      <w:r>
        <w:rPr>
          <w:rFonts w:ascii="Arial" w:cs="Arial" w:eastAsia="Arial" w:hAnsi="Arial"/>
          <w:sz w:val="18"/>
          <w:szCs w:val="18"/>
          <w:color w:val="auto"/>
        </w:rPr>
        <w:t>complementary</w:t>
      </w:r>
      <w:r>
        <w:rPr>
          <w:rFonts w:ascii="Arial" w:cs="Arial" w:eastAsia="Arial" w:hAnsi="Arial"/>
          <w:sz w:val="18"/>
          <w:szCs w:val="18"/>
          <w:b w:val="1"/>
          <w:bCs w:val="1"/>
          <w:color w:val="auto"/>
        </w:rPr>
        <w:t xml:space="preserve"> </w:t>
      </w:r>
      <w:r>
        <w:rPr>
          <w:rFonts w:ascii="Arial" w:cs="Arial" w:eastAsia="Arial" w:hAnsi="Arial"/>
          <w:sz w:val="18"/>
          <w:szCs w:val="18"/>
          <w:color w:val="auto"/>
        </w:rPr>
        <w:t>deoxyribonucleic acid under control of the chicken ß-actin hybrid promoter. Preclinical studies evaluating safety and biodistribution have been conducted, and we plan to conduct a Phase 1/2 clinical trial of TSHA-118 under a currently open IND. TSHA-118 has received orphan drug designation from the FDA and the European Medicines Agency, fast track designation from the FDA and rare pediatric disease designation from the FDA for the treatment of CLN1 disease.</w:t>
      </w:r>
    </w:p>
    <w:p>
      <w:pPr>
        <w:spacing w:after="0" w:line="77" w:lineRule="exact"/>
        <w:rPr>
          <w:rFonts w:ascii="Arial" w:cs="Arial" w:eastAsia="Arial" w:hAnsi="Arial"/>
          <w:sz w:val="18"/>
          <w:szCs w:val="18"/>
          <w:color w:val="auto"/>
        </w:rPr>
      </w:pPr>
    </w:p>
    <w:p>
      <w:pPr>
        <w:ind w:left="940" w:right="20" w:hanging="206"/>
        <w:spacing w:after="0" w:line="241"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TSHA-102</w:t>
      </w:r>
      <w:r>
        <w:rPr>
          <w:rFonts w:ascii="Arial" w:cs="Arial" w:eastAsia="Arial" w:hAnsi="Arial"/>
          <w:sz w:val="18"/>
          <w:szCs w:val="18"/>
          <w:color w:val="auto"/>
        </w:rPr>
        <w:t>, which is being developed for the treatment of Rett syndrome, one of the most common genetic causes of severe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intellectual disability worldwide with an incidence rate of one in every 10,000 live female births, characterized by rapid developmental regression and in many cases caused by heterozygous loss of function mutations in </w:t>
      </w:r>
      <w:r>
        <w:rPr>
          <w:rFonts w:ascii="Arial" w:cs="Arial" w:eastAsia="Arial" w:hAnsi="Arial"/>
          <w:sz w:val="18"/>
          <w:szCs w:val="18"/>
          <w:i w:val="1"/>
          <w:iCs w:val="1"/>
          <w:color w:val="auto"/>
        </w:rPr>
        <w:t>MECP2</w:t>
      </w:r>
      <w:r>
        <w:rPr>
          <w:rFonts w:ascii="Arial" w:cs="Arial" w:eastAsia="Arial" w:hAnsi="Arial"/>
          <w:sz w:val="18"/>
          <w:szCs w:val="18"/>
          <w:color w:val="auto"/>
        </w:rPr>
        <w:t xml:space="preserve">, a gene essential for neuronal and synaptic function in the brain. TSHA-102 is constructed from a neuronal specific promoter, MeP426, coupled with the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transgene, a truncated version of </w:t>
      </w:r>
      <w:r>
        <w:rPr>
          <w:rFonts w:ascii="Arial" w:cs="Arial" w:eastAsia="Arial" w:hAnsi="Arial"/>
          <w:sz w:val="18"/>
          <w:szCs w:val="18"/>
          <w:i w:val="1"/>
          <w:iCs w:val="1"/>
          <w:color w:val="auto"/>
        </w:rPr>
        <w:t>MECP2</w:t>
      </w:r>
      <w:r>
        <w:rPr>
          <w:rFonts w:ascii="Arial" w:cs="Arial" w:eastAsia="Arial" w:hAnsi="Arial"/>
          <w:sz w:val="18"/>
          <w:szCs w:val="18"/>
          <w:color w:val="auto"/>
        </w:rPr>
        <w:t>, and miRNA-Responsive Auto-Regulatory Element, or miRARE, our novel miRNA target panel, packaged in self-complementary AAV9. We plan to submit an IND for TSHA-102 to the FDA and initiate a clinical trial by the end of 2021. TSHA-102 has received rare pediatric disease designation from the FDA for the treatment of Rett syndrome.</w:t>
      </w:r>
    </w:p>
    <w:p>
      <w:pPr>
        <w:spacing w:after="0" w:line="78" w:lineRule="exact"/>
        <w:rPr>
          <w:rFonts w:ascii="Arial" w:cs="Arial" w:eastAsia="Arial" w:hAnsi="Arial"/>
          <w:sz w:val="18"/>
          <w:szCs w:val="18"/>
          <w:color w:val="auto"/>
        </w:rPr>
      </w:pPr>
    </w:p>
    <w:p>
      <w:pPr>
        <w:ind w:left="940" w:hanging="206"/>
        <w:spacing w:after="0" w:line="245"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TSHA-103</w:t>
      </w:r>
      <w:r>
        <w:rPr>
          <w:rFonts w:ascii="Arial" w:cs="Arial" w:eastAsia="Arial" w:hAnsi="Arial"/>
          <w:sz w:val="18"/>
          <w:szCs w:val="18"/>
          <w:color w:val="auto"/>
        </w:rPr>
        <w:t>, which is being developed for the treatment of SLC6A1 haploinsufficiency disorder, one of the most common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monogenic causes of epilepsy characterized by myoclonic atonic seizures, autism spectrum disorder and intellectual disability. TSHA-103 is constructed from a codon-optimized version of the human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packaged within a self-complementary AAV9 viral vector under the control of a JeT promoter. We plan to submit an IND for TSHA-103 to the FDA and initiate a clinical trial by the end of 2021.</w:t>
      </w:r>
    </w:p>
    <w:p>
      <w:pPr>
        <w:spacing w:after="0" w:line="77" w:lineRule="exact"/>
        <w:rPr>
          <w:rFonts w:ascii="Arial" w:cs="Arial" w:eastAsia="Arial" w:hAnsi="Arial"/>
          <w:sz w:val="18"/>
          <w:szCs w:val="18"/>
          <w:color w:val="auto"/>
        </w:rPr>
      </w:pPr>
    </w:p>
    <w:p>
      <w:pPr>
        <w:ind w:left="940" w:right="20" w:hanging="206"/>
        <w:spacing w:after="0" w:line="249"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TSHA-104</w:t>
      </w:r>
      <w:r>
        <w:rPr>
          <w:rFonts w:ascii="Arial" w:cs="Arial" w:eastAsia="Arial" w:hAnsi="Arial"/>
          <w:sz w:val="18"/>
          <w:szCs w:val="18"/>
          <w:color w:val="auto"/>
        </w:rPr>
        <w:t>, which is being developed for the treatment for Surfeit locus 1, or SURF1, deficiency. TSHA-104 is constructed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codon-optimized version of the human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packaged within a self-complementary AAV9 viral vector under the control of a modified version of the chicken ß-actin, or CBA, promoter CBA hybrid intron. We plan to submit an IND for TSHA-104 to the FDA and initiate a clinical trial by the end of 2021.</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Strategic Partnership with The University of Texas Southwestern Medical Center</w:t>
      </w:r>
    </w:p>
    <w:p>
      <w:pPr>
        <w:spacing w:after="0" w:line="104" w:lineRule="exact"/>
        <w:rPr>
          <w:sz w:val="20"/>
          <w:szCs w:val="20"/>
          <w:color w:val="auto"/>
        </w:rPr>
      </w:pPr>
    </w:p>
    <w:p>
      <w:pPr>
        <w:ind w:left="200" w:right="120" w:firstLine="543"/>
        <w:spacing w:after="0"/>
        <w:rPr>
          <w:sz w:val="20"/>
          <w:szCs w:val="20"/>
          <w:color w:val="auto"/>
        </w:rPr>
      </w:pPr>
      <w:r>
        <w:rPr>
          <w:rFonts w:ascii="Arial" w:cs="Arial" w:eastAsia="Arial" w:hAnsi="Arial"/>
          <w:sz w:val="18"/>
          <w:szCs w:val="18"/>
          <w:color w:val="auto"/>
        </w:rPr>
        <w:t>Our partnership with UT Southwestern is differentiated from traditional collaborations between industry and academia due to our access to UT Southwestern’s faculty, manufacturing facility and integrated research and clinical care approach, which, together, we believe will enable us to advance our development programs with speed and scale. Under the terms of our collaboration and license agreement with UT Southwestern, we hold an exclusive, worldwide royalty-free license to discover, develop and commercialize gene therapies for our pipeline. Within the framework of our partnership, UT Southwestern will conduct discovery and preclinical research, lead IND-enabling studies, manufacture GMP vectors for use in preclinical studies and clinical trials and execute natural history studies to support the development of our product candidates. We are responsible for all clinical development, regulatory, strategy, commercial manufacturing and commercialization.</w:t>
      </w:r>
    </w:p>
    <w:p>
      <w:pPr>
        <w:spacing w:after="0" w:line="180" w:lineRule="exact"/>
        <w:rPr>
          <w:sz w:val="20"/>
          <w:szCs w:val="20"/>
          <w:color w:val="auto"/>
        </w:rPr>
      </w:pPr>
    </w:p>
    <w:p>
      <w:pPr>
        <w:ind w:left="200" w:right="20" w:firstLine="543"/>
        <w:spacing w:after="0" w:line="248" w:lineRule="auto"/>
        <w:rPr>
          <w:sz w:val="20"/>
          <w:szCs w:val="20"/>
          <w:color w:val="auto"/>
        </w:rPr>
      </w:pPr>
      <w:r>
        <w:rPr>
          <w:rFonts w:ascii="Arial" w:cs="Arial" w:eastAsia="Arial" w:hAnsi="Arial"/>
          <w:sz w:val="18"/>
          <w:szCs w:val="18"/>
          <w:color w:val="auto"/>
        </w:rPr>
        <w:t>Through our partnership, we are able to leverage the collective expertise of UT Southwestern researchers, clinicians, and investigators with decades of experience in conducting cutting-edge research and providing clinical care, including in the neurodegenerative disease, neurodevelopmental disorder and genetic epilepsy therapeutic categories. Furthermore, UT Southwestern’s state-of-the art,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36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6362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right="300"/>
        <w:spacing w:after="0" w:line="276" w:lineRule="auto"/>
        <w:rPr>
          <w:sz w:val="20"/>
          <w:szCs w:val="20"/>
          <w:color w:val="auto"/>
        </w:rPr>
      </w:pPr>
      <w:r>
        <w:rPr>
          <w:rFonts w:ascii="Arial" w:cs="Arial" w:eastAsia="Arial" w:hAnsi="Arial"/>
          <w:sz w:val="18"/>
          <w:szCs w:val="18"/>
          <w:color w:val="auto"/>
        </w:rPr>
        <w:t>GMP viral vector manufacturing facility consists of a full process development laboratory and 500 liter GMP suite with the capacity to support multiple preclinical and early clinical development efforts in parallel.</w:t>
      </w:r>
    </w:p>
    <w:p>
      <w:pPr>
        <w:spacing w:after="0" w:line="145" w:lineRule="exact"/>
        <w:rPr>
          <w:sz w:val="20"/>
          <w:szCs w:val="20"/>
          <w:color w:val="auto"/>
        </w:rPr>
      </w:pPr>
    </w:p>
    <w:p>
      <w:pPr>
        <w:ind w:left="200" w:firstLine="543"/>
        <w:spacing w:after="0" w:line="247" w:lineRule="auto"/>
        <w:rPr>
          <w:sz w:val="20"/>
          <w:szCs w:val="20"/>
          <w:color w:val="auto"/>
        </w:rPr>
      </w:pPr>
      <w:r>
        <w:rPr>
          <w:rFonts w:ascii="Arial" w:cs="Arial" w:eastAsia="Arial" w:hAnsi="Arial"/>
          <w:sz w:val="18"/>
          <w:szCs w:val="18"/>
          <w:color w:val="auto"/>
        </w:rPr>
        <w:t>The UT Southwestern Gene Therapy Program is led by Steven Gray, Ph.D., and Berge Minassian, M.D. Dr. Gray’s core expertise is in AAV-based gene therapy vector engineering and optimizing approaches to deliver therapeutic transgenes to the CNS.</w:t>
      </w:r>
    </w:p>
    <w:p>
      <w:pPr>
        <w:spacing w:after="0" w:line="1" w:lineRule="exact"/>
        <w:rPr>
          <w:sz w:val="20"/>
          <w:szCs w:val="20"/>
          <w:color w:val="auto"/>
        </w:rPr>
      </w:pPr>
    </w:p>
    <w:p>
      <w:pPr>
        <w:ind w:left="200" w:right="300"/>
        <w:spacing w:after="0" w:line="250" w:lineRule="auto"/>
        <w:rPr>
          <w:sz w:val="20"/>
          <w:szCs w:val="20"/>
          <w:color w:val="auto"/>
        </w:rPr>
      </w:pPr>
      <w:r>
        <w:rPr>
          <w:rFonts w:ascii="Arial" w:cs="Arial" w:eastAsia="Arial" w:hAnsi="Arial"/>
          <w:sz w:val="18"/>
          <w:szCs w:val="18"/>
          <w:color w:val="auto"/>
        </w:rPr>
        <w:t>Dr. Minassian is a pediatric neurologist whose clinical specialties are epilepsy, neurodegenerative diseases and neurodevelopmental conditions.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Strategy</w:t>
      </w:r>
    </w:p>
    <w:p>
      <w:pPr>
        <w:spacing w:after="0" w:line="104" w:lineRule="exact"/>
        <w:rPr>
          <w:sz w:val="20"/>
          <w:szCs w:val="20"/>
          <w:color w:val="auto"/>
        </w:rPr>
      </w:pPr>
    </w:p>
    <w:p>
      <w:pPr>
        <w:ind w:left="200" w:right="80" w:firstLine="543"/>
        <w:spacing w:after="0" w:line="306" w:lineRule="auto"/>
        <w:rPr>
          <w:sz w:val="20"/>
          <w:szCs w:val="20"/>
          <w:color w:val="auto"/>
        </w:rPr>
      </w:pPr>
      <w:r>
        <w:rPr>
          <w:rFonts w:ascii="Arial" w:cs="Arial" w:eastAsia="Arial" w:hAnsi="Arial"/>
          <w:sz w:val="17"/>
          <w:szCs w:val="17"/>
          <w:color w:val="auto"/>
        </w:rPr>
        <w:t>We are building a patient-centric business with the goal of developing AAV-based gene therapies for the treatment of monogenic diseases of the CNS in both rare and large patient populations. We are focused on executing the following elements of our strategy:</w:t>
      </w:r>
    </w:p>
    <w:p>
      <w:pPr>
        <w:spacing w:after="0" w:line="26" w:lineRule="exact"/>
        <w:rPr>
          <w:sz w:val="20"/>
          <w:szCs w:val="20"/>
          <w:color w:val="auto"/>
        </w:rPr>
      </w:pPr>
    </w:p>
    <w:p>
      <w:pPr>
        <w:ind w:left="940" w:right="180" w:hanging="206"/>
        <w:spacing w:after="0" w:line="249"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Build a sustainable gene therapy company. </w:t>
      </w:r>
      <w:r>
        <w:rPr>
          <w:rFonts w:ascii="Arial" w:cs="Arial" w:eastAsia="Arial" w:hAnsi="Arial"/>
          <w:sz w:val="18"/>
          <w:szCs w:val="18"/>
          <w:color w:val="auto"/>
        </w:rPr>
        <w:t>Our goal is to build a gene therapy company with a sustainable pipeline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and a consistent stream of new commercial product launches. To that end, we are focused on advancing our current pipeline of AAV9-based gene therapies while actively developing our next generation platforms to discover and develop additional product candidates.</w:t>
      </w:r>
    </w:p>
    <w:p>
      <w:pPr>
        <w:spacing w:after="0" w:line="72" w:lineRule="exact"/>
        <w:rPr>
          <w:rFonts w:ascii="Arial" w:cs="Arial" w:eastAsia="Arial" w:hAnsi="Arial"/>
          <w:sz w:val="18"/>
          <w:szCs w:val="18"/>
          <w:color w:val="auto"/>
        </w:rPr>
      </w:pPr>
    </w:p>
    <w:p>
      <w:pPr>
        <w:ind w:left="940" w:right="20" w:hanging="206"/>
        <w:spacing w:after="0" w:line="241"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Advance our lead product candidates through clinical trials to commercialization. </w:t>
      </w:r>
      <w:r>
        <w:rPr>
          <w:rFonts w:ascii="Arial" w:cs="Arial" w:eastAsia="Arial" w:hAnsi="Arial"/>
          <w:sz w:val="18"/>
          <w:szCs w:val="18"/>
          <w:color w:val="auto"/>
        </w:rPr>
        <w:t>Our product portfolio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consists of 18 gene therapy product candidates targeting a diverse set of rare and prevalent CNS indications, with exclusive options to acquire four additional development programs from UT Southwestern at no cost. We intend to develop, seek regulatory approval and commercialize each product candidate in our portfolio. We expect to initiate a Phase 1/2 clinical trial of TSHA-101, a neurodegenerative product candidate, by the end of 2020, and we plan to submit INDs to the FDA for four programs by the end of 2021: TSHA-101, TSHA-102, TSHA-103 and TSHA-104. We also intend to conduct a Phase 1/2 clinical trial of TSHA-118 under a currently open IND. If our clinical trials are successful, we plan to discuss expedited regulatory approval strategies with regulatory authorities.</w:t>
      </w:r>
    </w:p>
    <w:p>
      <w:pPr>
        <w:spacing w:after="0" w:line="78" w:lineRule="exact"/>
        <w:rPr>
          <w:rFonts w:ascii="Arial" w:cs="Arial" w:eastAsia="Arial" w:hAnsi="Arial"/>
          <w:sz w:val="18"/>
          <w:szCs w:val="18"/>
          <w:color w:val="auto"/>
        </w:rPr>
      </w:pPr>
    </w:p>
    <w:p>
      <w:pPr>
        <w:ind w:left="940" w:hanging="206"/>
        <w:spacing w:after="0" w:line="245"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relationship with UT Southwestern. </w:t>
      </w:r>
      <w:r>
        <w:rPr>
          <w:rFonts w:ascii="Arial" w:cs="Arial" w:eastAsia="Arial" w:hAnsi="Arial"/>
          <w:sz w:val="18"/>
          <w:szCs w:val="18"/>
          <w:color w:val="auto"/>
        </w:rPr>
        <w:t>We are anchored by a differentiated strategic partnership with UT</w:t>
      </w:r>
      <w:r>
        <w:rPr>
          <w:rFonts w:ascii="Arial" w:cs="Arial" w:eastAsia="Arial" w:hAnsi="Arial"/>
          <w:sz w:val="18"/>
          <w:szCs w:val="18"/>
          <w:b w:val="1"/>
          <w:bCs w:val="1"/>
          <w:color w:val="auto"/>
        </w:rPr>
        <w:t xml:space="preserve"> </w:t>
      </w:r>
      <w:r>
        <w:rPr>
          <w:rFonts w:ascii="Arial" w:cs="Arial" w:eastAsia="Arial" w:hAnsi="Arial"/>
          <w:sz w:val="18"/>
          <w:szCs w:val="18"/>
          <w:color w:val="auto"/>
        </w:rPr>
        <w:t>Southwestern that allows us to access a highly experienced team of researchers and clinicians with deep experience in the underlying biology and treatment of monogenic CNS disorders and the patient populations that they treat. We believe that our partnership with UT Southwestern provides us with a significant advantage to discover, develop and commercialize novel gene therapies.</w:t>
      </w:r>
    </w:p>
    <w:p>
      <w:pPr>
        <w:spacing w:after="0" w:line="77" w:lineRule="exact"/>
        <w:rPr>
          <w:rFonts w:ascii="Arial" w:cs="Arial" w:eastAsia="Arial" w:hAnsi="Arial"/>
          <w:sz w:val="18"/>
          <w:szCs w:val="18"/>
          <w:color w:val="auto"/>
        </w:rPr>
      </w:pPr>
    </w:p>
    <w:p>
      <w:pPr>
        <w:ind w:left="940" w:hanging="206"/>
        <w:spacing w:after="0" w:line="239" w:lineRule="auto"/>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Utilize scalable manufacturing technologies. </w:t>
      </w:r>
      <w:r>
        <w:rPr>
          <w:rFonts w:ascii="Arial" w:cs="Arial" w:eastAsia="Arial" w:hAnsi="Arial"/>
          <w:sz w:val="18"/>
          <w:szCs w:val="18"/>
          <w:color w:val="auto"/>
        </w:rPr>
        <w:t>A critical component of the development of any complex biological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gene therapies, is the ability to manufacture the therapy efficiently at scale. Through our partnership with UT Southwestern, we have access to a flexible, scalable and well-characterized GMP manufacturing suite that utilizes a suspension HEK293 process to produce AAV9, which we believe will enable us to produce material suitable for clinical trials in a cost and time-efficient manner. We believe the capacity offered by UT Southwestern’s manufacturing facility will be sufficient to meet the clinical demand for our full pipeline of product candidates. Because we currently utilize the AAV9 capsid across our product portfolio, our product candidates differ primarily by their therapeutic transgene, and we believe that minimal changes to our optimized upstream and downstream processes are required to manufacture each product candidate. In addition, we intend to establish our own commercial scale GMP-compliant manufacturing facility to meet commercial demand if our product candidates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455" w:right="5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893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8934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940" w:right="120" w:hanging="206"/>
        <w:spacing w:after="0" w:line="249"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Develop our next generation platform technologies. </w:t>
      </w:r>
      <w:r>
        <w:rPr>
          <w:rFonts w:ascii="Arial" w:cs="Arial" w:eastAsia="Arial" w:hAnsi="Arial"/>
          <w:sz w:val="18"/>
          <w:szCs w:val="18"/>
          <w:color w:val="auto"/>
        </w:rPr>
        <w:t>In addition to our pipeline of AAV9-based gene therapies, we are</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developing three distinct platform technologies to enable the discovery, development, and rapid translation of new gene therapies: a proprietary technology to allow redosing of AAV-based gene therapies, transgene regulation (miRARE) and novel capsid development.</w:t>
      </w:r>
    </w:p>
    <w:p>
      <w:pPr>
        <w:spacing w:after="0" w:line="72" w:lineRule="exact"/>
        <w:rPr>
          <w:rFonts w:ascii="Arial" w:cs="Arial" w:eastAsia="Arial" w:hAnsi="Arial"/>
          <w:sz w:val="18"/>
          <w:szCs w:val="18"/>
          <w:color w:val="auto"/>
        </w:rPr>
      </w:pPr>
    </w:p>
    <w:p>
      <w:pPr>
        <w:ind w:left="940" w:hanging="206"/>
        <w:spacing w:after="0" w:line="245"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Evaluate strategic opportunities to accelerate development timelines and maximize the value of our product candidate pipeline. </w:t>
      </w:r>
      <w:r>
        <w:rPr>
          <w:rFonts w:ascii="Arial" w:cs="Arial" w:eastAsia="Arial" w:hAnsi="Arial"/>
          <w:sz w:val="18"/>
          <w:szCs w:val="18"/>
          <w:color w:val="auto"/>
        </w:rPr>
        <w:t>We are evaluating opportunities to maximize the value of our product candidate pipeline,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joint venture or other structure in China. We believe these structures may provide us with the opportunity to leverage the financial and other resources of partners to advance the development of our product candidate pipeline in a key geography such as China.</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104" w:lineRule="exact"/>
        <w:rPr>
          <w:sz w:val="20"/>
          <w:szCs w:val="20"/>
          <w:color w:val="auto"/>
        </w:rPr>
      </w:pPr>
    </w:p>
    <w:p>
      <w:pPr>
        <w:ind w:left="200" w:right="40" w:firstLine="543"/>
        <w:spacing w:after="0" w:line="248" w:lineRule="auto"/>
        <w:rPr>
          <w:sz w:val="20"/>
          <w:szCs w:val="20"/>
          <w:color w:val="auto"/>
        </w:rPr>
      </w:pPr>
      <w:r>
        <w:rPr>
          <w:rFonts w:ascii="Arial" w:cs="Arial" w:eastAsia="Arial" w:hAnsi="Arial"/>
          <w:sz w:val="18"/>
          <w:szCs w:val="18"/>
          <w:color w:val="auto"/>
        </w:rPr>
        <w:t>We utilize AAV9, an AAV serotype with a unique ability to cross the blood-brain barrier and transduce cells of the CNS. AAV9 has been widely characterized across numerous preclinical studies and more than 15 ongoing or completed clinical trials and has a well-characterized biodistribution, safety, tolerability and efficacy profile. In 2019, the FDA approved Zolgensma, the first systemic gene therapy that utilizes AAV9, for the treatment of spinal muscular atrophy Type 1 in infants.</w:t>
      </w:r>
    </w:p>
    <w:p>
      <w:pPr>
        <w:spacing w:after="0" w:line="170" w:lineRule="exact"/>
        <w:rPr>
          <w:sz w:val="20"/>
          <w:szCs w:val="20"/>
          <w:color w:val="auto"/>
        </w:rPr>
      </w:pPr>
    </w:p>
    <w:p>
      <w:pPr>
        <w:ind w:left="200" w:right="60" w:firstLine="543"/>
        <w:spacing w:after="0" w:line="239" w:lineRule="auto"/>
        <w:rPr>
          <w:sz w:val="20"/>
          <w:szCs w:val="20"/>
          <w:color w:val="auto"/>
        </w:rPr>
      </w:pPr>
      <w:r>
        <w:rPr>
          <w:rFonts w:ascii="Arial" w:cs="Arial" w:eastAsia="Arial" w:hAnsi="Arial"/>
          <w:sz w:val="18"/>
          <w:szCs w:val="18"/>
          <w:color w:val="auto"/>
        </w:rPr>
        <w:t>Intrathecal administration refers to the injection of a therapy directly into the CSF. The procedure is routinely performed in an outpatient setting and is generally well tolerated. We intend to administer our product candidates intrathecally, as we believe that intrathecal administration confers several advantages for the delivery of gene therapies to the CNS. In comparison to intravenous administration, intrathecal administration allows for a lower dose of the therapy, as the vector is confined to the CNS with limited uptake into off-target tissues. Because the CNS is immune-privileged, intrathecal gene therapy may be administered even in the presence of pre-existing antibodies to AAV. Finally, intrathecally delivered gene therapies have limited exposure to peripheral organs, which enables a higher concentration of vector to be delivered to the diseased tissue of interest. A growing body of literature supports the safety and relevance of lumbar intrathecal injection to deliver AAV9 to the CNS and achieve favorable biodistribution and transgene expression profiles. In comparison to other AAV serotypes, AAV9 administration through lumbar intrathecal injection has been shown to result in superior transduction of multiple cells within the CNS.</w:t>
      </w:r>
    </w:p>
    <w:p>
      <w:pPr>
        <w:spacing w:after="0" w:line="180" w:lineRule="exact"/>
        <w:rPr>
          <w:sz w:val="20"/>
          <w:szCs w:val="20"/>
          <w:color w:val="auto"/>
        </w:rPr>
      </w:pPr>
    </w:p>
    <w:p>
      <w:pPr>
        <w:ind w:left="200" w:right="20" w:firstLine="543"/>
        <w:spacing w:after="0" w:line="243" w:lineRule="auto"/>
        <w:rPr>
          <w:sz w:val="20"/>
          <w:szCs w:val="20"/>
          <w:color w:val="auto"/>
        </w:rPr>
      </w:pPr>
      <w:r>
        <w:rPr>
          <w:rFonts w:ascii="Arial" w:cs="Arial" w:eastAsia="Arial" w:hAnsi="Arial"/>
          <w:sz w:val="18"/>
          <w:szCs w:val="18"/>
          <w:color w:val="auto"/>
        </w:rPr>
        <w:t>We use a scalable production process for our product candidates using a suspension cell culture process in which mammalian HEK293 cells are transiently transfected with plasmid DNA. Our production process, including all process development, product characterization, analytical capabilities and purification techniques, is designed to efficiently scale to support our clinical and commercial development needs. The utilization of the AAV9 capsid across our product portfolio allows us to manufacture each product with minimal changes to our optimized upstream and downstream process, since each of our product candidates differ primarily by their therapeutic transgene.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Therapeutic Strategy</w:t>
      </w:r>
    </w:p>
    <w:p>
      <w:pPr>
        <w:spacing w:after="0" w:line="104" w:lineRule="exact"/>
        <w:rPr>
          <w:sz w:val="20"/>
          <w:szCs w:val="20"/>
          <w:color w:val="auto"/>
        </w:rPr>
      </w:pPr>
    </w:p>
    <w:p>
      <w:pPr>
        <w:ind w:left="200" w:right="180" w:firstLine="543"/>
        <w:spacing w:after="0" w:line="276" w:lineRule="auto"/>
        <w:rPr>
          <w:sz w:val="20"/>
          <w:szCs w:val="20"/>
          <w:color w:val="auto"/>
        </w:rPr>
      </w:pPr>
      <w:r>
        <w:rPr>
          <w:rFonts w:ascii="Arial" w:cs="Arial" w:eastAsia="Arial" w:hAnsi="Arial"/>
          <w:sz w:val="18"/>
          <w:szCs w:val="18"/>
          <w:color w:val="auto"/>
        </w:rPr>
        <w:t>We design our product candidates based on the underlying biology of the disease target and the characteristics that we believe will result in maximum therapeutic benefit for patients:</w:t>
      </w:r>
    </w:p>
    <w:p>
      <w:pPr>
        <w:spacing w:after="0" w:line="48" w:lineRule="exact"/>
        <w:rPr>
          <w:sz w:val="20"/>
          <w:szCs w:val="20"/>
          <w:color w:val="auto"/>
        </w:rPr>
      </w:pPr>
    </w:p>
    <w:p>
      <w:pPr>
        <w:ind w:left="940" w:right="60" w:hanging="206"/>
        <w:spacing w:after="0" w:line="256"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Gene replacement therapies. </w:t>
      </w:r>
      <w:r>
        <w:rPr>
          <w:rFonts w:ascii="Arial" w:cs="Arial" w:eastAsia="Arial" w:hAnsi="Arial"/>
          <w:sz w:val="18"/>
          <w:szCs w:val="18"/>
          <w:color w:val="auto"/>
        </w:rPr>
        <w:t>To treat diseases or disorders caused by a missing gene or limited expression of a gene due</w:t>
      </w:r>
      <w:r>
        <w:rPr>
          <w:rFonts w:ascii="Arial" w:cs="Arial" w:eastAsia="Arial" w:hAnsi="Arial"/>
          <w:sz w:val="18"/>
          <w:szCs w:val="18"/>
          <w:b w:val="1"/>
          <w:bCs w:val="1"/>
          <w:color w:val="auto"/>
        </w:rPr>
        <w:t xml:space="preserve"> </w:t>
      </w:r>
      <w:r>
        <w:rPr>
          <w:rFonts w:ascii="Arial" w:cs="Arial" w:eastAsia="Arial" w:hAnsi="Arial"/>
          <w:sz w:val="18"/>
          <w:szCs w:val="18"/>
          <w:color w:val="auto"/>
        </w:rPr>
        <w:t>to loss-of-function mutations, we design our product candidates to replace the gene of interest. In general, these product candidates are comprised</w:t>
      </w:r>
    </w:p>
    <w:p>
      <w:pPr>
        <w:spacing w:after="0" w:line="200" w:lineRule="exact"/>
        <w:rPr>
          <w:sz w:val="20"/>
          <w:szCs w:val="20"/>
          <w:color w:val="auto"/>
        </w:rPr>
      </w:pPr>
    </w:p>
    <w:p>
      <w:pPr>
        <w:spacing w:after="0" w:line="3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320" w:top="455" w:right="5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850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5850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right="180"/>
        <w:spacing w:after="0" w:line="276" w:lineRule="auto"/>
        <w:rPr>
          <w:sz w:val="20"/>
          <w:szCs w:val="20"/>
          <w:color w:val="auto"/>
        </w:rPr>
      </w:pPr>
      <w:r>
        <w:rPr>
          <w:rFonts w:ascii="Arial" w:cs="Arial" w:eastAsia="Arial" w:hAnsi="Arial"/>
          <w:sz w:val="18"/>
          <w:szCs w:val="18"/>
          <w:color w:val="auto"/>
        </w:rPr>
        <w:t>of a codon-optimized DNA transgene that encodes the wild type gene of interest, coupled with a promoter selected to ensure expression in the cell or tissue-type of interest.</w:t>
      </w:r>
    </w:p>
    <w:p>
      <w:pPr>
        <w:spacing w:after="0" w:line="48" w:lineRule="exact"/>
        <w:rPr>
          <w:sz w:val="20"/>
          <w:szCs w:val="20"/>
          <w:color w:val="auto"/>
        </w:rPr>
      </w:pPr>
    </w:p>
    <w:p>
      <w:pPr>
        <w:ind w:left="940" w:right="180" w:hanging="206"/>
        <w:spacing w:after="0" w:line="242"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Regulated gene replacement therapies. </w:t>
      </w:r>
      <w:r>
        <w:rPr>
          <w:rFonts w:ascii="Arial" w:cs="Arial" w:eastAsia="Arial" w:hAnsi="Arial"/>
          <w:sz w:val="18"/>
          <w:szCs w:val="18"/>
          <w:color w:val="auto"/>
        </w:rPr>
        <w:t>In a number of disorders, including Rett syndrome and FOXG1 syndrome, the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microRNA, or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w:t>
      </w:r>
    </w:p>
    <w:p>
      <w:pPr>
        <w:spacing w:after="0" w:line="78" w:lineRule="exact"/>
        <w:rPr>
          <w:rFonts w:ascii="Arial" w:cs="Arial" w:eastAsia="Arial" w:hAnsi="Arial"/>
          <w:sz w:val="18"/>
          <w:szCs w:val="18"/>
          <w:color w:val="auto"/>
        </w:rPr>
      </w:pPr>
    </w:p>
    <w:p>
      <w:pPr>
        <w:ind w:left="940" w:right="160" w:hanging="206"/>
        <w:spacing w:after="0" w:line="249"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Vectorized miRNA gene therapies. </w:t>
      </w:r>
      <w:r>
        <w:rPr>
          <w:rFonts w:ascii="Arial" w:cs="Arial" w:eastAsia="Arial" w:hAnsi="Arial"/>
          <w:sz w:val="18"/>
          <w:szCs w:val="18"/>
          <w:color w:val="auto"/>
        </w:rPr>
        <w:t>In certain diseases within our pipeline, including Lafora disease, adult polyglucosan</w:t>
      </w:r>
      <w:r>
        <w:rPr>
          <w:rFonts w:ascii="Arial" w:cs="Arial" w:eastAsia="Arial" w:hAnsi="Arial"/>
          <w:sz w:val="18"/>
          <w:szCs w:val="18"/>
          <w:b w:val="1"/>
          <w:bCs w:val="1"/>
          <w:color w:val="auto"/>
        </w:rPr>
        <w:t xml:space="preserve"> </w:t>
      </w:r>
      <w:r>
        <w:rPr>
          <w:rFonts w:ascii="Arial" w:cs="Arial" w:eastAsia="Arial" w:hAnsi="Arial"/>
          <w:sz w:val="18"/>
          <w:szCs w:val="18"/>
          <w:color w:val="auto"/>
        </w:rPr>
        <w:t>body disease and tauopathies, the goal of our product candidates is to silence the expression of genes that are involved in or considered to be the root cause of disease onset and progression. To accomplish this, we design transgenes that express miRNA, which are small, non-coding sequences of RNA that result in silencing of gene expression.</w:t>
      </w:r>
    </w:p>
    <w:p>
      <w:pPr>
        <w:spacing w:after="0" w:line="72" w:lineRule="exact"/>
        <w:rPr>
          <w:rFonts w:ascii="Arial" w:cs="Arial" w:eastAsia="Arial" w:hAnsi="Arial"/>
          <w:sz w:val="18"/>
          <w:szCs w:val="18"/>
          <w:color w:val="auto"/>
        </w:rPr>
      </w:pPr>
    </w:p>
    <w:p>
      <w:pPr>
        <w:ind w:left="940" w:hanging="206"/>
        <w:spacing w:after="0" w:line="249"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Vectorized shRNA gene therapies. </w:t>
      </w:r>
      <w:r>
        <w:rPr>
          <w:rFonts w:ascii="Arial" w:cs="Arial" w:eastAsia="Arial" w:hAnsi="Arial"/>
          <w:sz w:val="18"/>
          <w:szCs w:val="18"/>
          <w:color w:val="auto"/>
        </w:rPr>
        <w:t>In certain diseases such as Prader-Willi syndrome and Angelman syndrome, the goal of</w:t>
      </w:r>
      <w:r>
        <w:rPr>
          <w:rFonts w:ascii="Arial" w:cs="Arial" w:eastAsia="Arial" w:hAnsi="Arial"/>
          <w:sz w:val="18"/>
          <w:szCs w:val="18"/>
          <w:b w:val="1"/>
          <w:bCs w:val="1"/>
          <w:color w:val="auto"/>
        </w:rPr>
        <w:t xml:space="preserve"> </w:t>
      </w:r>
      <w:r>
        <w:rPr>
          <w:rFonts w:ascii="Arial" w:cs="Arial" w:eastAsia="Arial" w:hAnsi="Arial"/>
          <w:sz w:val="18"/>
          <w:szCs w:val="18"/>
          <w:color w:val="auto"/>
        </w:rPr>
        <w:t>our product candidates is to activate a constitutively silenced gene to generate a therapeutic effect under control of the endogenous promoters of the cell. We utilize transgenes that express short-hairpin RNA, or shRNA, which, upon binding to the target of interest, are designed to reactivate a silenced gene.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Next Generation Platform Technologies</w:t>
      </w:r>
    </w:p>
    <w:p>
      <w:pPr>
        <w:spacing w:after="0" w:line="104" w:lineRule="exact"/>
        <w:rPr>
          <w:sz w:val="20"/>
          <w:szCs w:val="20"/>
          <w:color w:val="auto"/>
        </w:rPr>
      </w:pPr>
    </w:p>
    <w:p>
      <w:pPr>
        <w:ind w:left="200" w:right="960" w:firstLine="543"/>
        <w:spacing w:after="0" w:line="276" w:lineRule="auto"/>
        <w:rPr>
          <w:sz w:val="20"/>
          <w:szCs w:val="20"/>
          <w:color w:val="auto"/>
        </w:rPr>
      </w:pPr>
      <w:r>
        <w:rPr>
          <w:rFonts w:ascii="Arial" w:cs="Arial" w:eastAsia="Arial" w:hAnsi="Arial"/>
          <w:sz w:val="18"/>
          <w:szCs w:val="18"/>
          <w:color w:val="auto"/>
        </w:rPr>
        <w:t>In addition to our pipeline of AAV9 product candidates, we are building a suite of platforms to develop next-generation technologies that can optimize key components of an AAV-based gene therapy.</w:t>
      </w:r>
    </w:p>
    <w:p>
      <w:pPr>
        <w:spacing w:after="0" w:line="25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Novel Route of Administration to Allow Redosing</w:t>
      </w:r>
    </w:p>
    <w:p>
      <w:pPr>
        <w:spacing w:after="0" w:line="104" w:lineRule="exact"/>
        <w:rPr>
          <w:sz w:val="20"/>
          <w:szCs w:val="20"/>
          <w:color w:val="auto"/>
        </w:rPr>
      </w:pPr>
    </w:p>
    <w:p>
      <w:pPr>
        <w:ind w:left="200" w:right="200" w:firstLine="543"/>
        <w:spacing w:after="0" w:line="248" w:lineRule="auto"/>
        <w:rPr>
          <w:sz w:val="20"/>
          <w:szCs w:val="20"/>
          <w:color w:val="auto"/>
        </w:rPr>
      </w:pPr>
      <w:r>
        <w:rPr>
          <w:rFonts w:ascii="Arial" w:cs="Arial" w:eastAsia="Arial" w:hAnsi="Arial"/>
          <w:sz w:val="18"/>
          <w:szCs w:val="18"/>
          <w:color w:val="auto"/>
        </w:rPr>
        <w:t>We are advancing a novel AAV dosing platform with the potential to facilitate redosing by administering AAV-based gene therapies directly to the vagus nerve. In preclinical studies in adult rats, we observed that AAV9 delivery to the vagus nerve resulted in efficient targeting of the vagal neurons. In preclinical studies in dogs, AAV delivery to the vagus nerve was well tolerated at all doses. Post-mortem analysis showed that vagal nerve fibers and neurons were microscopically normal.</w:t>
      </w:r>
    </w:p>
    <w:p>
      <w:pPr>
        <w:spacing w:after="0" w:line="170" w:lineRule="exact"/>
        <w:rPr>
          <w:sz w:val="20"/>
          <w:szCs w:val="20"/>
          <w:color w:val="auto"/>
        </w:rPr>
      </w:pPr>
    </w:p>
    <w:p>
      <w:pPr>
        <w:ind w:left="200" w:right="200" w:firstLine="543"/>
        <w:spacing w:after="0" w:line="255" w:lineRule="auto"/>
        <w:rPr>
          <w:sz w:val="20"/>
          <w:szCs w:val="20"/>
          <w:color w:val="auto"/>
        </w:rPr>
      </w:pPr>
      <w:r>
        <w:rPr>
          <w:rFonts w:ascii="Arial" w:cs="Arial" w:eastAsia="Arial" w:hAnsi="Arial"/>
          <w:sz w:val="18"/>
          <w:szCs w:val="18"/>
          <w:color w:val="auto"/>
        </w:rPr>
        <w:t>We believe that direct administration of our AAV9 therapies to the vagus nerve could be useful to treat the peripheral and autonomic manifestations of the CNS diseases in our pipeline. We plan to further evaluate the safety and feasibility of this approach in non-human primates, or NHPs.</w:t>
      </w:r>
    </w:p>
    <w:p>
      <w:pPr>
        <w:spacing w:after="0" w:line="272"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Regulated Transgene Expression Using miRARE</w:t>
      </w:r>
    </w:p>
    <w:p>
      <w:pPr>
        <w:spacing w:after="0" w:line="104" w:lineRule="exact"/>
        <w:rPr>
          <w:sz w:val="20"/>
          <w:szCs w:val="20"/>
          <w:color w:val="auto"/>
        </w:rPr>
      </w:pPr>
    </w:p>
    <w:p>
      <w:pPr>
        <w:ind w:left="200" w:right="80" w:firstLine="543"/>
        <w:spacing w:after="0" w:line="245" w:lineRule="auto"/>
        <w:rPr>
          <w:sz w:val="20"/>
          <w:szCs w:val="20"/>
          <w:color w:val="auto"/>
        </w:rPr>
      </w:pPr>
      <w:r>
        <w:rPr>
          <w:rFonts w:ascii="Arial" w:cs="Arial" w:eastAsia="Arial" w:hAnsi="Arial"/>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5"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41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5416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built-in regulation system is fully endogenous, and therefore does not require any additional exogenous drug application.</w:t>
      </w:r>
    </w:p>
    <w:p>
      <w:pPr>
        <w:spacing w:after="0" w:line="320"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Novel Capsid Identification</w:t>
      </w:r>
    </w:p>
    <w:p>
      <w:pPr>
        <w:spacing w:after="0" w:line="104" w:lineRule="exact"/>
        <w:rPr>
          <w:sz w:val="20"/>
          <w:szCs w:val="20"/>
          <w:color w:val="auto"/>
        </w:rPr>
      </w:pPr>
    </w:p>
    <w:p>
      <w:pPr>
        <w:ind w:left="200" w:right="100" w:firstLine="543"/>
        <w:spacing w:after="0" w:line="248" w:lineRule="auto"/>
        <w:rPr>
          <w:sz w:val="20"/>
          <w:szCs w:val="20"/>
          <w:color w:val="auto"/>
        </w:rPr>
      </w:pPr>
      <w:r>
        <w:rPr>
          <w:rFonts w:ascii="Arial" w:cs="Arial" w:eastAsia="Arial" w:hAnsi="Arial"/>
          <w:sz w:val="18"/>
          <w:szCs w:val="18"/>
          <w:color w:val="auto"/>
        </w:rPr>
        <w:t>We are developing a novel AAV capsid platform that utilizes machine learning, capsid shuffling and directed evolution to improve targeted delivery. Our approach allows us to identify capsids with improved properties in mice and NHPs in parallel to maximize their translational relevance. We are utilizing single-molecule, real-time sequencing analysis for high throughput characterization of these capsids.</w:t>
      </w:r>
    </w:p>
    <w:p>
      <w:pPr>
        <w:spacing w:after="0" w:line="170" w:lineRule="exact"/>
        <w:rPr>
          <w:sz w:val="20"/>
          <w:szCs w:val="20"/>
          <w:color w:val="auto"/>
        </w:rPr>
      </w:pPr>
    </w:p>
    <w:p>
      <w:pPr>
        <w:ind w:left="200" w:right="80" w:firstLine="543"/>
        <w:spacing w:after="0" w:line="276" w:lineRule="auto"/>
        <w:rPr>
          <w:sz w:val="20"/>
          <w:szCs w:val="20"/>
          <w:color w:val="auto"/>
        </w:rPr>
      </w:pPr>
      <w:r>
        <w:rPr>
          <w:rFonts w:ascii="Arial" w:cs="Arial" w:eastAsia="Arial" w:hAnsi="Arial"/>
          <w:sz w:val="18"/>
          <w:szCs w:val="18"/>
          <w:color w:val="auto"/>
        </w:rPr>
        <w:t>We believe that our approach will allow us to rapidly identify new capsids to drive new product candidates for CNS disorders with novel biodistribution and transduction profiles into our development pipeline.</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History and Team</w:t>
      </w:r>
    </w:p>
    <w:p>
      <w:pPr>
        <w:spacing w:after="0" w:line="104" w:lineRule="exact"/>
        <w:rPr>
          <w:sz w:val="20"/>
          <w:szCs w:val="20"/>
          <w:color w:val="auto"/>
        </w:rPr>
      </w:pPr>
    </w:p>
    <w:p>
      <w:pPr>
        <w:ind w:left="200" w:right="40" w:firstLine="543"/>
        <w:spacing w:after="0" w:line="239" w:lineRule="auto"/>
        <w:rPr>
          <w:sz w:val="20"/>
          <w:szCs w:val="20"/>
          <w:color w:val="auto"/>
        </w:rPr>
      </w:pPr>
      <w:r>
        <w:rPr>
          <w:rFonts w:ascii="Arial" w:cs="Arial" w:eastAsia="Arial" w:hAnsi="Arial"/>
          <w:sz w:val="18"/>
          <w:szCs w:val="18"/>
          <w:color w:val="auto"/>
        </w:rPr>
        <w:t>We believe that we have established a unique position in advancing the development of gene therapies. Our scientific founders, Dr. Steven Gray, who serves as our Chief Scientific Advisor, and Dr. Berge Minassian, who serves as our Chief Medical Advisor, have extensive experience in developing gene therapies and conducting clinical trials for complex CNS diseases. Our management team has significant experience in discovering, developing, manufacturing, and commercializing gene therapies. The members of our leadership team have specialized expertise developed at companies including Audentes Therapeutics, AveXis, BioMarin, PTC Therapeutics, Rocket Pharmaceuticals and Sanofi-Genzyme. Our board of directors played an integral role in the formation of our company and is comprised of Sean Nolan, the chairman of our board of directors and former Chief Executive Officer of AveXis, Phillip B. Donenberg, the former Chief Financial Officer of AveXis, Paul Manning of PBM Capital, Sukumar Nagendran, M.D., the former Chief Medical Officer of AveXis, and RA Session II, our President, Chief Executive Officer and Founder. Since our inception, we have raised an aggregate of $126.0 million of gross proceeds from the sale of preferred stock, including from leading institutional and life science investors.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Risks Associated with Our Business</w:t>
      </w:r>
    </w:p>
    <w:p>
      <w:pPr>
        <w:spacing w:after="0" w:line="104" w:lineRule="exact"/>
        <w:rPr>
          <w:sz w:val="20"/>
          <w:szCs w:val="20"/>
          <w:color w:val="auto"/>
        </w:rPr>
      </w:pPr>
    </w:p>
    <w:p>
      <w:pPr>
        <w:ind w:left="200" w:right="320" w:firstLine="543"/>
        <w:spacing w:after="0" w:line="276"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the section titled “Risk Factors” and include, among others:</w:t>
      </w:r>
    </w:p>
    <w:p>
      <w:pPr>
        <w:spacing w:after="0" w:line="50" w:lineRule="exact"/>
        <w:rPr>
          <w:sz w:val="20"/>
          <w:szCs w:val="20"/>
          <w:color w:val="auto"/>
        </w:rPr>
      </w:pPr>
    </w:p>
    <w:p>
      <w:pPr>
        <w:ind w:left="940" w:right="120" w:hanging="206"/>
        <w:spacing w:after="0" w:line="276"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50" w:lineRule="exact"/>
        <w:rPr>
          <w:rFonts w:ascii="Arial" w:cs="Arial" w:eastAsia="Arial" w:hAnsi="Arial"/>
          <w:sz w:val="18"/>
          <w:szCs w:val="18"/>
          <w:color w:val="auto"/>
        </w:rPr>
      </w:pPr>
    </w:p>
    <w:p>
      <w:pPr>
        <w:ind w:left="940" w:hanging="206"/>
        <w:spacing w:after="0" w:line="255"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69" w:lineRule="exact"/>
        <w:rPr>
          <w:rFonts w:ascii="Arial" w:cs="Arial" w:eastAsia="Arial" w:hAnsi="Arial"/>
          <w:sz w:val="18"/>
          <w:szCs w:val="18"/>
          <w:color w:val="auto"/>
        </w:rPr>
      </w:pPr>
    </w:p>
    <w:p>
      <w:pPr>
        <w:ind w:left="940" w:right="100" w:hanging="206"/>
        <w:spacing w:after="0" w:line="276"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were founded in 2019. We have a limited operating history and no history of commercializing products, which may make it difficult for an investor to evaluate the success of our business to date and to assess our future viability.</w:t>
      </w:r>
    </w:p>
    <w:p>
      <w:pPr>
        <w:spacing w:after="0" w:line="50" w:lineRule="exact"/>
        <w:rPr>
          <w:rFonts w:ascii="Arial" w:cs="Arial" w:eastAsia="Arial" w:hAnsi="Arial"/>
          <w:sz w:val="18"/>
          <w:szCs w:val="18"/>
          <w:color w:val="auto"/>
        </w:rPr>
      </w:pPr>
    </w:p>
    <w:p>
      <w:pPr>
        <w:ind w:left="940" w:right="80" w:hanging="206"/>
        <w:spacing w:after="0" w:line="276"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all of our product candidates are in preclinical development. If we are unable to successfully develop, receive regulatory approval for and</w:t>
      </w:r>
    </w:p>
    <w:p>
      <w:pPr>
        <w:spacing w:after="0" w:line="200" w:lineRule="exact"/>
        <w:rPr>
          <w:sz w:val="20"/>
          <w:szCs w:val="20"/>
          <w:color w:val="auto"/>
        </w:rPr>
      </w:pPr>
    </w:p>
    <w:p>
      <w:pPr>
        <w:spacing w:after="0" w:line="3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848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5584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spacing w:after="0" w:line="276" w:lineRule="auto"/>
        <w:rPr>
          <w:sz w:val="20"/>
          <w:szCs w:val="20"/>
          <w:color w:val="auto"/>
        </w:rPr>
      </w:pPr>
      <w:r>
        <w:rPr>
          <w:rFonts w:ascii="Arial" w:cs="Arial" w:eastAsia="Arial" w:hAnsi="Arial"/>
          <w:sz w:val="18"/>
          <w:szCs w:val="18"/>
          <w:color w:val="auto"/>
        </w:rPr>
        <w:t>commercialize our product candidates for these or any other indications, or successfully develop any other product candidates, or experience significant delays in doing so, our business will be harmed.</w:t>
      </w:r>
    </w:p>
    <w:p>
      <w:pPr>
        <w:spacing w:after="0" w:line="50" w:lineRule="exact"/>
        <w:rPr>
          <w:sz w:val="20"/>
          <w:szCs w:val="20"/>
          <w:color w:val="auto"/>
        </w:rPr>
      </w:pPr>
    </w:p>
    <w:p>
      <w:pPr>
        <w:jc w:val="both"/>
        <w:ind w:left="940" w:hanging="206"/>
        <w:spacing w:after="0" w:line="255"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9" w:lineRule="exact"/>
        <w:rPr>
          <w:rFonts w:ascii="Arial" w:cs="Arial" w:eastAsia="Arial" w:hAnsi="Arial"/>
          <w:sz w:val="18"/>
          <w:szCs w:val="18"/>
          <w:color w:val="auto"/>
        </w:rPr>
      </w:pPr>
    </w:p>
    <w:p>
      <w:pPr>
        <w:ind w:left="940" w:right="120" w:hanging="206"/>
        <w:spacing w:after="0" w:line="255"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intend to identify and develop novel gene therapy product candidates, which makes it difficult to predict the time, cost and potential success of product candidate development. To date, only two products that utilize gene transduction, and no therapies doing so via intrathecal administration, have ever been approved by the FDA.</w:t>
      </w:r>
    </w:p>
    <w:p>
      <w:pPr>
        <w:spacing w:after="0" w:line="69" w:lineRule="exact"/>
        <w:rPr>
          <w:rFonts w:ascii="Arial" w:cs="Arial" w:eastAsia="Arial" w:hAnsi="Arial"/>
          <w:sz w:val="18"/>
          <w:szCs w:val="18"/>
          <w:color w:val="auto"/>
        </w:rPr>
      </w:pPr>
    </w:p>
    <w:p>
      <w:pPr>
        <w:ind w:left="940" w:right="80" w:hanging="206"/>
        <w:spacing w:after="0" w:line="255"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spacing w:after="0" w:line="69" w:lineRule="exact"/>
        <w:rPr>
          <w:rFonts w:ascii="Arial" w:cs="Arial" w:eastAsia="Arial" w:hAnsi="Arial"/>
          <w:sz w:val="18"/>
          <w:szCs w:val="18"/>
          <w:color w:val="auto"/>
        </w:rPr>
      </w:pPr>
    </w:p>
    <w:p>
      <w:pPr>
        <w:ind w:left="940" w:right="200" w:hanging="206"/>
        <w:spacing w:after="0" w:line="276"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not yet tested any product candidates in clinical trials. Success in preclinical studies or earlier clinical trials may not be indicative of results in future clinical trials.</w:t>
      </w:r>
    </w:p>
    <w:p>
      <w:pPr>
        <w:spacing w:after="0" w:line="50" w:lineRule="exact"/>
        <w:rPr>
          <w:rFonts w:ascii="Arial" w:cs="Arial" w:eastAsia="Arial" w:hAnsi="Arial"/>
          <w:sz w:val="18"/>
          <w:szCs w:val="18"/>
          <w:color w:val="auto"/>
        </w:rPr>
      </w:pPr>
    </w:p>
    <w:p>
      <w:pPr>
        <w:ind w:left="940" w:right="360" w:hanging="206"/>
        <w:spacing w:after="0" w:line="276"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successful in our efforts to build a pipeline of additional product candidates or our next-generation platform technologies.</w:t>
      </w:r>
    </w:p>
    <w:p>
      <w:pPr>
        <w:spacing w:after="0" w:line="50" w:lineRule="exact"/>
        <w:rPr>
          <w:rFonts w:ascii="Arial" w:cs="Arial" w:eastAsia="Arial" w:hAnsi="Arial"/>
          <w:sz w:val="18"/>
          <w:szCs w:val="18"/>
          <w:color w:val="auto"/>
        </w:rPr>
      </w:pPr>
    </w:p>
    <w:p>
      <w:pPr>
        <w:ind w:left="940" w:hanging="206"/>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the evolving and ongoing COVID-19 global pandemic.</w:t>
      </w:r>
    </w:p>
    <w:p>
      <w:pPr>
        <w:spacing w:after="0" w:line="117" w:lineRule="exact"/>
        <w:rPr>
          <w:rFonts w:ascii="Arial" w:cs="Arial" w:eastAsia="Arial" w:hAnsi="Arial"/>
          <w:sz w:val="18"/>
          <w:szCs w:val="18"/>
          <w:color w:val="auto"/>
        </w:rPr>
      </w:pPr>
    </w:p>
    <w:p>
      <w:pPr>
        <w:ind w:left="940" w:right="280" w:hanging="206"/>
        <w:spacing w:after="0" w:line="276"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50" w:lineRule="exact"/>
        <w:rPr>
          <w:rFonts w:ascii="Arial" w:cs="Arial" w:eastAsia="Arial" w:hAnsi="Arial"/>
          <w:sz w:val="18"/>
          <w:szCs w:val="18"/>
          <w:color w:val="auto"/>
        </w:rPr>
      </w:pPr>
    </w:p>
    <w:p>
      <w:pPr>
        <w:ind w:left="940" w:right="100" w:hanging="206"/>
        <w:spacing w:after="0" w:line="245"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77" w:lineRule="exact"/>
        <w:rPr>
          <w:rFonts w:ascii="Arial" w:cs="Arial" w:eastAsia="Arial" w:hAnsi="Arial"/>
          <w:sz w:val="18"/>
          <w:szCs w:val="18"/>
          <w:color w:val="auto"/>
        </w:rPr>
      </w:pPr>
    </w:p>
    <w:p>
      <w:pPr>
        <w:ind w:left="940" w:hanging="206"/>
        <w:spacing w:after="0" w:line="255"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w:t>
      </w:r>
    </w:p>
    <w:p>
      <w:pPr>
        <w:spacing w:after="0" w:line="69" w:lineRule="exact"/>
        <w:rPr>
          <w:rFonts w:ascii="Arial" w:cs="Arial" w:eastAsia="Arial" w:hAnsi="Arial"/>
          <w:sz w:val="18"/>
          <w:szCs w:val="18"/>
          <w:color w:val="auto"/>
        </w:rPr>
      </w:pPr>
    </w:p>
    <w:p>
      <w:pPr>
        <w:ind w:left="940" w:right="780" w:hanging="206"/>
        <w:spacing w:after="0" w:line="276"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 opinion of gene therapy and increased regulatory scrutiny of gene therapy and genetic research may adversely impact the development or commercial success of our current and future product candidates.</w:t>
      </w:r>
    </w:p>
    <w:p>
      <w:pPr>
        <w:spacing w:after="0" w:line="50" w:lineRule="exact"/>
        <w:rPr>
          <w:rFonts w:ascii="Arial" w:cs="Arial" w:eastAsia="Arial" w:hAnsi="Arial"/>
          <w:sz w:val="18"/>
          <w:szCs w:val="18"/>
          <w:color w:val="auto"/>
        </w:rPr>
      </w:pPr>
    </w:p>
    <w:p>
      <w:pPr>
        <w:ind w:left="940" w:hanging="206"/>
        <w:spacing w:after="0" w:line="276"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50" w:lineRule="exact"/>
        <w:rPr>
          <w:rFonts w:ascii="Arial" w:cs="Arial" w:eastAsia="Arial" w:hAnsi="Arial"/>
          <w:sz w:val="18"/>
          <w:szCs w:val="18"/>
          <w:color w:val="auto"/>
        </w:rPr>
      </w:pPr>
    </w:p>
    <w:p>
      <w:pPr>
        <w:ind w:left="940" w:right="100" w:hanging="206"/>
        <w:spacing w:after="0" w:line="248"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We are aware of issued patent or patents issued to REGENXBIO Inc., or REGENX, that claim AAV vectors that have an AAV9 capsid serotype. If we commercialize any of our product candidates prior to the expiry of those patents in 2026 without a license, REGENX could bring an action claiming infringement.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5" w:right="5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93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55930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right="100" w:hanging="206"/>
        <w:spacing w:after="0" w:line="276"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related to any of our product candidates, we may not be able to compete effectively in our market.</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Implications of Being an Emerging Growth Company and a Smaller Reporting Company</w:t>
      </w:r>
    </w:p>
    <w:p>
      <w:pPr>
        <w:spacing w:after="0" w:line="104" w:lineRule="exact"/>
        <w:rPr>
          <w:sz w:val="20"/>
          <w:szCs w:val="20"/>
          <w:color w:val="auto"/>
        </w:rPr>
      </w:pPr>
    </w:p>
    <w:p>
      <w:pPr>
        <w:ind w:left="200" w:right="120" w:firstLine="543"/>
        <w:spacing w:after="0" w:line="255"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For so long as we remain an emerging growth company, we may take advantage of relief from certain reporting requirements and other burdens that are otherwise applicable generally to public companies. These provisions include:</w:t>
      </w:r>
    </w:p>
    <w:p>
      <w:pPr>
        <w:spacing w:after="0" w:line="69" w:lineRule="exact"/>
        <w:rPr>
          <w:sz w:val="20"/>
          <w:szCs w:val="20"/>
          <w:color w:val="auto"/>
        </w:rPr>
      </w:pPr>
    </w:p>
    <w:p>
      <w:pPr>
        <w:ind w:left="940" w:right="320" w:hanging="206"/>
        <w:spacing w:after="0" w:line="255"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p>
      <w:pPr>
        <w:spacing w:after="0" w:line="69" w:lineRule="exact"/>
        <w:rPr>
          <w:rFonts w:ascii="Arial" w:cs="Arial" w:eastAsia="Arial" w:hAnsi="Arial"/>
          <w:sz w:val="18"/>
          <w:szCs w:val="18"/>
          <w:color w:val="auto"/>
        </w:rPr>
      </w:pPr>
    </w:p>
    <w:p>
      <w:pPr>
        <w:ind w:left="940" w:right="180" w:hanging="206"/>
        <w:spacing w:after="0" w:line="27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as amended;</w:t>
      </w:r>
    </w:p>
    <w:p>
      <w:pPr>
        <w:spacing w:after="0" w:line="50" w:lineRule="exact"/>
        <w:rPr>
          <w:rFonts w:ascii="Arial" w:cs="Arial" w:eastAsia="Arial" w:hAnsi="Arial"/>
          <w:sz w:val="18"/>
          <w:szCs w:val="18"/>
          <w:color w:val="auto"/>
        </w:rPr>
      </w:pPr>
    </w:p>
    <w:p>
      <w:pPr>
        <w:ind w:left="940" w:right="100" w:hanging="206"/>
        <w:spacing w:after="0" w:line="27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w:t>
      </w:r>
    </w:p>
    <w:p>
      <w:pPr>
        <w:spacing w:after="0" w:line="50" w:lineRule="exact"/>
        <w:rPr>
          <w:rFonts w:ascii="Arial" w:cs="Arial" w:eastAsia="Arial" w:hAnsi="Arial"/>
          <w:sz w:val="18"/>
          <w:szCs w:val="18"/>
          <w:color w:val="auto"/>
        </w:rPr>
      </w:pPr>
    </w:p>
    <w:p>
      <w:pPr>
        <w:ind w:left="940" w:right="480" w:hanging="206"/>
        <w:spacing w:after="0" w:line="27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or golden parachute arrangements; and</w:t>
      </w:r>
    </w:p>
    <w:p>
      <w:pPr>
        <w:spacing w:after="0" w:line="50" w:lineRule="exact"/>
        <w:rPr>
          <w:rFonts w:ascii="Arial" w:cs="Arial" w:eastAsia="Arial" w:hAnsi="Arial"/>
          <w:sz w:val="18"/>
          <w:szCs w:val="18"/>
          <w:color w:val="auto"/>
        </w:rPr>
      </w:pPr>
    </w:p>
    <w:p>
      <w:pPr>
        <w:ind w:left="940" w:right="620" w:hanging="206"/>
        <w:spacing w:after="0" w:line="276"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45" w:lineRule="exact"/>
        <w:rPr>
          <w:sz w:val="20"/>
          <w:szCs w:val="20"/>
          <w:color w:val="auto"/>
        </w:rPr>
      </w:pPr>
    </w:p>
    <w:p>
      <w:pPr>
        <w:ind w:left="200" w:right="60" w:firstLine="543"/>
        <w:spacing w:after="0"/>
        <w:rPr>
          <w:sz w:val="20"/>
          <w:szCs w:val="20"/>
          <w:color w:val="auto"/>
        </w:rPr>
      </w:pPr>
      <w:r>
        <w:rPr>
          <w:rFonts w:ascii="Arial" w:cs="Arial" w:eastAsia="Arial" w:hAnsi="Arial"/>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$1.07 billion in total annual gross revenues, (iii) the date on which we are deemed to be a “large accelerated filer” under the rules of the U.S. Securities and Exchange Commission,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180" w:lineRule="exact"/>
        <w:rPr>
          <w:sz w:val="20"/>
          <w:szCs w:val="20"/>
          <w:color w:val="auto"/>
        </w:rPr>
      </w:pPr>
    </w:p>
    <w:p>
      <w:pPr>
        <w:ind w:left="200" w:firstLine="543"/>
        <w:spacing w:after="0"/>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5" w:right="5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2489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24898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right="80" w:firstLine="543"/>
        <w:spacing w:after="0" w:line="255" w:lineRule="auto"/>
        <w:rPr>
          <w:sz w:val="20"/>
          <w:szCs w:val="20"/>
          <w:color w:val="auto"/>
        </w:rPr>
      </w:pPr>
      <w:r>
        <w:rPr>
          <w:rFonts w:ascii="Arial" w:cs="Arial" w:eastAsia="Arial" w:hAnsi="Arial"/>
          <w:sz w:val="17"/>
          <w:szCs w:val="17"/>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w:t>
      </w:r>
    </w:p>
    <w:p>
      <w:pPr>
        <w:spacing w:after="0" w:line="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04" w:lineRule="exact"/>
        <w:rPr>
          <w:sz w:val="20"/>
          <w:szCs w:val="20"/>
          <w:color w:val="auto"/>
        </w:rPr>
      </w:pPr>
    </w:p>
    <w:p>
      <w:pPr>
        <w:ind w:left="200" w:right="100" w:firstLine="543"/>
        <w:spacing w:after="0" w:line="268" w:lineRule="auto"/>
        <w:rPr>
          <w:sz w:val="20"/>
          <w:szCs w:val="20"/>
          <w:color w:val="auto"/>
        </w:rPr>
      </w:pPr>
      <w:r>
        <w:rPr>
          <w:rFonts w:ascii="Arial" w:cs="Arial" w:eastAsia="Arial" w:hAnsi="Arial"/>
          <w:sz w:val="17"/>
          <w:szCs w:val="17"/>
          <w:color w:val="auto"/>
        </w:rPr>
        <w:t xml:space="preserve">We were incorporated under the laws of the State of Texas in September 2019. In February 2020, we converted to a Delaware corporation. Our principal executive offices are located at 2280 Inwood Road, Dallas, Texas 75235 and our telephone number is (214) 612-0000. Our website address is </w:t>
      </w:r>
      <w:r>
        <w:rPr>
          <w:rFonts w:ascii="Arial" w:cs="Arial" w:eastAsia="Arial" w:hAnsi="Arial"/>
          <w:sz w:val="17"/>
          <w:szCs w:val="17"/>
          <w:i w:val="1"/>
          <w:iCs w:val="1"/>
          <w:color w:val="auto"/>
        </w:rPr>
        <w:t>www.tayshagtx.com</w:t>
      </w:r>
      <w:r>
        <w:rPr>
          <w:rFonts w:ascii="Arial" w:cs="Arial" w:eastAsia="Arial" w:hAnsi="Arial"/>
          <w:sz w:val="17"/>
          <w:szCs w:val="17"/>
          <w:color w:val="auto"/>
        </w:rPr>
        <w:t>. The information contained on, or accessible through, our website is not incorporated by reference into this prospectus. We have included our website in this prospectus solely as an inactive textual reference.</w:t>
      </w: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320" w:top="455" w:right="579" w:bottom="1440" w:gutter="0" w:footer="0" w:header="0"/>
        </w:sectPr>
      </w:pPr>
    </w:p>
    <w:bookmarkStart w:id="13" w:name="page14"/>
    <w:bookmarkEnd w:id="1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53962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5396230"/>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Underwriters’ option to purchase additional shares</w:t>
      </w:r>
    </w:p>
    <w:p>
      <w:pPr>
        <w:spacing w:after="0" w:line="266" w:lineRule="exact"/>
        <w:rPr>
          <w:sz w:val="20"/>
          <w:szCs w:val="20"/>
          <w:color w:val="auto"/>
        </w:rPr>
      </w:pPr>
    </w:p>
    <w:p>
      <w:pPr>
        <w:ind w:left="380" w:hanging="179"/>
        <w:spacing w:after="0" w:line="276"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Proposed 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Offering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6,578,950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986,842 shares</w:t>
      </w:r>
    </w:p>
    <w:p>
      <w:pPr>
        <w:spacing w:after="0" w:line="266"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34,521,359 shares (or 35,508,201 shares if the underwriters exercise in full their option to purchase additional shares)</w:t>
      </w:r>
    </w:p>
    <w:p>
      <w:pPr>
        <w:spacing w:after="0" w:line="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estimate that the net proceeds from this offering will be approximately $113.3 million, (or approximately $130.7 million if the underwriters exercise in full their option to purchase up to 986,842 additional shares of common stock), assuming an initial public offering price of $19.00 per share, which is the midpoint of the price range set forth on the cover page of this prospectus, after deducting the estimated underwriting discounts and commissions and estimated offering expenses payable by us.</w:t>
      </w:r>
    </w:p>
    <w:p>
      <w:pPr>
        <w:spacing w:after="0" w:line="44"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to fund discovery and IND-enabling activities, as well as manufacturing and quality control testing for our clinical and preclinical programs, clinical trial, regulatory and medical activities for TSHA-101, TSHA-102, TSHA-103, TSHA-104 and TSHA-118 and the establishment of our in-house manufacturing facility, and the remainder for working capital and other general corporate purposes. See the section titled “Use of Proceeds” beginning for additional information.</w:t>
      </w:r>
    </w:p>
    <w:p>
      <w:pPr>
        <w:spacing w:after="0" w:line="4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At our request, the underwriters have reserved up to 5% of the shares of common stock for sale at the initial public offering price to persons who are directors, executive officers or employees, or who are otherwise associated with us, through a directed share program. Other than our directors, executive officers and employees who are subject to a 180-day lock-up, individuals who purchase shares in the directed share program will not be subject to a lock-up. Any directed shares not purchased will be offered by the underwriters to the general public on the same basis as all other shares offered. See the section titled “Underwriting” for a complete description of the directed share program.</w:t>
      </w: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should read the section titled “Risk Factors” for a discussion of factors you should consider carefully, together with all the other information included in this prospectus, before deciding to invest in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“TSHA”</w:t>
      </w:r>
    </w:p>
    <w:p>
      <w:pPr>
        <w:spacing w:after="0" w:line="200" w:lineRule="exact"/>
        <w:rPr>
          <w:sz w:val="20"/>
          <w:szCs w:val="20"/>
          <w:color w:val="auto"/>
        </w:rPr>
      </w:pPr>
    </w:p>
    <w:p>
      <w:pPr>
        <w:sectPr>
          <w:pgSz w:w="11900" w:h="16838" w:orient="portrait"/>
          <w:cols w:equalWidth="0" w:num="2">
            <w:col w:w="4580" w:space="180"/>
            <w:col w:w="6260"/>
          </w:cols>
          <w:pgMar w:left="320" w:top="455" w:right="55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20"/>
          </w:cols>
          <w:pgMar w:left="320" w:top="455" w:right="55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615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46158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right="40" w:firstLine="543"/>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27,942,409 shares of our common stock outstanding as of June 30, 2020, after giving effect to the conversion of all outstanding shares of our convertible preferred stock, including the convertible preferred stock issued in July and August 2020, into an aggregate of 17,047,410 shares of common stock, and excludes:</w:t>
      </w:r>
    </w:p>
    <w:p>
      <w:pPr>
        <w:spacing w:after="0" w:line="76" w:lineRule="exact"/>
        <w:rPr>
          <w:sz w:val="20"/>
          <w:szCs w:val="20"/>
          <w:color w:val="auto"/>
        </w:rPr>
      </w:pPr>
    </w:p>
    <w:p>
      <w:pPr>
        <w:ind w:left="940" w:right="620" w:hanging="206"/>
        <w:spacing w:after="0" w:line="27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16,342 shares of our common stock issuable upon the exercise of options under our 2020 Equity Incentive Plan, or the Existing Plan, granted subsequent to June 30, 2020, at an exercise price of $14.90 per share;</w:t>
      </w:r>
    </w:p>
    <w:p>
      <w:pPr>
        <w:spacing w:after="0" w:line="50" w:lineRule="exact"/>
        <w:rPr>
          <w:rFonts w:ascii="Arial" w:cs="Arial" w:eastAsia="Arial" w:hAnsi="Arial"/>
          <w:sz w:val="18"/>
          <w:szCs w:val="18"/>
          <w:color w:val="auto"/>
        </w:rPr>
      </w:pPr>
    </w:p>
    <w:p>
      <w:pPr>
        <w:ind w:left="940" w:hanging="206"/>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769,058 shares of our restricted common stock awarded under the Existing Plan subsequent to June 30, 2020;</w:t>
      </w:r>
    </w:p>
    <w:p>
      <w:pPr>
        <w:spacing w:after="0" w:line="117" w:lineRule="exact"/>
        <w:rPr>
          <w:rFonts w:ascii="Arial" w:cs="Arial" w:eastAsia="Arial" w:hAnsi="Arial"/>
          <w:sz w:val="18"/>
          <w:szCs w:val="18"/>
          <w:color w:val="auto"/>
        </w:rPr>
      </w:pPr>
    </w:p>
    <w:p>
      <w:pPr>
        <w:ind w:left="940" w:right="640" w:hanging="206"/>
        <w:spacing w:after="0" w:line="27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2,850,053 shares of common stock issuable upon the vesting of restricted stock units awarded under the Existing Plan subsequent to June 30, 2020;</w:t>
      </w:r>
    </w:p>
    <w:p>
      <w:pPr>
        <w:spacing w:after="0" w:line="50" w:lineRule="exact"/>
        <w:rPr>
          <w:rFonts w:ascii="Arial" w:cs="Arial" w:eastAsia="Arial" w:hAnsi="Arial"/>
          <w:sz w:val="18"/>
          <w:szCs w:val="18"/>
          <w:color w:val="auto"/>
        </w:rPr>
      </w:pPr>
    </w:p>
    <w:p>
      <w:pPr>
        <w:ind w:left="940" w:right="60" w:hanging="206"/>
        <w:spacing w:after="0" w:line="255"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209,841 shares of our common stock reserved for future issuance under the Existing Plan, which shares will cease to be available for issuance at the time our 2020 Stock Incentive Plan, or the New Plan becomes effective and will be added to, and become available for issuance under, the New Plan;</w:t>
      </w:r>
    </w:p>
    <w:p>
      <w:pPr>
        <w:spacing w:after="0" w:line="69" w:lineRule="exact"/>
        <w:rPr>
          <w:rFonts w:ascii="Arial" w:cs="Arial" w:eastAsia="Arial" w:hAnsi="Arial"/>
          <w:sz w:val="18"/>
          <w:szCs w:val="18"/>
          <w:color w:val="auto"/>
        </w:rPr>
      </w:pPr>
    </w:p>
    <w:p>
      <w:pPr>
        <w:ind w:left="940" w:right="80" w:hanging="206"/>
        <w:spacing w:after="0" w:line="255"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3,390,168 shares of our common stock reserved for future issuance under our New Plan, which will become effective in connection with this offering, as well as any automatic increases in the number of shares of common stock reserved for future issuance under the New Plan; and</w:t>
      </w:r>
    </w:p>
    <w:p>
      <w:pPr>
        <w:spacing w:after="0" w:line="69" w:lineRule="exact"/>
        <w:rPr>
          <w:rFonts w:ascii="Arial" w:cs="Arial" w:eastAsia="Arial" w:hAnsi="Arial"/>
          <w:sz w:val="18"/>
          <w:szCs w:val="18"/>
          <w:color w:val="auto"/>
        </w:rPr>
      </w:pPr>
    </w:p>
    <w:p>
      <w:pPr>
        <w:ind w:left="940" w:right="40" w:hanging="206"/>
        <w:spacing w:after="0" w:line="255"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362,000 shares of our common stock reserved for future issuance under our 2020 Employee Stock Purchase Plan, or the ESPP, which will become effective in connection with this offering, as well as any automatic increases in the number of shares of common stock reserved for future issuance under the ESPP.</w:t>
      </w:r>
    </w:p>
    <w:p>
      <w:pPr>
        <w:spacing w:after="0" w:line="164" w:lineRule="exact"/>
        <w:rPr>
          <w:sz w:val="20"/>
          <w:szCs w:val="20"/>
          <w:color w:val="auto"/>
        </w:rPr>
      </w:pPr>
    </w:p>
    <w:p>
      <w:pPr>
        <w:ind w:left="200" w:firstLine="543"/>
        <w:spacing w:after="0" w:line="276"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common stock that will be outstanding after this offering, assumes or gives effect to:</w:t>
      </w:r>
    </w:p>
    <w:p>
      <w:pPr>
        <w:spacing w:after="0" w:line="50" w:lineRule="exact"/>
        <w:rPr>
          <w:sz w:val="20"/>
          <w:szCs w:val="20"/>
          <w:color w:val="auto"/>
        </w:rPr>
      </w:pPr>
    </w:p>
    <w:p>
      <w:pPr>
        <w:ind w:left="940" w:right="500" w:hanging="206"/>
        <w:spacing w:after="0" w:line="276"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an aggregate of 17,047,410 shares of our common stock, which will occur upon the closing of this offering;</w:t>
      </w:r>
    </w:p>
    <w:p>
      <w:pPr>
        <w:spacing w:after="0" w:line="50" w:lineRule="exact"/>
        <w:rPr>
          <w:rFonts w:ascii="Arial" w:cs="Arial" w:eastAsia="Arial" w:hAnsi="Arial"/>
          <w:sz w:val="18"/>
          <w:szCs w:val="18"/>
          <w:color w:val="auto"/>
        </w:rPr>
      </w:pPr>
    </w:p>
    <w:p>
      <w:pPr>
        <w:ind w:left="940" w:hanging="20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1.0895-for-1 stock split of our common stock effected on September 16, 2020;</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 after June 30, 2020; and</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320" w:top="455" w:right="5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01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59016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FINANCIAL DATA</w:t>
      </w:r>
    </w:p>
    <w:p>
      <w:pPr>
        <w:spacing w:after="0" w:line="214" w:lineRule="exact"/>
        <w:rPr>
          <w:sz w:val="20"/>
          <w:szCs w:val="20"/>
          <w:color w:val="auto"/>
        </w:rPr>
      </w:pPr>
    </w:p>
    <w:p>
      <w:pPr>
        <w:ind w:left="200" w:right="100" w:firstLine="543"/>
        <w:spacing w:after="0"/>
        <w:rPr>
          <w:sz w:val="20"/>
          <w:szCs w:val="20"/>
          <w:color w:val="auto"/>
        </w:rPr>
      </w:pPr>
      <w:r>
        <w:rPr>
          <w:rFonts w:ascii="Arial" w:cs="Arial" w:eastAsia="Arial" w:hAnsi="Arial"/>
          <w:sz w:val="18"/>
          <w:szCs w:val="18"/>
          <w:color w:val="auto"/>
        </w:rPr>
        <w:t>The following tables set forth our summary statement of operations data for the period from September 20, 2019 (the date of our inception) through December 31, 2019. We have derived the statement of operations data for the period from September 20, 2019 (the date of our inception) through December 31, 2019 from our audited financial statements appearing elsewhere in this prospectus. The statement of operations data for the six months ended June 30, 2020 and the balance sheet data as of June 30, 2020 have been derived from our unaudited condensed consolidated financial statements appearing elsewhere in this prospectus and have been prepared on the same basis as the audited financial statements. In the opinion of management, the unaudited data reflects all adjustments, consisting only of normal recurring adjustments, considered necessary for a fair presentation of the financial information in those statements.</w:t>
      </w:r>
    </w:p>
    <w:p>
      <w:pPr>
        <w:spacing w:after="0" w:line="180" w:lineRule="exact"/>
        <w:rPr>
          <w:sz w:val="20"/>
          <w:szCs w:val="20"/>
          <w:color w:val="auto"/>
        </w:rPr>
      </w:pPr>
    </w:p>
    <w:p>
      <w:pPr>
        <w:ind w:left="200" w:right="100" w:firstLine="543"/>
        <w:spacing w:after="0" w:line="245" w:lineRule="auto"/>
        <w:rPr>
          <w:sz w:val="20"/>
          <w:szCs w:val="20"/>
          <w:color w:val="auto"/>
        </w:rPr>
      </w:pPr>
      <w:r>
        <w:rPr>
          <w:rFonts w:ascii="Arial" w:cs="Arial" w:eastAsia="Arial" w:hAnsi="Arial"/>
          <w:sz w:val="18"/>
          <w:szCs w:val="18"/>
          <w:color w:val="auto"/>
        </w:rPr>
        <w:t>You should read the following summary financial data together with our financial statements and the related notes thereto included elsewhere in this prospectus and the sections of this prospectus titled “Selected Financial Data” and “Management’s Discussion and Analysis of Financial Condition and Results of Operations.” The summary financial data in this section are not intended to replace our financial statements and are qualified in their entirety by our financial statements and related notes included elsewhere in this prospectus. Our historical results are not necessarily indicative of the results that should be expected in the future.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 from September 20,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2019 (Date of Inception)</w:t>
            </w:r>
          </w:p>
        </w:tc>
        <w:tc>
          <w:tcPr>
            <w:tcW w:w="5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gridSpan w:val="3"/>
          </w:tcPr>
          <w:p>
            <w:pPr>
              <w:spacing w:after="0"/>
              <w:rPr>
                <w:sz w:val="20"/>
                <w:szCs w:val="20"/>
                <w:color w:val="auto"/>
              </w:rPr>
            </w:pPr>
            <w:r>
              <w:rPr>
                <w:rFonts w:ascii="Arial" w:cs="Arial" w:eastAsia="Arial" w:hAnsi="Arial"/>
                <w:sz w:val="14"/>
                <w:szCs w:val="14"/>
                <w:b w:val="1"/>
                <w:bCs w:val="1"/>
                <w:color w:val="auto"/>
              </w:rPr>
              <w:t>through December 31, 2019</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 except share and per share data)</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340"/>
              <w:spacing w:after="0" w:line="202" w:lineRule="exact"/>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ind w:left="580"/>
              <w:spacing w:after="0" w:line="202" w:lineRule="exact"/>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987</w:t>
            </w:r>
          </w:p>
        </w:tc>
        <w:tc>
          <w:tcPr>
            <w:tcW w:w="620" w:type="dxa"/>
            <w:vAlign w:val="bottom"/>
          </w:tcPr>
          <w:p>
            <w:pPr>
              <w:spacing w:after="0"/>
              <w:rPr>
                <w:sz w:val="17"/>
                <w:szCs w:val="17"/>
                <w:color w:val="auto"/>
              </w:rPr>
            </w:pPr>
          </w:p>
        </w:tc>
        <w:tc>
          <w:tcPr>
            <w:tcW w:w="700" w:type="dxa"/>
            <w:vAlign w:val="bottom"/>
            <w:gridSpan w:val="2"/>
          </w:tcPr>
          <w:p>
            <w:pPr>
              <w:ind w:left="5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8,576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(1,115)</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09"/>
        </w:trPr>
        <w:tc>
          <w:tcPr>
            <w:tcW w:w="580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Total other expense</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700" w:type="dxa"/>
            <w:vAlign w:val="bottom"/>
            <w:gridSpan w:val="2"/>
            <w:shd w:val="clear" w:color="auto" w:fill="CCEEFF"/>
          </w:tcPr>
          <w:p>
            <w:pPr>
              <w:ind w:left="580"/>
              <w:spacing w:after="0" w:line="196" w:lineRule="exact"/>
              <w:rPr>
                <w:sz w:val="20"/>
                <w:szCs w:val="20"/>
                <w:color w:val="auto"/>
              </w:rPr>
            </w:pPr>
            <w:r>
              <w:rPr>
                <w:rFonts w:ascii="Arial" w:cs="Arial" w:eastAsia="Arial" w:hAnsi="Arial"/>
                <w:sz w:val="18"/>
                <w:szCs w:val="18"/>
                <w:color w:val="auto"/>
                <w:w w:val="99"/>
              </w:rPr>
              <w:t>$</w:t>
            </w:r>
          </w:p>
        </w:tc>
        <w:tc>
          <w:tcPr>
            <w:tcW w:w="240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(0.12)</w:t>
            </w:r>
          </w:p>
        </w:tc>
        <w:tc>
          <w:tcPr>
            <w:tcW w:w="700" w:type="dxa"/>
            <w:vAlign w:val="bottom"/>
            <w:gridSpan w:val="2"/>
            <w:shd w:val="clear" w:color="auto" w:fill="CCEEFF"/>
          </w:tcPr>
          <w:p>
            <w:pPr>
              <w:ind w:left="58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9,625,679</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10,894,999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Pro forma net loss per common share, basic and diluted</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(unaudited)(1)</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used in computing pro</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forma net loss per share (unaudited)(1)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15,170,389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40" w:right="340" w:hanging="546"/>
        <w:spacing w:after="0" w:line="255"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Note 6 to our unaudited condensed consolidated financial statements appearing elsewhere in this prospectus for an explanation of the method used to calculate historical and pro forma net loss per share and historical and pro forma weighted-average common shares outstanding.</w:t>
      </w: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5" w:right="5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581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45815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200" w:type="dxa"/>
        <w:tblCellMar>
          <w:top w:w="0" w:type="dxa"/>
          <w:left w:w="0" w:type="dxa"/>
          <w:bottom w:w="0" w:type="dxa"/>
          <w:right w:w="0" w:type="dxa"/>
        </w:tblCellMar>
      </w:tblPr>
      <w:tr>
        <w:trPr>
          <w:trHeight w:val="177"/>
        </w:trPr>
        <w:tc>
          <w:tcPr>
            <w:tcW w:w="49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 June 30, 2020</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49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jc w:val="right"/>
              <w:ind w:right="435"/>
              <w:spacing w:after="0" w:line="141" w:lineRule="exact"/>
              <w:rPr>
                <w:sz w:val="20"/>
                <w:szCs w:val="20"/>
                <w:color w:val="auto"/>
              </w:rPr>
            </w:pPr>
            <w:r>
              <w:rPr>
                <w:rFonts w:ascii="Arial" w:cs="Arial" w:eastAsia="Arial" w:hAnsi="Arial"/>
                <w:sz w:val="14"/>
                <w:szCs w:val="14"/>
                <w:b w:val="1"/>
                <w:bCs w:val="1"/>
                <w:color w:val="auto"/>
              </w:rPr>
              <w:t>Pro</w:t>
            </w:r>
          </w:p>
        </w:tc>
        <w:tc>
          <w:tcPr>
            <w:tcW w:w="300" w:type="dxa"/>
            <w:vAlign w:val="bottom"/>
          </w:tcPr>
          <w:p>
            <w:pPr>
              <w:spacing w:after="0"/>
              <w:rPr>
                <w:sz w:val="12"/>
                <w:szCs w:val="12"/>
                <w:color w:val="auto"/>
              </w:rPr>
            </w:pPr>
          </w:p>
        </w:tc>
        <w:tc>
          <w:tcPr>
            <w:tcW w:w="920" w:type="dxa"/>
            <w:vAlign w:val="bottom"/>
          </w:tcPr>
          <w:p>
            <w:pPr>
              <w:jc w:val="right"/>
              <w:ind w:right="72"/>
              <w:spacing w:after="0" w:line="141" w:lineRule="exact"/>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2"/>
                <w:szCs w:val="12"/>
                <w:color w:val="auto"/>
              </w:rPr>
            </w:pPr>
          </w:p>
        </w:tc>
      </w:tr>
      <w:tr>
        <w:trPr>
          <w:trHeight w:val="177"/>
        </w:trPr>
        <w:tc>
          <w:tcPr>
            <w:tcW w:w="49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Actual</w:t>
            </w: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Forma(1)</w:t>
            </w:r>
          </w:p>
        </w:tc>
        <w:tc>
          <w:tcPr>
            <w:tcW w:w="1360" w:type="dxa"/>
            <w:vAlign w:val="bottom"/>
            <w:gridSpan w:val="3"/>
          </w:tcPr>
          <w:p>
            <w:pPr>
              <w:ind w:left="180"/>
              <w:spacing w:after="0"/>
              <w:rPr>
                <w:sz w:val="20"/>
                <w:szCs w:val="20"/>
                <w:color w:val="auto"/>
              </w:rPr>
            </w:pPr>
            <w:r>
              <w:rPr>
                <w:rFonts w:ascii="Arial" w:cs="Arial" w:eastAsia="Arial" w:hAnsi="Arial"/>
                <w:sz w:val="14"/>
                <w:szCs w:val="14"/>
                <w:b w:val="1"/>
                <w:bCs w:val="1"/>
                <w:color w:val="auto"/>
              </w:rPr>
              <w:t>As Adjusted(2)</w:t>
            </w:r>
          </w:p>
        </w:tc>
      </w:tr>
      <w:tr>
        <w:trPr>
          <w:trHeight w:val="183"/>
        </w:trPr>
        <w:tc>
          <w:tcPr>
            <w:tcW w:w="4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Sheet Data:</w:t>
            </w:r>
          </w:p>
        </w:tc>
        <w:tc>
          <w:tcPr>
            <w:tcW w:w="23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w:t>
            </w:r>
          </w:p>
        </w:tc>
        <w:tc>
          <w:tcPr>
            <w:tcW w:w="2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2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$ 11,200</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$118,252</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231,502</w:t>
            </w:r>
          </w:p>
        </w:tc>
        <w:tc>
          <w:tcPr>
            <w:tcW w:w="14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Working (deficit) capital(3)</w:t>
            </w:r>
          </w:p>
        </w:tc>
        <w:tc>
          <w:tcPr>
            <w:tcW w:w="326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(8,791)</w:t>
            </w:r>
          </w:p>
        </w:tc>
        <w:tc>
          <w:tcPr>
            <w:tcW w:w="12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115,437</w:t>
            </w:r>
          </w:p>
        </w:tc>
        <w:tc>
          <w:tcPr>
            <w:tcW w:w="3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228,687</w:t>
            </w:r>
          </w:p>
        </w:tc>
        <w:tc>
          <w:tcPr>
            <w:tcW w:w="140" w:type="dxa"/>
            <w:vAlign w:val="bottom"/>
          </w:tcPr>
          <w:p>
            <w:pPr>
              <w:spacing w:after="0"/>
              <w:rPr>
                <w:sz w:val="17"/>
                <w:szCs w:val="17"/>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2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11,318</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118,370</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231,620</w:t>
            </w:r>
          </w:p>
        </w:tc>
        <w:tc>
          <w:tcPr>
            <w:tcW w:w="14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Preferred stock tranche liability</w:t>
            </w:r>
          </w:p>
        </w:tc>
        <w:tc>
          <w:tcPr>
            <w:tcW w:w="326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17,176</w:t>
            </w:r>
          </w:p>
        </w:tc>
        <w:tc>
          <w:tcPr>
            <w:tcW w:w="126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26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18,014</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26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(27,766)</w:t>
            </w:r>
          </w:p>
        </w:tc>
        <w:tc>
          <w:tcPr>
            <w:tcW w:w="126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(27,766)</w:t>
            </w:r>
          </w:p>
        </w:tc>
        <w:tc>
          <w:tcPr>
            <w:tcW w:w="30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(27,766)</w:t>
            </w: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326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(26,786)</w:t>
            </w:r>
          </w:p>
        </w:tc>
        <w:tc>
          <w:tcPr>
            <w:tcW w:w="12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115,456</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228,706</w:t>
            </w:r>
          </w:p>
        </w:tc>
        <w:tc>
          <w:tcPr>
            <w:tcW w:w="140" w:type="dxa"/>
            <w:vAlign w:val="bottom"/>
            <w:shd w:val="clear" w:color="auto" w:fill="CCEEFF"/>
          </w:tcPr>
          <w:p>
            <w:pPr>
              <w:spacing w:after="0"/>
              <w:rPr>
                <w:sz w:val="17"/>
                <w:szCs w:val="17"/>
                <w:color w:val="auto"/>
              </w:rPr>
            </w:pPr>
          </w:p>
        </w:tc>
      </w:tr>
    </w:tbl>
    <w:p>
      <w:pPr>
        <w:spacing w:after="0" w:line="166" w:lineRule="exact"/>
        <w:rPr>
          <w:sz w:val="20"/>
          <w:szCs w:val="20"/>
          <w:color w:val="auto"/>
        </w:rPr>
      </w:pPr>
    </w:p>
    <w:p>
      <w:pPr>
        <w:ind w:left="740" w:right="60" w:hanging="546"/>
        <w:spacing w:after="0" w:line="239"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 forma column reflects (i) the receipt of $107.1 million in aggregate net proceeds from the issuance and sale of our Series A and Series B convertible preferred stock in July and August 2020 and the related settlement of the convertible preferred stock tranche liability and (ii) the conversion of all of the outstanding preferred shares of our convertible preferred stock into an aggregate of 17,047,410 shares of our common stock upon completion of this offering, including the conversion of 3,800,000 shares of Series A convertible preferred stock issued in July 2020 and 5,647,048 shares of Series B convertible preferred stock issued in July and August 2020, as if such conversion had occurred on June 30, 2020.</w:t>
      </w:r>
    </w:p>
    <w:p>
      <w:pPr>
        <w:ind w:left="740" w:right="60" w:hanging="546"/>
        <w:spacing w:after="0" w:line="23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 forma as adjusted column reflects the pro forma adjustments set forth above and the sale of 6,578,950 shares of common stock in this offering at an assumed initial public offering price of $19.00 per share, which is the midpoint of the price range set forth on the cover page of this prospectus, after deducting estimated underwriting fees and commissions and estimated offering expenses payable by us. This pro forma as adjusted information is illustrative only and will depend on the actual initial public offering price and other terms of this offering determined at pricing. Each $1.00 increase or decrease in the assumed initial public offering price of $19.00 per share, which is the midpoint of the price range set forth on the cover page of this prospectus, would increase or decrease the pro forma as adjusted amount of each of cash and cash equivalents, working capital, total assets and total stockholders’ equity by $6.1 million, assuming that the number of shares offered by us, as set forth on the cover page of this prospectus, remains the same and after deducting the estimated underwriting discounts and commissions. Each increase or decrease of 1.0 million in the number of shares we are offering would increase or decrease the pro forma as adjusted amount of each of cash and cash equivalents, working capital, total assets and total stockholders’ equity by $17.7 million, assuming no change in the assumed initial public offering price per share and after deducting the estimated underwriting discounts and commissions.</w:t>
      </w:r>
    </w:p>
    <w:p>
      <w:pPr>
        <w:spacing w:after="0" w:line="8" w:lineRule="exact"/>
        <w:rPr>
          <w:rFonts w:ascii="Arial" w:cs="Arial" w:eastAsia="Arial" w:hAnsi="Arial"/>
          <w:sz w:val="18"/>
          <w:szCs w:val="18"/>
          <w:color w:val="auto"/>
        </w:rPr>
      </w:pPr>
    </w:p>
    <w:p>
      <w:pPr>
        <w:ind w:left="740" w:right="220" w:hanging="546"/>
        <w:spacing w:after="0" w:line="250"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define working (deficit) capital as current assets less current liabilities. See our financial statements appearing elsewhere in this prospectus.</w:t>
      </w: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5"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260" w:firstLine="562"/>
        <w:spacing w:after="0" w:line="259"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14"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21"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Since our inception, we have incurred significant net losses, and we expect to continue to incur significant expenses and operating losses for the foreseeable future. Our net losses were $1.1 million and $26.7 million for the period from September 20, 2019 (the date of our inception) through December 31, 2019 and for the six months ended June 30, 2020, respectively. As of June 30, 2020, we had an accumulated deficit of $ 27.8 million. We have financed our operations with $126.0 million in gross proceeds raised in our private placements of convertible preferred stock through August 2020. We have no products approved for commercialization and have never generated any revenue from product sales.</w:t>
      </w:r>
    </w:p>
    <w:p>
      <w:pPr>
        <w:spacing w:after="0" w:line="17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All of our product candidates are still in the preclinical testing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spacing w:after="0" w:line="69" w:lineRule="exact"/>
        <w:rPr>
          <w:sz w:val="20"/>
          <w:szCs w:val="20"/>
          <w:color w:val="auto"/>
        </w:rPr>
      </w:pPr>
    </w:p>
    <w:p>
      <w:pPr>
        <w:ind w:left="780" w:hanging="21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and discovery programs;</w:t>
      </w:r>
    </w:p>
    <w:p>
      <w:pPr>
        <w:spacing w:after="0" w:line="117" w:lineRule="exact"/>
        <w:rPr>
          <w:rFonts w:ascii="Arial" w:cs="Arial" w:eastAsia="Arial" w:hAnsi="Arial"/>
          <w:sz w:val="18"/>
          <w:szCs w:val="18"/>
          <w:color w:val="auto"/>
        </w:rPr>
      </w:pPr>
    </w:p>
    <w:p>
      <w:pPr>
        <w:ind w:left="780" w:right="840" w:hanging="219"/>
        <w:spacing w:after="0" w:line="27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our planned clinical trials of TSHA-101 and TSHA-118, as well as initiate and complete additional clinical trials of TSHA-101, TSHA-118, TSHA-102, TSHA-103, TSHA-104 and future product candidates;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 and next-generation platforms;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manufacture current good manufacturing practices, or cGMP, material for clinical trials or potential commercial sales;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17" w:lineRule="exact"/>
        <w:rPr>
          <w:rFonts w:ascii="Arial" w:cs="Arial" w:eastAsia="Arial" w:hAnsi="Arial"/>
          <w:sz w:val="18"/>
          <w:szCs w:val="18"/>
          <w:color w:val="auto"/>
        </w:rPr>
      </w:pPr>
    </w:p>
    <w:p>
      <w:pPr>
        <w:ind w:left="780" w:right="640" w:hanging="219"/>
        <w:spacing w:after="0" w:line="27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5" w:right="3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117" w:lineRule="exact"/>
        <w:rPr>
          <w:rFonts w:ascii="Arial" w:cs="Arial" w:eastAsia="Arial" w:hAnsi="Arial"/>
          <w:sz w:val="18"/>
          <w:szCs w:val="18"/>
          <w:color w:val="auto"/>
        </w:rPr>
      </w:pPr>
    </w:p>
    <w:p>
      <w:pPr>
        <w:ind w:left="780" w:right="700" w:hanging="219"/>
        <w:spacing w:after="0" w:line="276"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12" w:lineRule="exact"/>
        <w:rPr>
          <w:sz w:val="20"/>
          <w:szCs w:val="20"/>
          <w:color w:val="auto"/>
        </w:rPr>
      </w:pPr>
    </w:p>
    <w:p>
      <w:pPr>
        <w:ind w:right="160" w:firstLine="562"/>
        <w:spacing w:after="0" w:line="241" w:lineRule="auto"/>
        <w:rPr>
          <w:sz w:val="20"/>
          <w:szCs w:val="20"/>
          <w:color w:val="auto"/>
        </w:rPr>
      </w:pPr>
      <w:r>
        <w:rPr>
          <w:rFonts w:ascii="Arial" w:cs="Arial" w:eastAsia="Arial" w:hAnsi="Arial"/>
          <w:sz w:val="18"/>
          <w:szCs w:val="18"/>
          <w:color w:val="auto"/>
        </w:rPr>
        <w:t>To date, we have not generated any revenue.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preclinical development. We may never succeed in these activities and, even if we do, may never generate any revenue or revenue that is significant enough to achieve profitability.</w:t>
      </w:r>
    </w:p>
    <w:p>
      <w:pPr>
        <w:spacing w:after="0" w:line="179" w:lineRule="exact"/>
        <w:rPr>
          <w:sz w:val="20"/>
          <w:szCs w:val="20"/>
          <w:color w:val="auto"/>
        </w:rPr>
      </w:pPr>
    </w:p>
    <w:p>
      <w:pPr>
        <w:jc w:val="both"/>
        <w:ind w:right="260" w:firstLine="562"/>
        <w:spacing w:after="0" w:line="248"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78"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21"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are a preclinical-stage gene therapy company with a limited operating history. We commenced operations in 2019, and our operations to date have been largely focused on organizing and staffing our company, business planning, raising capital and entering into collaboration and license agreements for conducting preclinical research and development activities for our product candidates and gene therapy pipeline. To date, we have not yet demonstrated our ability to successfully complete clinical trials, including pivotal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80" w:lineRule="exact"/>
        <w:rPr>
          <w:sz w:val="20"/>
          <w:szCs w:val="20"/>
          <w:color w:val="auto"/>
        </w:rPr>
      </w:pPr>
    </w:p>
    <w:p>
      <w:pPr>
        <w:ind w:right="420" w:firstLine="562"/>
        <w:spacing w:after="0" w:line="276"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develop commercial capabilities, and we may not be successful in doing so.</w:t>
      </w:r>
    </w:p>
    <w:p>
      <w:pPr>
        <w:spacing w:after="0" w:line="253" w:lineRule="exact"/>
        <w:rPr>
          <w:sz w:val="20"/>
          <w:szCs w:val="20"/>
          <w:color w:val="auto"/>
        </w:rPr>
      </w:pPr>
    </w:p>
    <w:p>
      <w:pPr>
        <w:jc w:val="both"/>
        <w:ind w:right="200"/>
        <w:spacing w:after="0" w:line="260"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43"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Our operations have consumed substantial amounts of cash since inception. Identifying potential product candidates and conducting preclinical testing and clinical trials is a time-consuming, expensive</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5" w:right="3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conduct clinical trials of our product candidates, initiate future clinical trials of our product candidates, advance our preclinical programs, seek marketing approval for any product candidates that successfully complete clinical trials and advance any of our other product candidates we may develop or otherwise acquire. In addition, our product candidates, if approved, may not achieve commercial success. Our revenue, if any, will be derived from sales of products that we do not expect to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176"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color w:val="auto"/>
        </w:rPr>
        <w:t>As of June 30, 2020, we had cash and cash equivalents of $ 11.2 million. In July and August 2020, we received $107.1 million in aggregate net proceeds from the issuance and sale of our Series A and Series B convertible preferred stock financings. We believe that the anticipated net proceeds from this offering, together with our existing cash and cash equivalents, will be sufficient to fund our operating expenses and capital requirements into the fourth quarter of 2022.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spacing w:after="0" w:line="84" w:lineRule="exact"/>
        <w:rPr>
          <w:sz w:val="20"/>
          <w:szCs w:val="20"/>
          <w:color w:val="auto"/>
        </w:rPr>
      </w:pPr>
    </w:p>
    <w:p>
      <w:pPr>
        <w:ind w:left="780" w:right="380" w:hanging="219"/>
        <w:spacing w:after="0" w:line="27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TSHA-101, TSHA-118, TSHA-102, TSHA-103, TSHA-104 and future product candidates;</w:t>
      </w:r>
    </w:p>
    <w:p>
      <w:pPr>
        <w:spacing w:after="0" w:line="50" w:lineRule="exact"/>
        <w:rPr>
          <w:rFonts w:ascii="Arial" w:cs="Arial" w:eastAsia="Arial" w:hAnsi="Arial"/>
          <w:sz w:val="18"/>
          <w:szCs w:val="18"/>
          <w:color w:val="auto"/>
        </w:rPr>
      </w:pPr>
    </w:p>
    <w:p>
      <w:pPr>
        <w:ind w:left="780" w:right="580" w:hanging="219"/>
        <w:spacing w:after="0" w:line="27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50" w:lineRule="exact"/>
        <w:rPr>
          <w:rFonts w:ascii="Arial" w:cs="Arial" w:eastAsia="Arial" w:hAnsi="Arial"/>
          <w:sz w:val="18"/>
          <w:szCs w:val="18"/>
          <w:color w:val="auto"/>
        </w:rPr>
      </w:pPr>
    </w:p>
    <w:p>
      <w:pPr>
        <w:ind w:left="780" w:right="360" w:hanging="219"/>
        <w:spacing w:after="0" w:line="27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80" w:right="160" w:hanging="219"/>
        <w:spacing w:after="0" w:line="27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17"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0" w:lineRule="exact"/>
        <w:rPr>
          <w:rFonts w:ascii="Arial" w:cs="Arial" w:eastAsia="Arial" w:hAnsi="Arial"/>
          <w:sz w:val="18"/>
          <w:szCs w:val="18"/>
          <w:color w:val="auto"/>
        </w:rPr>
      </w:pPr>
    </w:p>
    <w:p>
      <w:pPr>
        <w:ind w:left="780" w:right="400" w:hanging="219"/>
        <w:spacing w:after="0" w:line="276"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We will require additional capital to achieve our business objectives. Additional funds may not be available on a timely basis, on favorable terms, or at all, and such funds, if raised, may not be sufficient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5"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to enable us to continue to implement our long-term business strategy.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278"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21"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We are very early in our development efforts and all of our product candidates are in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43"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We are very early in our development efforts and all of our product candidates are still in preclinical development. We expect to commence a Phase 1/2 clinical trial of TSHA-101 by the end of 2020 under a Clinical Trial Agreement, or CTA, with Health Canada, and we intend to initiate a Phase 1/2 clinical trial of TSHA-118 under a currently open IND.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5" w:right="3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TSHA-101, TSHA-118, TSHA-102, TSHA-103, TSHA-104 or any other product candidates that we develop or otherwise may acquire will depend on several factors, including:</w:t>
      </w:r>
    </w:p>
    <w:p>
      <w:pPr>
        <w:spacing w:after="0" w:line="76" w:lineRule="exact"/>
        <w:rPr>
          <w:sz w:val="20"/>
          <w:szCs w:val="20"/>
          <w:color w:val="auto"/>
        </w:rPr>
      </w:pPr>
    </w:p>
    <w:p>
      <w:pPr>
        <w:ind w:left="780" w:hanging="219"/>
        <w:spacing w:after="0" w:line="27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50" w:lineRule="exact"/>
        <w:rPr>
          <w:rFonts w:ascii="Arial" w:cs="Arial" w:eastAsia="Arial" w:hAnsi="Arial"/>
          <w:sz w:val="18"/>
          <w:szCs w:val="18"/>
          <w:color w:val="auto"/>
        </w:rPr>
      </w:pPr>
    </w:p>
    <w:p>
      <w:pPr>
        <w:ind w:left="780" w:right="280" w:hanging="219"/>
        <w:spacing w:after="0" w:line="306"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effective investigational new drug applications, or INDs, from the U.S. Food and Drug Administration, or the FDA, or comparable foreign applications that allow commencement of our planned clinical trials or future clinical trials for our product candidates;</w:t>
      </w:r>
    </w:p>
    <w:p>
      <w:pPr>
        <w:spacing w:after="0" w:line="28" w:lineRule="exact"/>
        <w:rPr>
          <w:rFonts w:ascii="Arial" w:cs="Arial" w:eastAsia="Arial" w:hAnsi="Arial"/>
          <w:sz w:val="17"/>
          <w:szCs w:val="17"/>
          <w:color w:val="auto"/>
        </w:rPr>
      </w:pPr>
    </w:p>
    <w:p>
      <w:pPr>
        <w:ind w:left="780" w:hanging="21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17" w:lineRule="exact"/>
        <w:rPr>
          <w:rFonts w:ascii="Arial" w:cs="Arial" w:eastAsia="Arial" w:hAnsi="Arial"/>
          <w:sz w:val="18"/>
          <w:szCs w:val="18"/>
          <w:color w:val="auto"/>
        </w:rPr>
      </w:pPr>
    </w:p>
    <w:p>
      <w:pPr>
        <w:ind w:left="780" w:right="380" w:hanging="219"/>
        <w:spacing w:after="0" w:line="27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GCPs, and current Good Laboratory Practices;</w:t>
      </w:r>
    </w:p>
    <w:p>
      <w:pPr>
        <w:spacing w:after="0" w:line="50"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development of, or making arrangements with third-party manufacturers for, our commercial manufacturing processes for any of our product candidates that receive regulatory approval;</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commercial sales of products, if approved, whether alone or in collaboration with others;</w:t>
      </w:r>
    </w:p>
    <w:p>
      <w:pPr>
        <w:spacing w:after="0" w:line="117" w:lineRule="exact"/>
        <w:rPr>
          <w:rFonts w:ascii="Arial" w:cs="Arial" w:eastAsia="Arial" w:hAnsi="Arial"/>
          <w:sz w:val="18"/>
          <w:szCs w:val="18"/>
          <w:color w:val="auto"/>
        </w:rPr>
      </w:pPr>
    </w:p>
    <w:p>
      <w:pPr>
        <w:ind w:left="780" w:right="620" w:hanging="219"/>
        <w:spacing w:after="0" w:line="27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50"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TSHA-101, TSHA-118, TSHA-102, TSHA-103, TSHA-104 or any other product candidates;</w:t>
      </w:r>
    </w:p>
    <w:p>
      <w:pPr>
        <w:spacing w:after="0" w:line="50" w:lineRule="exact"/>
        <w:rPr>
          <w:rFonts w:ascii="Arial" w:cs="Arial" w:eastAsia="Arial" w:hAnsi="Arial"/>
          <w:sz w:val="18"/>
          <w:szCs w:val="18"/>
          <w:color w:val="auto"/>
        </w:rPr>
      </w:pPr>
    </w:p>
    <w:p>
      <w:pPr>
        <w:ind w:left="780" w:right="780" w:hanging="219"/>
        <w:spacing w:after="0" w:line="27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perceived advantages, cost, safety and efficacy of alternative therapies for any product candidate, and any indications for such product candidate, that we develop;</w:t>
      </w:r>
    </w:p>
    <w:p>
      <w:pPr>
        <w:spacing w:after="0" w:line="50"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produce TSHA-101, TSHA-118, TSHA-102, TSHA-103, TSHA-104 or any other product candidates we develop on a commercial scale;</w:t>
      </w:r>
    </w:p>
    <w:p>
      <w:pPr>
        <w:spacing w:after="0" w:line="50"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cGMPs, and complying effectively with other procedures;</w:t>
      </w:r>
    </w:p>
    <w:p>
      <w:pPr>
        <w:spacing w:after="0" w:line="117"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products following approval.</w:t>
      </w:r>
    </w:p>
    <w:p>
      <w:pPr>
        <w:spacing w:after="0" w:line="212"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5"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We intend to identify and develop novel gene therapy product candidates, which makes it difficult to predict the time, cost and potential success of product candidate development.</w:t>
      </w:r>
    </w:p>
    <w:p>
      <w:pPr>
        <w:spacing w:after="0" w:line="21"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Our strategy is to identify, develop and commercialize gene therapy product candidates using an adeno-associated virus serotype 9, or AAV9, capsid for intrathecal delivery of therapeutic transgenes to certain kinds of cells. Our future success depends on the successful development of these novel therapeutic approaches. To date, very few products that utilize gene transfer have been approved in the United States or Europe and no gene therapy products that utilize an intrathecal method of administration have been approved. There have been a limited number of clinical trials of gene transduction technologies, with only two product candidates ever approved by the FDA.</w:t>
      </w:r>
    </w:p>
    <w:p>
      <w:pPr>
        <w:spacing w:after="0" w:line="172" w:lineRule="exact"/>
        <w:rPr>
          <w:sz w:val="20"/>
          <w:szCs w:val="20"/>
          <w:color w:val="auto"/>
        </w:rPr>
      </w:pPr>
    </w:p>
    <w:p>
      <w:pPr>
        <w:ind w:right="40" w:firstLine="562"/>
        <w:spacing w:after="0" w:line="253" w:lineRule="auto"/>
        <w:rPr>
          <w:sz w:val="20"/>
          <w:szCs w:val="20"/>
          <w:color w:val="auto"/>
        </w:rPr>
      </w:pPr>
      <w:r>
        <w:rPr>
          <w:rFonts w:ascii="Arial" w:cs="Arial" w:eastAsia="Arial" w:hAnsi="Arial"/>
          <w:sz w:val="17"/>
          <w:szCs w:val="17"/>
          <w:color w:val="auto"/>
        </w:rPr>
        <w:t>Although AAV9 has been tested in numerous clinical trials and is used in two currently approved products, we cannot be certain that our AAV9 product candidates will successfully complete preclinical studies and clinical trials, or that they will not cause significant adverse events or toxicities. We also cannot be certain that we will be able to avoid triggering toxicities in our future preclinical studies or clinical trials or that our intrathecal method of administration will not cause unforeseen side effects or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spacing w:after="0" w:line="28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43"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the European Medicines Agency, or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w:t>
      </w:r>
    </w:p>
    <w:p>
      <w:pPr>
        <w:spacing w:after="0" w:line="176"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Our product candidates will need to meet safety and efficacy standards applicable to any new biologic under the regulatory framework administered by the FDA. In addition to FDA oversight and oversight by institutional review boards, or IRBs, under guidelines promulgated by the National Institutes of Health, or NIH, gene therapy clinical trials are also subject to review and oversight by an institutional biosafety committee, or IBC, a local institutional committee that reviews and oversees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455" w:right="3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74"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The same applies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80"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186"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5"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8"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21"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All of our product candidates are in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8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Clinical testing is expensive and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172"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very rare diseases, such as with TSHA-101 for the treatment of GM2 gangliosidosis, TSHA-118 for the treatment of CLN1 disease (or infantile Batten disease), and TSHA-102 for the treatment of Rett syndrome, where the very small patient population makes it difficult or impossible to conduct two traditional, adequate and well-controlled studies, and therefore the FDA or comparable foreign regulatory authorities are often required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0"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To date, we have not initiated or completed any clinical trials required for the approval of our product candidates. We may experience delays in conducting any clinical trials and we do not know whether our clinical trials will begin on time, need to be redesigned, recruit and enroll patients on time or be completed on schedule, or at all. Events that may prevent successful or timely completion of clinical development include:</w:t>
      </w:r>
    </w:p>
    <w:p>
      <w:pPr>
        <w:spacing w:after="0" w:line="76" w:lineRule="exact"/>
        <w:rPr>
          <w:sz w:val="20"/>
          <w:szCs w:val="20"/>
          <w:color w:val="auto"/>
        </w:rPr>
      </w:pPr>
    </w:p>
    <w:p>
      <w:pPr>
        <w:ind w:left="780" w:hanging="219"/>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17"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 including our natural history studies;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5"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17"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agreement with the FDA, EMA or other regulatory authorities as to the design or implementation of our clinical trials;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regulatory approval to commence a clinical trial;</w:t>
      </w:r>
    </w:p>
    <w:p>
      <w:pPr>
        <w:spacing w:after="0" w:line="117" w:lineRule="exact"/>
        <w:rPr>
          <w:rFonts w:ascii="Arial" w:cs="Arial" w:eastAsia="Arial" w:hAnsi="Arial"/>
          <w:sz w:val="18"/>
          <w:szCs w:val="18"/>
          <w:color w:val="auto"/>
        </w:rPr>
      </w:pPr>
    </w:p>
    <w:p>
      <w:pPr>
        <w:ind w:left="780" w:right="32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IRB approval at each trial site;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sites, CROs or other third parties deviating from trial protocol or dropping out of a trial;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perform in accordance with the FDA’s GCP requirements, or applicable regulatory guidelines in other countries;</w:t>
      </w:r>
    </w:p>
    <w:p>
      <w:pPr>
        <w:spacing w:after="0" w:line="117"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12" w:lineRule="exact"/>
        <w:rPr>
          <w:sz w:val="20"/>
          <w:szCs w:val="20"/>
          <w:color w:val="auto"/>
        </w:rPr>
      </w:pPr>
    </w:p>
    <w:p>
      <w:pPr>
        <w:ind w:right="540" w:firstLine="562"/>
        <w:spacing w:after="0" w:line="276"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50" w:lineRule="exact"/>
        <w:rPr>
          <w:sz w:val="20"/>
          <w:szCs w:val="20"/>
          <w:color w:val="auto"/>
        </w:rPr>
      </w:pPr>
    </w:p>
    <w:p>
      <w:pPr>
        <w:ind w:left="780" w:right="180" w:hanging="219"/>
        <w:spacing w:after="0" w:line="27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changes in regulatory requirements or guidance, or receive feedback from regulatory authorities that requires us to modify the design of our clinical trials;</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0" w:lineRule="exact"/>
        <w:rPr>
          <w:rFonts w:ascii="Arial" w:cs="Arial" w:eastAsia="Arial" w:hAnsi="Arial"/>
          <w:sz w:val="18"/>
          <w:szCs w:val="18"/>
          <w:color w:val="auto"/>
        </w:rPr>
      </w:pPr>
    </w:p>
    <w:p>
      <w:pPr>
        <w:ind w:left="780" w:right="320" w:hanging="219"/>
        <w:spacing w:after="0" w:line="255"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69" w:lineRule="exact"/>
        <w:rPr>
          <w:rFonts w:ascii="Arial" w:cs="Arial" w:eastAsia="Arial" w:hAnsi="Arial"/>
          <w:sz w:val="18"/>
          <w:szCs w:val="18"/>
          <w:color w:val="auto"/>
        </w:rPr>
      </w:pPr>
    </w:p>
    <w:p>
      <w:pPr>
        <w:ind w:left="780" w:right="380" w:hanging="219"/>
        <w:spacing w:after="0" w:line="27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investigators might have to suspend or terminate clinical trials of our product candidates for various reasons,</w:t>
      </w:r>
    </w:p>
    <w:p>
      <w:pPr>
        <w:spacing w:after="0" w:line="17" w:lineRule="exact"/>
        <w:rPr>
          <w:rFonts w:ascii="Arial" w:cs="Arial" w:eastAsia="Arial" w:hAnsi="Arial"/>
          <w:sz w:val="18"/>
          <w:szCs w:val="18"/>
          <w:color w:val="auto"/>
        </w:rPr>
      </w:pPr>
    </w:p>
    <w:p>
      <w:pPr>
        <w:ind w:left="780" w:right="40"/>
        <w:spacing w:after="0" w:line="250" w:lineRule="auto"/>
        <w:rPr>
          <w:rFonts w:ascii="Arial" w:cs="Arial" w:eastAsia="Arial" w:hAnsi="Arial"/>
          <w:sz w:val="18"/>
          <w:szCs w:val="18"/>
          <w:color w:val="auto"/>
        </w:rPr>
      </w:pPr>
      <w:r>
        <w:rPr>
          <w:rFonts w:ascii="Arial" w:cs="Arial" w:eastAsia="Arial" w:hAnsi="Arial"/>
          <w:sz w:val="18"/>
          <w:szCs w:val="18"/>
          <w:color w:val="auto"/>
        </w:rPr>
        <w:t>including non-compliance with regulatory requirements, a finding that our product candidates have undesirable side effects or other unexpected characteristics, or a finding that the participants are being exposed to unacceptable health risks;</w:t>
      </w:r>
    </w:p>
    <w:p>
      <w:pPr>
        <w:spacing w:after="0" w:line="73" w:lineRule="exact"/>
        <w:rPr>
          <w:rFonts w:ascii="Arial" w:cs="Arial" w:eastAsia="Arial" w:hAnsi="Arial"/>
          <w:sz w:val="18"/>
          <w:szCs w:val="18"/>
          <w:color w:val="auto"/>
        </w:rPr>
      </w:pPr>
    </w:p>
    <w:p>
      <w:pPr>
        <w:ind w:left="780" w:hanging="219"/>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28" w:lineRule="exact"/>
        <w:rPr>
          <w:rFonts w:ascii="Arial" w:cs="Arial" w:eastAsia="Arial" w:hAnsi="Arial"/>
          <w:sz w:val="17"/>
          <w:szCs w:val="17"/>
          <w:color w:val="auto"/>
        </w:rPr>
      </w:pPr>
    </w:p>
    <w:p>
      <w:pPr>
        <w:ind w:left="780" w:right="80" w:hanging="219"/>
        <w:spacing w:after="0" w:line="27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5" w:right="3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220" w:hanging="219"/>
        <w:spacing w:after="0" w:line="27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spacing w:after="0" w:line="50" w:lineRule="exact"/>
        <w:rPr>
          <w:rFonts w:ascii="Arial" w:cs="Arial" w:eastAsia="Arial" w:hAnsi="Arial"/>
          <w:sz w:val="18"/>
          <w:szCs w:val="18"/>
          <w:color w:val="auto"/>
        </w:rPr>
      </w:pPr>
    </w:p>
    <w:p>
      <w:pPr>
        <w:ind w:left="780" w:right="260" w:hanging="219"/>
        <w:spacing w:after="0" w:line="276"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45"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9" w:lineRule="exact"/>
        <w:rPr>
          <w:sz w:val="20"/>
          <w:szCs w:val="20"/>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780" w:right="180" w:hanging="219"/>
        <w:spacing w:after="0" w:line="27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Risk Evaluation and Mitigation Strategies, or REMS;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2"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in which such trials are being conducted, by the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All of our product candidates will require extensive clinical testing before we are prepared to submit a biologics license application, or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174" w:lineRule="exact"/>
        <w:rPr>
          <w:sz w:val="20"/>
          <w:szCs w:val="20"/>
          <w:color w:val="auto"/>
        </w:rPr>
      </w:pPr>
    </w:p>
    <w:p>
      <w:pPr>
        <w:ind w:right="200" w:firstLine="562"/>
        <w:spacing w:after="0" w:line="243" w:lineRule="auto"/>
        <w:rPr>
          <w:sz w:val="20"/>
          <w:szCs w:val="20"/>
          <w:color w:val="auto"/>
        </w:rPr>
      </w:pPr>
      <w:r>
        <w:rPr>
          <w:rFonts w:ascii="Arial" w:cs="Arial" w:eastAsia="Arial" w:hAnsi="Arial"/>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5" w:right="3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the factors that cause, or lead to, a delay in the commencement or completion of clinical trials may also ultimately lead to the denial of regulatory approval of our product candidates.</w:t>
      </w:r>
    </w:p>
    <w:p>
      <w:pPr>
        <w:spacing w:after="0" w:line="25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spacing w:after="0" w:line="43"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regarding clinical development programs or regulatory approval for any product candidate within the United States. In addition, we have only had limited discussions with Health Canada, and no discussions with the EMA and other comparable foreign authorities, regarding clinical development programs or regulatory approval for any product candidate outside of the United States.</w:t>
      </w:r>
    </w:p>
    <w:p>
      <w:pPr>
        <w:spacing w:after="0" w:line="176" w:lineRule="exact"/>
        <w:rPr>
          <w:sz w:val="20"/>
          <w:szCs w:val="20"/>
          <w:color w:val="auto"/>
        </w:rPr>
      </w:pPr>
    </w:p>
    <w:p>
      <w:pPr>
        <w:ind w:right="140" w:firstLine="562"/>
        <w:spacing w:after="0" w:line="243" w:lineRule="auto"/>
        <w:rPr>
          <w:sz w:val="20"/>
          <w:szCs w:val="20"/>
          <w:color w:val="auto"/>
        </w:rPr>
      </w:pPr>
      <w:r>
        <w:rPr>
          <w:rFonts w:ascii="Arial" w:cs="Arial" w:eastAsia="Arial" w:hAnsi="Arial"/>
          <w:sz w:val="18"/>
          <w:szCs w:val="18"/>
          <w:color w:val="auto"/>
        </w:rPr>
        <w:t>Prior to obtaining approval to commercialize any drug product candidate in the United States or abroad, we must demonstrate with substantial evidence from well-controlled clinical trials, and to the satisfaction of the FDA or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7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170"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We have invested a significant portion of our time and financial resources in the development of our preclinical product candidates. Our business is dependent on our ability to successfully complete preclinical and clinical development of, obtain regulatory approval for, and, if approved, successfully commercialize TSHA-101, TSHA-118, TSHA-102, TSHA-103, TSHA-104 and any future product candidates in a timely manner.</w:t>
      </w:r>
    </w:p>
    <w:p>
      <w:pPr>
        <w:spacing w:after="0" w:line="170" w:lineRule="exact"/>
        <w:rPr>
          <w:sz w:val="20"/>
          <w:szCs w:val="20"/>
          <w:color w:val="auto"/>
        </w:rPr>
      </w:pPr>
    </w:p>
    <w:p>
      <w:pPr>
        <w:ind w:right="200" w:firstLine="562"/>
        <w:spacing w:after="0" w:line="248" w:lineRule="auto"/>
        <w:rPr>
          <w:sz w:val="20"/>
          <w:szCs w:val="20"/>
          <w:color w:val="auto"/>
        </w:rPr>
      </w:pPr>
      <w:r>
        <w:rPr>
          <w:rFonts w:ascii="Arial" w:cs="Arial" w:eastAsia="Arial" w:hAnsi="Arial"/>
          <w:sz w:val="18"/>
          <w:szCs w:val="18"/>
          <w:color w:val="auto"/>
        </w:rPr>
        <w:t>Even if we eventually complete clinical testing and receive approval of a BLA or foreign marketing application for TSHA-101, TSHA-118, TSHA-102, TSHA-103, TSHA-104 or any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5" w:right="3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or authorize for marketing a product candidate for a more limited indication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7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78"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We have not yet tested any product candidates in clinical trials. Success in preclinical studies or earlier clinical trials may not be indicative of results in future clinical trials.</w:t>
      </w:r>
    </w:p>
    <w:p>
      <w:pPr>
        <w:spacing w:after="0" w:line="21"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positive results in preclinical studies or having successfully advanced through initial clinical trials. Further, both our planned Phase 1/2 clinical trial of TSHA-101 and our planned Phase 1/2 clinical trial of TSHA-118 will involve a small patient population.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w:t>
      </w:r>
    </w:p>
    <w:p>
      <w:pPr>
        <w:spacing w:after="0" w:line="176"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80"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5"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significantly harm our business prospects and may cause the trading price of our common stock to fluctuate significantly.</w:t>
      </w:r>
    </w:p>
    <w:p>
      <w:pPr>
        <w:spacing w:after="0" w:line="32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5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Among the risks in any gene therapy product based on viral vectors are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w:t>
      </w:r>
    </w:p>
    <w:p>
      <w:pPr>
        <w:spacing w:after="0" w:line="179"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While new AAV vectors have been developed to reduce side effects previously reported in third-party gene therapy treatments, and AAV9 has been generally well tolerated in clinical trials and in approved products,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w:t>
      </w:r>
    </w:p>
    <w:p>
      <w:pPr>
        <w:spacing w:after="0" w:line="172"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other AAV vectors for gene therapy, some subjects experienced the development of a T-cell antibody response, whereby after the vector is within the target cells, the cellular immune response system triggers the removal of transduced cells by activated T-cells. Other preclinical studies have suggested that high dosages of AAV administration may result in toxicity due to degeneration of the dorsal root ganglia. If our vectors demonstrate a similar effect in other programs, we may decide or be required to perform additional preclinical studies or to halt or delay further clinical development of our product candidates.</w:t>
      </w:r>
    </w:p>
    <w:p>
      <w:pPr>
        <w:spacing w:after="0" w:line="179"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addition to side effects caused by the product candidate, the administration process or related procedures also can cause adverse side effects. Each of our lead product candidates are expected to be administered by intrathecal injection. While this method of administration has been available for decades, its use for therapies is relatively new, no gene therapy is currently approved for intrathecal administration, and it may be perceived as having greater risk than more common methods of administration, such as intravenous injection.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5" w:right="3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180"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50" w:lineRule="exact"/>
        <w:rPr>
          <w:sz w:val="20"/>
          <w:szCs w:val="20"/>
          <w:color w:val="auto"/>
        </w:rPr>
      </w:pPr>
    </w:p>
    <w:p>
      <w:pPr>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w:t>
      </w:r>
    </w:p>
    <w:p>
      <w:pPr>
        <w:spacing w:after="0" w:line="117" w:lineRule="exact"/>
        <w:rPr>
          <w:rFonts w:ascii="Arial" w:cs="Arial" w:eastAsia="Arial" w:hAnsi="Arial"/>
          <w:sz w:val="18"/>
          <w:szCs w:val="18"/>
          <w:color w:val="auto"/>
        </w:rPr>
      </w:pPr>
    </w:p>
    <w:p>
      <w:pPr>
        <w:ind w:left="780" w:right="820" w:hanging="219"/>
        <w:spacing w:after="0" w:line="276"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12"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As an organization, we are preparing to conduct our first Phase 1/2 clinical trial, and have never conducted pivotal clinical trials, and may be unable to do so for any product candidates we may develop, including TSHA-101, TSHA-118, TSHA-102, TSHA-103 and TSHA-104.</w:t>
      </w:r>
    </w:p>
    <w:p>
      <w:pPr>
        <w:spacing w:after="0" w:line="43"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We will need to successfully complete our ongoing and planned clinical trials, including pivotal clinical trials, in order to obtain FDA approval to market our product candidates. Carrying out later-stage clinical trials and the submission of a successful BLA is a complicated process. As an organization, we are preparing to conduct our first Phase 1/2 clinical trial, have not previously conducted any later stage or pivotal clinical trials, have limited experience in preparing, submitting and prosecuting regulatory filings and have not previously submitted a BLA for any product candidate. In addition, we have had limited interactions with the FDA and cannot be certain how many additional clinical trials of our product candidates will be required or how such trials should be designed. Consequently, we may be unable to successfully and efficiently execute and complete necessary clinical trials in a way that leads to BLA submission and approval of any product candidate.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5"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spacing w:after="0" w:line="4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we estimate global incidence of GM2 gangliosidosis, the target indication for TSHA-101, is approximately 1 in 150,000 live births, and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spacing w:after="0" w:line="180"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spacing w:after="0" w:line="76" w:lineRule="exact"/>
        <w:rPr>
          <w:sz w:val="20"/>
          <w:szCs w:val="20"/>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17" w:lineRule="exact"/>
        <w:rPr>
          <w:rFonts w:ascii="Arial" w:cs="Arial" w:eastAsia="Arial" w:hAnsi="Arial"/>
          <w:sz w:val="18"/>
          <w:szCs w:val="18"/>
          <w:color w:val="auto"/>
        </w:rPr>
      </w:pPr>
    </w:p>
    <w:p>
      <w:pPr>
        <w:ind w:left="780" w:right="340" w:hanging="219"/>
        <w:spacing w:after="0" w:line="276"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 including relating to AAV9-based gene therapy approaches and intrathecal delivery systems;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be enrolled in our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780" w:right="120" w:hanging="219"/>
        <w:spacing w:after="0" w:line="255"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and other factors;</w:t>
      </w:r>
    </w:p>
    <w:p>
      <w:pPr>
        <w:spacing w:after="0" w:line="69"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72"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Furthermore, even if we are able to enroll a sufficient number of patients for our clinical trials, we may have difficulty maintaining enrollment of such patients in our clinical trials.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43"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spacing w:after="0" w:line="172"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spacing w:after="0" w:line="180"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have obtained orphan drug designation from the FDA for TSHA-101 for treatment of GM2 gangliosidosis and TSHA-103 for the treatment of SLC6A1-related disorder. In addition, TSHA-118 has received orphan drug designation for the treatment of CLN1 disease from the FDA and EMA. 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We have received rare pediatric disease designation for TSHA-101 for the treatment of GM2 gangliosidosis, TSHA-118 for the treatment of CLN1 disease, TSHA-102 for the treatment of Rett syndrome and TSHA-103 for the treatment of SLC6A1 haploinsufficiency, and we have applied for rare pediatric disease designation for TSHA-104 for the treatment of SURF1 deficiency. However, a marketing application for TSHA-101, TSHA-118, TSHA-102, TSHA-103 and TSHA-104, if approved, may not meet the eligibility criteria for a priority review voucher or the rare pediatric disease designation program may sunset before FDA is able consider us for a voucher.</w:t>
      </w:r>
    </w:p>
    <w:p>
      <w:pPr>
        <w:spacing w:after="0" w:line="6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have received rare pediatric disease designation for TSHA-101 for the treatment of GM2 gangliosidosis (Tay-Sachs Disease and Sandhoff Disease), TSHA-118 for the treatment of CLN1 disease, TSHA-102 for the treatment of Rett syndrome and TSHA-103 for the treatment of SLC6A1 haploinsufficiency, and we have applied for rare pediatric disease designation for TSHA-104 for the treatment of SURF1 deficiency. Designation of a drug or biologic as a product for a rare pediatric disease does not guarantee that a BLA for such drug or biologic will meet the eligibility criteria for a rare pediatric disease priority review voucher at the time the application is approved. Under the Federal Food, Drugs, and Cosmetic Act, or FDCA, we will need to request a rare pediatric disease priority review voucher in our original BLA for TSHA-101, TSHA-118, TSHA-102, TSHA-103, TSHA-104 and any other candidates for which we submit a marketing application. The FDA may determine that a BLA for TSHA-101, TSHA-118, TSHA-102, TSHA-103 or TSHA-104, if approved, does not meet the eligibility criteria for a priority review voucher, including for the following reasons:</w:t>
      </w:r>
    </w:p>
    <w:p>
      <w:pPr>
        <w:spacing w:after="0" w:line="81" w:lineRule="exact"/>
        <w:rPr>
          <w:sz w:val="20"/>
          <w:szCs w:val="20"/>
          <w:color w:val="auto"/>
        </w:rPr>
      </w:pPr>
    </w:p>
    <w:p>
      <w:pPr>
        <w:ind w:left="780" w:right="80" w:hanging="219"/>
        <w:spacing w:after="0" w:line="27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GM2 gangliosidosis, CLN1 disease, Rett syndrome, SLC6A1 haploinsufficiency or SURF1 deficiency no longer meet the definition of a rare pediatric disease;</w:t>
      </w:r>
    </w:p>
    <w:p>
      <w:pPr>
        <w:spacing w:after="0" w:line="50"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BLA contains an active ingredient (including any ester or salt of the active ingredient) that has been previously approved in a BLA;</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BLA is not deemed eligible for priority review;</w:t>
      </w:r>
    </w:p>
    <w:p>
      <w:pPr>
        <w:spacing w:after="0" w:line="117" w:lineRule="exact"/>
        <w:rPr>
          <w:rFonts w:ascii="Arial" w:cs="Arial" w:eastAsia="Arial" w:hAnsi="Arial"/>
          <w:sz w:val="18"/>
          <w:szCs w:val="18"/>
          <w:color w:val="auto"/>
        </w:rPr>
      </w:pPr>
    </w:p>
    <w:p>
      <w:pPr>
        <w:jc w:val="both"/>
        <w:ind w:left="780" w:right="120" w:hanging="219"/>
        <w:spacing w:after="0" w:line="255"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69" w:lineRule="exact"/>
        <w:rPr>
          <w:rFonts w:ascii="Arial" w:cs="Arial" w:eastAsia="Arial" w:hAnsi="Arial"/>
          <w:sz w:val="18"/>
          <w:szCs w:val="18"/>
          <w:color w:val="auto"/>
        </w:rPr>
      </w:pPr>
    </w:p>
    <w:p>
      <w:pPr>
        <w:ind w:left="780" w:right="380" w:hanging="219"/>
        <w:spacing w:after="0" w:line="276"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BLA is approved for a different adult indication than the rare pediatric disease for which TSHA-101, TSHA-118, TSHA-102, TSHA-103 or TSHA-104 are designated.</w:t>
      </w:r>
    </w:p>
    <w:p>
      <w:pPr>
        <w:spacing w:after="0" w:line="145"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The authority for the FDA to award rare pediatric disease priority review vouchers for drugs that have received rare pediatric disease designation prior to September 30, 2020 currently expires on September 30, 2022. If the BLA for TSHA-101, TSHA-118, TSHA-102, TSHA-103 or TSHA-104 is not approved prior to September 30, 2022 for any reason, regardless of whether it meets the criteria for a rare pediatric disease priority review voucher, it will not be eligible for a priority review voucher. However, it is also possible the authority for FDA to award rare pediatric disease priority review vouchers will be further extended through Federal lawmaking.</w:t>
      </w:r>
    </w:p>
    <w:p>
      <w:pPr>
        <w:spacing w:after="0" w:line="280"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We have received fast track designation for TSHA-118 for the treatment of CLN1 disease, and we may seek fast track designation for our other product candidates. Even if received, fast track designation may not actually lead to a faster review or approval process and does not increase the likelihood that our product candidates will receive marketing approval.</w:t>
      </w:r>
    </w:p>
    <w:p>
      <w:pPr>
        <w:spacing w:after="0" w:line="43"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We have received fast track designation for TSHA-118 for the treatment of neurocognitive manifestations of the patients with CLN1 disease, and we may seek fast track designation for our other product candidates. If a drug or biologic is intended for the treatment of a serious or life-threatening condition and the product demonstrates the potential to address unmet medical needs for this condition, the sponsor may apply for FDA fast track designation for a particular indication. There is no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455" w:right="3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assurance that the FDA will grant this status to any of our other proposed product candidates. If granted, fast track designation makes a product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any assurance of ultimate FDA approval. In addition, the FDA may withdraw fast track designation at any time if it believes that the designation is no longer supported by data from our clinical development program.</w:t>
      </w:r>
    </w:p>
    <w:p>
      <w:pPr>
        <w:spacing w:after="0" w:line="272" w:lineRule="exact"/>
        <w:rPr>
          <w:sz w:val="20"/>
          <w:szCs w:val="20"/>
          <w:color w:val="auto"/>
        </w:rPr>
      </w:pPr>
    </w:p>
    <w:p>
      <w:pPr>
        <w:ind w:right="600"/>
        <w:spacing w:after="0" w:line="28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Because we have limited financial and management resources, we must focus on development programs and product candidates that we identify for specific indications. As such, we are currently primarily focused on the development of our first five programs: TSHA-101 (GM2 gangliosidosis), TSHA-118 (CLN1 disease), TSHA-102 (Rett syndrome), TSHA-103 (SLC6A1 haploinsufficiency) and TSHA-104 (SURF1 deficiency).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8"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w:t>
      </w:r>
    </w:p>
    <w:p>
      <w:pPr>
        <w:spacing w:after="0" w:line="21"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We plan to conduct a clinical trial in Canada and may in the future choose to conduct additional clinical trials outside the United States, including in Australia, Europe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5"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04"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Our business model is centered on developing therapies for patients with rare, monogenic central nervous system disorders by establishing focused selection criteria to select, develop and advance product candidates that we believe will have a high probability of technical and regulatory success through development into commercialization. We may not be able to continue to identify and develop new product candidates, including from our next-generation platform technologies, in addition to the pipeline of product candidates that we have established through our collaboration with The University of Texas Southwestern Medical Center, or UT Southwestern.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288"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w:t>
      </w:r>
    </w:p>
    <w:p>
      <w:pPr>
        <w:spacing w:after="0" w:line="21"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Our business and operations may be adversely affected by the effects of the recent and evolving COVID-19 virus, which was declared by the World Health Organization as a global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5" w:right="3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manufacturing efforts and could affect our ability to conduct ongoing and planned clinical trials and preparatory activities.</w:t>
      </w:r>
    </w:p>
    <w:p>
      <w:pPr>
        <w:spacing w:after="0" w:line="212" w:lineRule="exact"/>
        <w:rPr>
          <w:sz w:val="20"/>
          <w:szCs w:val="20"/>
          <w:color w:val="auto"/>
        </w:rPr>
      </w:pPr>
    </w:p>
    <w:p>
      <w:pPr>
        <w:ind w:right="840" w:firstLine="562"/>
        <w:spacing w:after="0" w:line="276" w:lineRule="auto"/>
        <w:rPr>
          <w:sz w:val="20"/>
          <w:szCs w:val="20"/>
          <w:color w:val="auto"/>
        </w:rPr>
      </w:pPr>
      <w:r>
        <w:rPr>
          <w:rFonts w:ascii="Arial" w:cs="Arial" w:eastAsia="Arial" w:hAnsi="Arial"/>
          <w:sz w:val="18"/>
          <w:szCs w:val="18"/>
          <w:color w:val="auto"/>
        </w:rPr>
        <w:t>Although our planned clinical trials have not been impacted by the COVID-19 pandemic to date, we may experience related disruptions in the future that could severely impact our clinical trials, including:</w:t>
      </w:r>
    </w:p>
    <w:p>
      <w:pPr>
        <w:spacing w:after="0" w:line="50" w:lineRule="exact"/>
        <w:rPr>
          <w:sz w:val="20"/>
          <w:szCs w:val="20"/>
          <w:color w:val="auto"/>
        </w:rPr>
      </w:pPr>
    </w:p>
    <w:p>
      <w:pPr>
        <w:ind w:left="780" w:right="20" w:hanging="219"/>
        <w:spacing w:after="0" w:line="27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interruptions in our ability to manufacture and deliver drug supply for trials;</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0" w:lineRule="exact"/>
        <w:rPr>
          <w:rFonts w:ascii="Arial" w:cs="Arial" w:eastAsia="Arial" w:hAnsi="Arial"/>
          <w:sz w:val="18"/>
          <w:szCs w:val="18"/>
          <w:color w:val="auto"/>
        </w:rPr>
      </w:pPr>
    </w:p>
    <w:p>
      <w:pPr>
        <w:ind w:left="780" w:right="160" w:hanging="219"/>
        <w:spacing w:after="0" w:line="27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50" w:lineRule="exact"/>
        <w:rPr>
          <w:rFonts w:ascii="Arial" w:cs="Arial" w:eastAsia="Arial" w:hAnsi="Arial"/>
          <w:sz w:val="18"/>
          <w:szCs w:val="18"/>
          <w:color w:val="auto"/>
        </w:rPr>
      </w:pPr>
    </w:p>
    <w:p>
      <w:pPr>
        <w:ind w:left="780" w:right="660" w:hanging="219"/>
        <w:spacing w:after="0" w:line="27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50" w:lineRule="exact"/>
        <w:rPr>
          <w:rFonts w:ascii="Arial" w:cs="Arial" w:eastAsia="Arial" w:hAnsi="Arial"/>
          <w:sz w:val="18"/>
          <w:szCs w:val="18"/>
          <w:color w:val="auto"/>
        </w:rPr>
      </w:pPr>
    </w:p>
    <w:p>
      <w:pPr>
        <w:ind w:left="780" w:right="500" w:hanging="219"/>
        <w:spacing w:after="0" w:line="27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12"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The spread of COVID -19,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prospectus,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80"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5"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21"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the United Kingdom will be subject to a transition period until December 31, 2020, or the Transition Period, during which European Union rules will continue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17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Since a significant proportion of the regulatory framework in the United Kingdom is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and manufacturing authorizations from the EMA and, unless a specific agreement is entered into, a separate process for authorization of drug products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214"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manufacture of gene therapy products is technically complex and necessitates substantial expertise and capital investment.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Production difficulties caused by unforeseen events may delay the availability of material for our clinical studies.</w:t>
      </w:r>
    </w:p>
    <w:p>
      <w:pPr>
        <w:spacing w:after="0" w:line="190"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We currently rely on the UT Southwestern Gene Therapy program to manufacture our product candidates. Although we intend to establish our own manufacturing facility to provide clinical and commercial supply of our product candidates, we expect to rely on UT Southwestern for our manufacturing needs for the foreseeable future. To date, UT Southwestern has met our manufacturing requirements and quality standards for our program materials, and we expect that UT Southwestern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5" w:right="3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will be capable of providing sufficient quantities of our program materials to meet anticipated clinical trial scale demands. We believe that there are alternate sources of supply for our program materials that can satisfy our clinical and commercial requirements, although we cannot be certain that identifying and establishing relationships with such sources, if necessary, would not result in significant delay or material additional costs.</w:t>
      </w:r>
    </w:p>
    <w:p>
      <w:pPr>
        <w:spacing w:after="0" w:line="17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our program materials for clinical trials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76"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AAV9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w:t>
      </w:r>
    </w:p>
    <w:p>
      <w:pPr>
        <w:spacing w:after="0" w:line="29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We and our contract manufacturers for AAV9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43"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We currently have relationships with a limited number of suppliers for the manufacturing of plasmids and viruses, components of our product candidates. However, if we experience slowdowns or problems with our facility or those of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5" w:right="3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All entities involved in the preparation of therapeutics for clinical trials or commercial sale, including our existing contract manufacturers for components our product candidates, are subject to extensive regulation. Components of a finished therapeutic product approved for commercial sale or used in late-stage clinical trials in the European Union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are at an increased risk given that our product candidates have been and for the foreseeable future will be produced on the same manufacturing lines, which could, for example, lead to issues with cross-contamination. We or our contract manufacturers must supply all necessary documentation in support of a BLA or MAA on a timely basis. Our facilities and quality systems and the facilities and quality systems of some or all of our third-party contractors must pass</w:t>
      </w:r>
    </w:p>
    <w:p>
      <w:pPr>
        <w:spacing w:after="0" w:line="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development and manufacturing organizations, or CDMOs, do not pass such audit or inspections. If these facilities do not pass a pre-approval plant inspection, FDA approval of the products will not be granted.</w:t>
      </w:r>
    </w:p>
    <w:p>
      <w:pPr>
        <w:spacing w:after="0" w:line="17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80" w:lineRule="exact"/>
        <w:rPr>
          <w:sz w:val="20"/>
          <w:szCs w:val="20"/>
          <w:color w:val="auto"/>
        </w:rPr>
      </w:pPr>
    </w:p>
    <w:p>
      <w:pPr>
        <w:jc w:val="both"/>
        <w:ind w:right="140" w:firstLine="562"/>
        <w:spacing w:after="0" w:line="248" w:lineRule="auto"/>
        <w:rPr>
          <w:sz w:val="20"/>
          <w:szCs w:val="20"/>
          <w:color w:val="auto"/>
        </w:rPr>
      </w:pPr>
      <w:r>
        <w:rPr>
          <w:rFonts w:ascii="Arial" w:cs="Arial" w:eastAsia="Arial" w:hAnsi="Arial"/>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5" w:right="3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21"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There is substantial demand and limited supply for certain of the raw materials used to manufacture gene therapy products.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84"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Any contamination or interruption in our manufacturing process, shortages of raw materials or failure of our suppliers of plasmids and viruses to deliver necessary components could result in delays in our clinical development or marketing schedules.</w:t>
      </w:r>
    </w:p>
    <w:p>
      <w:pPr>
        <w:spacing w:after="0" w:line="21"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0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5" w:right="3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14"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21"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6" w:lineRule="exact"/>
        <w:rPr>
          <w:sz w:val="20"/>
          <w:szCs w:val="20"/>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foreign regulatory authorities, including any limitations or warnings contained in a product’s approved labeling, including any black box warning or REMS;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TSHA-101, TSHA-118, TSHA-102, TSHA-103, TSHA-104 and any other product candidates, once approved;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20"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Negative public opinion of gene therapy and increased regulatory scrutiny of gene therapy and genetic research may adversely impact the development or commercial success of our current and future product candidates.</w:t>
      </w:r>
    </w:p>
    <w:p>
      <w:pPr>
        <w:spacing w:after="0" w:line="21"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Our potential therapeutic products involve introducing genetic material into a patient’s cells via intrathecal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7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have led to several well-publicized adverse events, including reported cases of leukemia. Although none of our current product candidates utilize murine gamma-retroviral vectors, our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320" w:top="455" w:right="4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product candidates use AAV9 viral vectors.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that require that the expression of a therapeutic transgene be tightly regulated, such as TSHA-104, we may inadvertently cause overexpression, which could lead to numerous issues, including safety and toxicity concerns. Furthermore, these regulatory gene replacement therapy candidates require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spacing w:after="0" w:line="296"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TSHA-101, TSHA-118, TSHA-102, TSHA-103, TSHA-104 or any other product candidate that may receive regulatory approval, we may not be successful in commercializing those product candidates if and when they are approved.</w:t>
      </w:r>
    </w:p>
    <w:p>
      <w:pPr>
        <w:spacing w:after="0" w:line="43"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We do not have sales or marketing infrastructure. To achieve commercial success for TSHA-101, TSHA-118, TSHA-102, TSHA-103, TSHA-104 or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17" w:lineRule="exact"/>
        <w:rPr>
          <w:sz w:val="20"/>
          <w:szCs w:val="20"/>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780" w:right="280" w:hanging="219"/>
        <w:spacing w:after="0" w:line="27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in order to educate physicians about our product candidates, once approved;</w:t>
      </w:r>
    </w:p>
    <w:p>
      <w:pPr>
        <w:spacing w:after="0" w:line="50"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If we are unable to establish our own sales, marketing and distribution capabilities and are forced to enter into arrangements with, and rely on, third parties to perform these services, our revenue and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5" w:right="3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0"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21"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We currently focus our research and product development on several indications that are orphan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spacing w:after="0" w:line="179"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prospectus should be viewed with caution. Further, the data and statistical information used in this prospectus, including estimates derived from them, may differ from information and estimates made by our competitors or from current or future studies conducted by independent sources.</w:t>
      </w:r>
    </w:p>
    <w:p>
      <w:pPr>
        <w:spacing w:after="0" w:line="288"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21" w:lineRule="exact"/>
        <w:rPr>
          <w:sz w:val="20"/>
          <w:szCs w:val="20"/>
          <w:color w:val="auto"/>
        </w:rPr>
      </w:pPr>
    </w:p>
    <w:p>
      <w:pPr>
        <w:ind w:right="140" w:firstLine="562"/>
        <w:spacing w:after="0" w:line="245" w:lineRule="auto"/>
        <w:rPr>
          <w:sz w:val="20"/>
          <w:szCs w:val="20"/>
          <w:color w:val="auto"/>
        </w:rPr>
      </w:pPr>
      <w:r>
        <w:rPr>
          <w:rFonts w:ascii="Arial" w:cs="Arial" w:eastAsia="Arial" w:hAnsi="Arial"/>
          <w:sz w:val="18"/>
          <w:szCs w:val="18"/>
          <w:color w:val="auto"/>
        </w:rPr>
        <w:t>Drug development, particularly in the gene therapy field, is highly competitive and subject to rapid and significant technological advancements. As a significant unmet medical need exists in the neurology field, particularly for the treatment of neurodegenerative diseases, neurodevelopmental disorders and genetic epilepsies, there are several large and small pharmaceutical companies focused on delivering therapeutics for the treatment of these diseases. Further, it is likely that additional drugs will become available in the future for the treatment of our target indications.</w:t>
      </w:r>
    </w:p>
    <w:p>
      <w:pPr>
        <w:spacing w:after="0" w:line="172" w:lineRule="exact"/>
        <w:rPr>
          <w:sz w:val="20"/>
          <w:szCs w:val="20"/>
          <w:color w:val="auto"/>
        </w:rPr>
      </w:pPr>
    </w:p>
    <w:p>
      <w:pPr>
        <w:ind w:right="220" w:firstLine="562"/>
        <w:spacing w:after="0" w:line="243" w:lineRule="auto"/>
        <w:rPr>
          <w:sz w:val="20"/>
          <w:szCs w:val="20"/>
          <w:color w:val="auto"/>
        </w:rPr>
      </w:pPr>
      <w:r>
        <w:rPr>
          <w:rFonts w:ascii="Arial" w:cs="Arial" w:eastAsia="Arial" w:hAnsi="Arial"/>
          <w:sz w:val="18"/>
          <w:szCs w:val="18"/>
          <w:color w:val="auto"/>
        </w:rPr>
        <w:t>We believe that the majority of our programs will face limited competition as there are no approved disease-modifying therapies for the treatment of the GM2 gangliosidosis, CLN1 disease, Rett syndrome, SLC6A1 haploinsufficiency disorder, SURF1 deficiency, SLC13A5 disorder, Fragile X syndrome, Angelman syndrome or the other development programs in our pipeline. However, we are aware that our competitors are developing product candidates for the treatment of diseases that our product candidates will target. With respect to TSHA-101, we are aware that Axovant is developing AXO-AAV-GM2 for the treatment of GM2 gangliosidosis, and with respect to TSHA-102, we are aware that Novartis is developing AVXS-201 for the treatment of Rett syndrome. We are also aware that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5"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Rett Syndrome Research Trust, Amicus Therapeutics and Sarepta Therapeutics have disclosed the existence of discovery-stage gene therapy programs for the treatment of Rett syndrome. With respect to TSHA-118, we are aware that Amicus, in collaboration with Nationwide Children’s Hospital, is developing a gene therapy product candidate for CLN1 disease.</w:t>
      </w:r>
    </w:p>
    <w:p>
      <w:pPr>
        <w:spacing w:after="0" w:line="16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biological products, that have been approved for</w:t>
      </w:r>
    </w:p>
    <w:p>
      <w:pPr>
        <w:spacing w:after="0" w:line="1" w:lineRule="exact"/>
        <w:rPr>
          <w:sz w:val="20"/>
          <w:szCs w:val="20"/>
          <w:color w:val="auto"/>
        </w:rPr>
      </w:pPr>
    </w:p>
    <w:p>
      <w:pPr>
        <w:ind w:right="840"/>
        <w:spacing w:after="0" w:line="250" w:lineRule="auto"/>
        <w:rPr>
          <w:sz w:val="20"/>
          <w:szCs w:val="20"/>
          <w:color w:val="auto"/>
        </w:rPr>
      </w:pPr>
      <w:r>
        <w:rPr>
          <w:rFonts w:ascii="Arial" w:cs="Arial" w:eastAsia="Arial" w:hAnsi="Arial"/>
          <w:sz w:val="18"/>
          <w:szCs w:val="18"/>
          <w:color w:val="auto"/>
        </w:rPr>
        <w:t>marketing. Mergers and acquisitions in the pharmaceutical and biotechnology industries could result in even more resources being concentrated among a small number of our competitors.</w:t>
      </w:r>
    </w:p>
    <w:p>
      <w:pPr>
        <w:spacing w:after="0" w:line="168"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in the neurology field, including for the treatment of diseases and disorders in the therapeutic categories we intend to target. Therefore, our ability to compete successfully will depend largely on our ability to:</w:t>
      </w:r>
    </w:p>
    <w:p>
      <w:pPr>
        <w:spacing w:after="0" w:line="69" w:lineRule="exact"/>
        <w:rPr>
          <w:sz w:val="20"/>
          <w:szCs w:val="20"/>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and commercialize drugs that are superior to other products in the market;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collaborate with pharmaceutical companies in the discovery, development and commercialization of new medicines.</w:t>
      </w:r>
    </w:p>
    <w:p>
      <w:pPr>
        <w:spacing w:after="0" w:line="21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Established pharmaceutical companies may invest heavily to accelerate discovery and development of novel compounds or</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products may face competition sooner than anticipated.</w:t>
      </w:r>
    </w:p>
    <w:p>
      <w:pPr>
        <w:spacing w:after="0" w:line="104"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includes a subtitle called the Biologics Price Competition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5" w:right="3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is a risk that any of our product candidates approved as a biological product under a BLA would not qualify for</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87"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procedures.</w:t>
      </w:r>
    </w:p>
    <w:p>
      <w:pPr>
        <w:spacing w:after="0" w:line="21" w:lineRule="exact"/>
        <w:rPr>
          <w:sz w:val="20"/>
          <w:szCs w:val="20"/>
          <w:color w:val="auto"/>
        </w:rPr>
      </w:pPr>
    </w:p>
    <w:p>
      <w:pPr>
        <w:ind w:right="80" w:firstLine="562"/>
        <w:spacing w:after="0" w:line="237" w:lineRule="auto"/>
        <w:rPr>
          <w:sz w:val="20"/>
          <w:szCs w:val="20"/>
          <w:color w:val="auto"/>
        </w:rPr>
      </w:pPr>
      <w:r>
        <w:rPr>
          <w:rFonts w:ascii="Arial" w:cs="Arial" w:eastAsia="Arial" w:hAnsi="Arial"/>
          <w:sz w:val="18"/>
          <w:szCs w:val="18"/>
          <w:color w:val="auto"/>
        </w:rPr>
        <w:t>We believe our success depends on obtaining and maintaining coverage and adequate reimbursement for our product candidates, including TSHA-101 for the treatment of GM2 gangliosidosis, TSHA-118 for the treatment of CLN1 disease, TSHA-102 for the treatment of Rett syndrome, TSHA-103 for the treatment of SLC6A1 haploinsufficiency and TSHA-104 for the treatment of SURF1 deficiency,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the U.S. Department of Health and Human Services, or HHS. CMS decides whether and to what extent products will be covered and reimbursed under Medicare and private payors tend to follow CMS to a substantial degree.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5"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80"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80" w:lineRule="exact"/>
        <w:rPr>
          <w:sz w:val="20"/>
          <w:szCs w:val="20"/>
          <w:color w:val="auto"/>
        </w:rPr>
      </w:pPr>
    </w:p>
    <w:p>
      <w:pPr>
        <w:jc w:val="both"/>
        <w:ind w:right="120" w:firstLine="562"/>
        <w:spacing w:after="0" w:line="255"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6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There can be no assurance that TSHA-101, TSHA-118, TSHA-102, TSHA-103, TSHA-104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80"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21" w:lineRule="exact"/>
        <w:rPr>
          <w:sz w:val="20"/>
          <w:szCs w:val="20"/>
          <w:color w:val="auto"/>
        </w:rPr>
      </w:pPr>
    </w:p>
    <w:p>
      <w:pPr>
        <w:ind w:right="280" w:firstLine="562"/>
        <w:spacing w:after="0" w:line="24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76" w:lineRule="exact"/>
        <w:rPr>
          <w:sz w:val="20"/>
          <w:szCs w:val="20"/>
          <w:color w:val="auto"/>
        </w:rPr>
      </w:pPr>
    </w:p>
    <w:p>
      <w:pPr>
        <w:ind w:left="5520" w:right="4300" w:hanging="4959"/>
        <w:spacing w:after="0" w:line="448" w:lineRule="auto"/>
        <w:tabs>
          <w:tab w:leader="none" w:pos="7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 44</w:t>
      </w:r>
    </w:p>
    <w:p>
      <w:pPr>
        <w:sectPr>
          <w:pgSz w:w="11900" w:h="16838" w:orient="portrait"/>
          <w:cols w:equalWidth="0" w:num="1">
            <w:col w:w="11240"/>
          </w:cols>
          <w:pgMar w:left="320" w:top="455"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78" w:lineRule="exact"/>
        <w:rPr>
          <w:sz w:val="20"/>
          <w:szCs w:val="20"/>
          <w:color w:val="auto"/>
        </w:rPr>
      </w:pPr>
    </w:p>
    <w:p>
      <w:pPr>
        <w:ind w:right="1040"/>
        <w:spacing w:after="0" w:line="285"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cybersecurity.</w:t>
      </w:r>
    </w:p>
    <w:p>
      <w:pPr>
        <w:spacing w:after="0" w:line="21"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privacy and data security laws, and our failure to comply with them could harm our business.</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constantly evolving laws can be subject to varying interpretations. In May 2018, a new privacy regime, the General Data Protection Regulation or the GDPR, took effect in the European Economic Area, or the EEA. The GDPR governs the collection, use, disclosure, transfer or other processing of personal data of European persons. Among other things, the GDPR imposes requirements regarding the security of personal data and notification of data processing obligations to the competent national data processing authorities, changes the lawful bases on which personal data can be processed, expands the definition of personal data and requires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5"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changes to informed consent practices, as well as more detailed notices for clinical trial subjects and investigators.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or 4% of our consolidated annual worldwide gross revenue). The GDPR also confers a private right of action on data subjects and consumer associations to lodge complaints with supervisory authorities, seek judicial remedies and obtain compensation for damages resulting from violations of the GDPR.</w:t>
      </w:r>
    </w:p>
    <w:p>
      <w:pPr>
        <w:spacing w:after="0" w:line="171"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on June 28, 2018, and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may increase our compliance costs and potential liability. While there is currently an exception for protected health information that is subject to HIPAA and clinical trial regulations, as currently written, the CCPA may impact certain of our business activities. Some observers have noted that the CCPA could mark the beginning of a trend toward more stringent privacy legislation in the United States. Other states are beginning to pass similar laws. For example, an amendment to Nevada’s privacy laws, which went into effect October 1, 2019, requires us to offer to consumers the right to opt-out of the sale of their personal information.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4"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55"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Our collaboration with UT Southwestern is critical to our business. We have entered into a Research, Collaboration and License Agreement, or the UT Southwestern Agreement, with UT Southwestern to discover and develop certain AAV vector-based therapeutics, and the product candidates developed under such collaboration currently represent all of our pipeline and discovery programs. We currently rely exclusively on UT Southwestern for all of our preclinical research and development capabilities, and in particular the UT Southwestern Gene Therapy Program under the direction of Drs. Steven Gray and Berge Minassian. Pursuant to the UT Southwestern Agreement, UT Southwestern is primarily responsible for discovery, preclinical development activities, including all IND-enabling non-clinical studies and research grade manufacturing, and other collaborative activities set forth in the plan for the funded research including leading interactions with FDA and other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5"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regulatory authorities. Although we plan to be the sponsor for each product candidate’s IND, UT Southwestern will be the holder of the Health Canada CTA for TSHA-101. Either party has the right in certain circumstances to terminate the collaboration pursuant to the terms of the UT Southwestern Agreement. If UT Southwestern delays or fails to perform its obligations under the UT Southwestern Agreement, disagrees with our interpretation of the terms of the collaboration or our discovery plan or terminates our existing agreement, our pipeline of product candidates would be significantly adversely affected and our prospects will be materially harmed.</w:t>
      </w:r>
    </w:p>
    <w:p>
      <w:pPr>
        <w:spacing w:after="0" w:line="172"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The term of the research funding portion of the UT Southwestern Agreement, under which we have the ability to acquire exclusive rights to additional gene therapy products for rare, monogenic central nervous system indications, expires in November 2021, subject to mutual agreement to extend research funding pursuant to sponsored research agreements. If we seek to extend the research portion of our collaboration, we will need to negotiate a new or amended agreement, which may not be available to us on equally favorable terms, if at all. UT Southwestern has also entered into collaborations with third parties, including certain of our competitors, addressing targets and disease indications outside the scope of our collaboration. As a result, UT Southwestern may have competing interests with respect to their priorities and resources. We may have disagreements with UT Southwestern with respect to the interpretation of the UT Southwestern Agreement, use of resources or otherwise that could cause our relationship with UT Southwestern to deteriorate. As a result, UT Southwestern may reduce their focus on, and resources allocated to, our programs, potentially delaying or terminating our ability to advance product candidates through preclinical studies. Additionally, if either of Dr. Gray or Dr. Minassian were to leave UT Southwestern or to otherwise no longer be meaningfully involved with us, our preclinical research and development capabilities may be substantially reduced.</w:t>
      </w:r>
    </w:p>
    <w:p>
      <w:pPr>
        <w:spacing w:after="0" w:line="176"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Further, under the UT Southwestern Agreement, UT Southwestern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UT Southwestern Agreement, we will need to coordinate with UT Southwestern, which could slow down or hamper our ability to enforce our licensed intellectual property rights. In such event, we could face increased competition that could materially and adversely affect our business.</w:t>
      </w:r>
    </w:p>
    <w:p>
      <w:pPr>
        <w:spacing w:after="0" w:line="28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i w:val="1"/>
          <w:iCs w:val="1"/>
          <w:color w:val="auto"/>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43"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We intend to engage CROs to conduct our planned clinical trials, including our planned Phase 1/2 trials of TSHA-101 and TSHA-118. We expect to continue to rely on third parties, including clinical data management organizations, medical institutions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interrupted by the ongoing COVID-19 pandemic, including due to travel or quarantine policies, heightened exposure of CRO staff who are healthcare providers to COVID-19 or prioritization of resources toward the pandemic.</w:t>
      </w:r>
    </w:p>
    <w:p>
      <w:pPr>
        <w:spacing w:after="0" w:line="14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0"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77"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TSHA-101, TSHA-118, TSHA-102, TSHA-103, TSHA-104 or any other product candidates.</w:t>
      </w:r>
    </w:p>
    <w:p>
      <w:pPr>
        <w:spacing w:after="0" w:line="179"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700"/>
        <w:spacing w:after="0" w:line="314" w:lineRule="auto"/>
        <w:rPr>
          <w:sz w:val="20"/>
          <w:szCs w:val="20"/>
          <w:color w:val="auto"/>
        </w:rPr>
      </w:pPr>
      <w:r>
        <w:rPr>
          <w:rFonts w:ascii="Arial" w:cs="Arial" w:eastAsia="Arial" w:hAnsi="Arial"/>
          <w:sz w:val="17"/>
          <w:szCs w:val="17"/>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2"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17" w:lineRule="exact"/>
        <w:rPr>
          <w:sz w:val="20"/>
          <w:szCs w:val="20"/>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780" w:right="300" w:hanging="219"/>
        <w:spacing w:after="0" w:line="24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780" w:right="540" w:hanging="219"/>
        <w:spacing w:after="0" w:line="306" w:lineRule="auto"/>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780" w:hanging="219"/>
        <w:spacing w:after="0" w:line="255"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9" w:lineRule="exact"/>
        <w:rPr>
          <w:rFonts w:ascii="Arial" w:cs="Arial" w:eastAsia="Arial" w:hAnsi="Arial"/>
          <w:sz w:val="18"/>
          <w:szCs w:val="18"/>
          <w:color w:val="auto"/>
        </w:rPr>
      </w:pPr>
    </w:p>
    <w:p>
      <w:pPr>
        <w:ind w:left="780" w:hanging="219"/>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7" w:lineRule="exact"/>
        <w:rPr>
          <w:rFonts w:ascii="Arial" w:cs="Arial" w:eastAsia="Arial" w:hAnsi="Arial"/>
          <w:sz w:val="18"/>
          <w:szCs w:val="18"/>
          <w:color w:val="auto"/>
        </w:rPr>
      </w:pPr>
    </w:p>
    <w:p>
      <w:pPr>
        <w:ind w:left="780" w:right="280" w:hanging="219"/>
        <w:spacing w:after="0" w:line="255"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69"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0" w:lineRule="exact"/>
        <w:rPr>
          <w:rFonts w:ascii="Arial" w:cs="Arial" w:eastAsia="Arial" w:hAnsi="Arial"/>
          <w:sz w:val="18"/>
          <w:szCs w:val="18"/>
          <w:color w:val="auto"/>
        </w:rPr>
      </w:pPr>
    </w:p>
    <w:p>
      <w:pPr>
        <w:ind w:left="780" w:right="80" w:hanging="219"/>
        <w:spacing w:after="0" w:line="24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5" w:lineRule="exact"/>
        <w:rPr>
          <w:rFonts w:ascii="Arial" w:cs="Arial" w:eastAsia="Arial" w:hAnsi="Arial"/>
          <w:sz w:val="18"/>
          <w:szCs w:val="18"/>
          <w:color w:val="auto"/>
        </w:rPr>
      </w:pPr>
    </w:p>
    <w:p>
      <w:pPr>
        <w:ind w:left="780" w:right="720" w:hanging="219"/>
        <w:spacing w:after="0" w:line="255"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9" w:lineRule="exact"/>
        <w:rPr>
          <w:rFonts w:ascii="Arial" w:cs="Arial" w:eastAsia="Arial" w:hAnsi="Arial"/>
          <w:sz w:val="18"/>
          <w:szCs w:val="18"/>
          <w:color w:val="auto"/>
        </w:rPr>
      </w:pPr>
    </w:p>
    <w:p>
      <w:pPr>
        <w:ind w:left="5520" w:right="20" w:hanging="4959"/>
        <w:spacing w:after="0" w:line="448" w:lineRule="auto"/>
        <w:tabs>
          <w:tab w:leader="none" w:pos="7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 49</w:t>
      </w:r>
    </w:p>
    <w:p>
      <w:pPr>
        <w:sectPr>
          <w:pgSz w:w="11900" w:h="16838" w:orient="portrait"/>
          <w:cols w:equalWidth="0" w:num="1">
            <w:col w:w="11240"/>
          </w:cols>
          <w:pgMar w:left="320" w:top="455"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40" w:hanging="219"/>
        <w:spacing w:after="0" w:line="27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45"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6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If we are unable to obtain or protect intellectual property rights related to any of our product candidates, we may not be able to compete effectively in our market.</w:t>
      </w:r>
    </w:p>
    <w:p>
      <w:pPr>
        <w:spacing w:after="0" w:line="21" w:lineRule="exact"/>
        <w:rPr>
          <w:sz w:val="20"/>
          <w:szCs w:val="20"/>
          <w:color w:val="auto"/>
        </w:rPr>
      </w:pPr>
    </w:p>
    <w:p>
      <w:pPr>
        <w:jc w:val="both"/>
        <w:ind w:right="520" w:firstLine="562"/>
        <w:spacing w:after="0" w:line="277"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product candidates. Our success depends in large part on our ability to obtain and maintain patent and other intellectual property protection in the United States and in other countries with respect to our proprietary technology and product candidates.</w:t>
      </w:r>
    </w:p>
    <w:p>
      <w:pPr>
        <w:spacing w:after="0" w:line="147"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As of the date of this prospectus, we in-license one Patent Cooperation Treaty application, 14 pending foreign patent applications, 14 patent applications pending in the United States, of which two are United States utility patent applications, both of which, if issued, are expected to expire in 2037, and 12 are United States provisional patent applications where patent applications claiming priority to these provision patent applications, if issued, are expected to expire between 2040 and 2041. We cannot offer any assurances about which of our patent applications will issue, the breadth of any resulting patent or whether any of the issued patents will be found invalid and unenforceable or will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5"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172"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79"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0"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5"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43"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85"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If we fail to comply with our obligations in our current and future intellectual property licenses with third parties, we could lose rights that are important to our business.</w:t>
      </w:r>
    </w:p>
    <w:p>
      <w:pPr>
        <w:spacing w:after="0" w:line="21"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are heavily reliant upon licenses to certain patent rights and proprietary technology for the development of our product candidates, in particular the UT Southwestern Agreement and our license agreements with Queen’s University at Kingston and Abeona Therapeutics Inc.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w:t>
      </w:r>
    </w:p>
    <w:p>
      <w:pPr>
        <w:spacing w:after="0" w:line="174"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5"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firstLine="562"/>
        <w:spacing w:after="0" w:line="268" w:lineRule="auto"/>
        <w:rPr>
          <w:sz w:val="20"/>
          <w:szCs w:val="20"/>
          <w:color w:val="auto"/>
        </w:rPr>
      </w:pPr>
      <w:r>
        <w:rPr>
          <w:rFonts w:ascii="Arial" w:cs="Arial" w:eastAsia="Arial" w:hAnsi="Arial"/>
          <w:sz w:val="17"/>
          <w:szCs w:val="17"/>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53" w:lineRule="exact"/>
        <w:rPr>
          <w:sz w:val="20"/>
          <w:szCs w:val="20"/>
          <w:color w:val="auto"/>
        </w:rPr>
      </w:pPr>
    </w:p>
    <w:p>
      <w:pPr>
        <w:ind w:right="200" w:firstLine="562"/>
        <w:spacing w:after="0" w:line="243"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82"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future patents.</w:t>
      </w:r>
    </w:p>
    <w:p>
      <w:pPr>
        <w:spacing w:after="0" w:line="21"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72"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For example, on September 16, 2011, the Leahy-Smith America Invents Act, or the Leahy-Smith Act, was signed into law. The Leahy-Smith Act included a number of significant changes to United States patent law. These included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82"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Similarly, changes in patent laws and regulations in other countries or jurisdictions, changes in the governmental bodies that enforce them or changes in how the relevant governmental authority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0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186" w:lineRule="exact"/>
        <w:rPr>
          <w:sz w:val="20"/>
          <w:szCs w:val="20"/>
          <w:color w:val="auto"/>
        </w:rPr>
      </w:pPr>
    </w:p>
    <w:p>
      <w:pPr>
        <w:ind w:right="60" w:firstLine="562"/>
        <w:spacing w:after="0" w:line="260"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60"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5"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results of hearings, motions, or other interim proceedings or developments. If securities analysts or investors perceive these results to be negative, it could have a material adverse effect on the price of our common stock.</w:t>
      </w:r>
    </w:p>
    <w:p>
      <w:pPr>
        <w:spacing w:after="0" w:line="253"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2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spacing w:after="0" w:line="291"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w:t>
      </w:r>
    </w:p>
    <w:p>
      <w:pPr>
        <w:spacing w:after="0" w:line="21"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TSHA-101, TSHA-118, TSHA-102, TSHA-103, TSHA-104 or any future product candidates. In order to successfully challenge the validity of any such United States patent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83"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5" w:right="3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candidates or activities. If a patent holder believes that one of our product candidates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72"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We are aware of issued patent or patents issued to REGENXBIO Inc., or REGENX, that claim AAV vectors that have an AAV9 capsid serotype. If we commercialize any of our product candidates prior to the expiry of those patents in 2026 without a license, the patent owner could bring an action claiming infringement. In August 2020, we received a letter from REGENX that stated REGENX is the owner of or has exclusive licenses to various issued patents or patent applications regarding the use of AAV9 vectors and offered to discuss licensing the applicable patents from them. We intend to review their letter in detail and to take appropriate actions based on our review, which may include, if we deem it appropriate, speaking with REGENX regarding their letter. 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8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80"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21"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320" w:top="455" w:right="3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and other intellectual property.</w:t>
      </w:r>
    </w:p>
    <w:p>
      <w:pPr>
        <w:spacing w:after="0" w:line="10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1"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21"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7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455"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78" w:lineRule="exact"/>
        <w:rPr>
          <w:sz w:val="20"/>
          <w:szCs w:val="20"/>
          <w:color w:val="auto"/>
        </w:rPr>
      </w:pPr>
    </w:p>
    <w:p>
      <w:pPr>
        <w:ind w:right="920"/>
        <w:spacing w:after="0" w:line="285"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21"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spacing w:after="0" w:line="172"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72"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74"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0" w:lineRule="exact"/>
        <w:rPr>
          <w:sz w:val="20"/>
          <w:szCs w:val="20"/>
          <w:color w:val="auto"/>
        </w:rPr>
      </w:pPr>
    </w:p>
    <w:p>
      <w:pPr>
        <w:jc w:val="both"/>
        <w:ind w:right="20" w:firstLine="562"/>
        <w:spacing w:after="0" w:line="255"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5" w:right="3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grant a license to third parties with respect to any patents relevant to our business, our competitive position may be impaired.</w:t>
      </w:r>
    </w:p>
    <w:p>
      <w:pPr>
        <w:spacing w:after="0" w:line="320"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43"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88"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otherwise violated, or successfully challenged, resulting in harm to our business.</w:t>
      </w:r>
    </w:p>
    <w:p>
      <w:pPr>
        <w:spacing w:after="0" w:line="21"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We expect to rely on trademarks as one means to distinguish our product candidates, if approved for marketing, from the drugs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420" w:firstLine="562"/>
        <w:spacing w:after="0" w:line="25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9" w:lineRule="exact"/>
        <w:rPr>
          <w:sz w:val="20"/>
          <w:szCs w:val="20"/>
          <w:color w:val="auto"/>
        </w:rPr>
      </w:pPr>
    </w:p>
    <w:p>
      <w:pPr>
        <w:ind w:left="780" w:right="580" w:hanging="219"/>
        <w:spacing w:after="0" w:line="27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our current or future patents;</w:t>
      </w:r>
    </w:p>
    <w:p>
      <w:pPr>
        <w:spacing w:after="0" w:line="50"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future collaborators might not have been the first to make the inventions covered by our issued or future issued patents or our pending patent applications;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future collaborators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780" w:right="400" w:hanging="219"/>
        <w:spacing w:after="0" w:line="27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in-license may be held invalid or unenforceable as a result of legal challenges by our competitors;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17"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214"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52"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86" w:lineRule="exact"/>
        <w:rPr>
          <w:sz w:val="20"/>
          <w:szCs w:val="20"/>
          <w:color w:val="auto"/>
        </w:rPr>
      </w:pPr>
    </w:p>
    <w:p>
      <w:pPr>
        <w:ind w:left="780" w:hanging="219"/>
        <w:spacing w:after="0" w:line="23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In addition, the ACA signed into law in 2010, provides that the government may assert that a claim including items or services resulting from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violation of the federal Anti-Kickback Statute constitutes a false or fraudulent claim for purposes of the federal False Claims Act;</w:t>
      </w:r>
    </w:p>
    <w:p>
      <w:pPr>
        <w:spacing w:after="0" w:line="117" w:lineRule="exact"/>
        <w:rPr>
          <w:sz w:val="20"/>
          <w:szCs w:val="20"/>
          <w:color w:val="auto"/>
        </w:rPr>
      </w:pPr>
    </w:p>
    <w:p>
      <w:pPr>
        <w:ind w:left="780" w:right="40" w:hanging="219"/>
        <w:spacing w:after="0" w:line="239"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85" w:lineRule="exact"/>
        <w:rPr>
          <w:rFonts w:ascii="Arial" w:cs="Arial" w:eastAsia="Arial" w:hAnsi="Arial"/>
          <w:sz w:val="18"/>
          <w:szCs w:val="18"/>
          <w:color w:val="auto"/>
        </w:rPr>
      </w:pPr>
    </w:p>
    <w:p>
      <w:pPr>
        <w:ind w:left="780" w:right="60" w:hanging="219"/>
        <w:spacing w:after="0" w:line="243"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85" w:lineRule="exact"/>
        <w:rPr>
          <w:rFonts w:ascii="Arial" w:cs="Arial" w:eastAsia="Arial" w:hAnsi="Arial"/>
          <w:sz w:val="18"/>
          <w:szCs w:val="18"/>
          <w:color w:val="auto"/>
        </w:rPr>
      </w:pPr>
    </w:p>
    <w:p>
      <w:pPr>
        <w:ind w:left="780" w:right="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 and</w:t>
      </w:r>
    </w:p>
    <w:p>
      <w:pPr>
        <w:spacing w:after="0" w:line="85" w:lineRule="exact"/>
        <w:rPr>
          <w:rFonts w:ascii="Arial" w:cs="Arial" w:eastAsia="Arial" w:hAnsi="Arial"/>
          <w:sz w:val="18"/>
          <w:szCs w:val="18"/>
          <w:color w:val="auto"/>
        </w:rPr>
      </w:pPr>
    </w:p>
    <w:p>
      <w:pPr>
        <w:ind w:left="780" w:right="200" w:hanging="219"/>
        <w:spacing w:after="0" w:line="255"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5"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00"/>
        <w:spacing w:after="0" w:line="245" w:lineRule="auto"/>
        <w:rPr>
          <w:sz w:val="20"/>
          <w:szCs w:val="20"/>
          <w:color w:val="auto"/>
        </w:rPr>
      </w:pPr>
      <w:r>
        <w:rPr>
          <w:rFonts w:ascii="Arial" w:cs="Arial" w:eastAsia="Arial" w:hAnsi="Arial"/>
          <w:sz w:val="18"/>
          <w:szCs w:val="18"/>
          <w:color w:val="auto"/>
        </w:rPr>
        <w:t>pharmaceutical companies to comply with the pharmaceutical industry’s voluntary compliance guidelines and the relevant compliance guidance promulgated by the federal government, or that otherwise restrict payments that may be made to healthcare providers;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76"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87"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Even if we obtain regulatory approval for TSHA-101, TSHA-118, TSHA-102, TSHA-103, TSHA-104 or any future product candidates, they will remain subject to ongoing regulatory oversight.</w:t>
      </w:r>
    </w:p>
    <w:p>
      <w:pPr>
        <w:spacing w:after="0" w:line="21"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Even if we obtain any regulatory approval for TSHA-101, TSHA-118, TSHA-102, TSHA-103, TSHA-104 or any future product candidates, such product candidates, once approved, will be subject to ongoing regulatory requirements applicable to manufacturing, labeling, packaging, storage, advertising, promoting, sampling, record-keeping and submitting of safety and other post-market information, among other things. Any regulatory approvals that we receive for TSHA-101, TSHA-118, TSHA-102, TSHA-103, TSHA-104 or any future product candidates may also be subject to a risk evaluation and mitigation strategy, limitations on the approved indicated uses for which the drug may be marketed or to the conditions of approval, or requirements that we conduct potentially costly post-marketing testing,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80"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455" w:right="3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72" w:lineRule="exact"/>
        <w:rPr>
          <w:sz w:val="20"/>
          <w:szCs w:val="20"/>
          <w:color w:val="auto"/>
        </w:rPr>
      </w:pPr>
    </w:p>
    <w:p>
      <w:pPr>
        <w:ind w:right="240" w:firstLine="562"/>
        <w:spacing w:after="0" w:line="243" w:lineRule="auto"/>
        <w:rPr>
          <w:sz w:val="20"/>
          <w:szCs w:val="20"/>
          <w:color w:val="auto"/>
        </w:rPr>
      </w:pPr>
      <w:r>
        <w:rPr>
          <w:rFonts w:ascii="Arial" w:cs="Arial" w:eastAsia="Arial" w:hAnsi="Arial"/>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fail to comply with applicable regulatory requirements following approval of TSHA-101, TSHA-118, TSHA-102, TSHA-103,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TSHA-104 or any future product candidates, a regulatory authority may:</w:t>
      </w:r>
    </w:p>
    <w:p>
      <w:pPr>
        <w:spacing w:after="0" w:line="95" w:lineRule="exact"/>
        <w:rPr>
          <w:sz w:val="20"/>
          <w:szCs w:val="20"/>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 the marketing or manufacturing of the drug;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2"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TSHA-101, TSHA-118, TSHA-102, TSHA-103, TSHA-104 or any future product candidates and harm our business, financial condition, results of operations and prospects.</w:t>
      </w:r>
    </w:p>
    <w:p>
      <w:pPr>
        <w:spacing w:after="0" w:line="278"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43" w:lineRule="exact"/>
        <w:rPr>
          <w:sz w:val="20"/>
          <w:szCs w:val="20"/>
          <w:color w:val="auto"/>
        </w:rPr>
      </w:pPr>
    </w:p>
    <w:p>
      <w:pPr>
        <w:ind w:right="400" w:firstLine="562"/>
        <w:spacing w:after="0" w:line="276"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45"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104"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64" w:lineRule="exact"/>
        <w:rPr>
          <w:sz w:val="20"/>
          <w:szCs w:val="20"/>
          <w:color w:val="auto"/>
        </w:rPr>
      </w:pPr>
    </w:p>
    <w:p>
      <w:pPr>
        <w:ind w:firstLine="562"/>
        <w:spacing w:after="0" w:line="250"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United States pharmaceutical industry. The ACA, among other things: (i) established an annual, nondeductible fee on any entity that manufactures or imports certain specified branded prescription drugs and biologic agents apportioned among these entities according to their market share in some government healthcare programs; (ii) expanded the entities eligible for discounts under the 340B drug pricing program; (iii) increased the statutory minimum rebates a manufacturer must pay under the Medicaid Drug Rebate Program to 23.1% and 13% of the average manufacturer price for most branded and generic drugs, respectively, and capped the total rebate amount for innovator drugs at 100% of the Average Manufacturer Price, or AMP; (iv) expanded the eligibility criteria for Medicaid programs by, among other things, allowing states to offer Medicaid coverage to additional individuals and by adding new eligibility categories for individuals with income at or below 133% (as calculated, it constitutes 138%) of the federal poverty level, thereby potentially increasing manufacturers’ Medicaid rebate liability; (v) addressed a new methodology by which rebates owed by manufacturers under the Medicaid Drug Rebate Program are calculated for certain drugs and biologics that are inhaled, infused, instilled, implanted or injected;</w:t>
      </w:r>
    </w:p>
    <w:p>
      <w:pPr>
        <w:spacing w:after="0" w:line="6" w:lineRule="exact"/>
        <w:rPr>
          <w:sz w:val="20"/>
          <w:szCs w:val="20"/>
          <w:color w:val="auto"/>
        </w:rPr>
      </w:pPr>
    </w:p>
    <w:p>
      <w:pPr>
        <w:ind w:right="100" w:firstLine="8"/>
        <w:spacing w:after="0" w:line="237"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(increased from 50%, effective January 1, 2019, pursuant to the Bipartisan Budget Act of 2018); (vii) created a new Patient-Centered Outcomes Research Institute to oversee, identify priorities in, and conduct comparative clinical effectiveness research, along with funding for such research; and (viii) established the Center for Medicare and Medicaid Innovation at CMS to test innovative payment and service delivery models to lower Medicare and Medicaid spending, potentially including prescription drug.</w:t>
      </w:r>
    </w:p>
    <w:p>
      <w:pPr>
        <w:spacing w:after="0" w:line="181" w:lineRule="exact"/>
        <w:rPr>
          <w:sz w:val="20"/>
          <w:szCs w:val="20"/>
          <w:color w:val="auto"/>
        </w:rPr>
      </w:pPr>
    </w:p>
    <w:p>
      <w:pPr>
        <w:jc w:val="both"/>
        <w:ind w:right="220" w:firstLine="562"/>
        <w:spacing w:after="0" w:line="255" w:lineRule="auto"/>
        <w:rPr>
          <w:sz w:val="20"/>
          <w:szCs w:val="20"/>
          <w:color w:val="auto"/>
        </w:rPr>
      </w:pPr>
      <w:r>
        <w:rPr>
          <w:rFonts w:ascii="Arial" w:cs="Arial" w:eastAsia="Arial" w:hAnsi="Arial"/>
          <w:sz w:val="18"/>
          <w:szCs w:val="18"/>
          <w:color w:val="auto"/>
        </w:rPr>
        <w:t>There remain judicial and Congressional challenges to certain aspects of the ACA, as well as efforts by the Trump administration to repeal or replace certain aspects of the ACA. While Congress has not passed comprehensive repeal legislation, several bills affecting the implementation of certain taxes under the ACA have been signed into law. The Tax Cuts and Jobs Act of 2017, or Tax Act,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455" w:right="3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includes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The Bipartisan Budget Act of 2018, or the BBA, among other things, amended the ACA, effective January 1, 2019, to close the coverage gap in most Medicare drug plans, commonly referred to as the “donut hole.” In December 2018, CMS published a new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On December 14, 2018, a Texas United States District Court Judge ruled that the ACA is unconstitutional in its entirety because the “individual mandate” was repealed by Congress as part of the Tax Act. Additionally, on December 18, 2019, the United States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w:t>
      </w:r>
    </w:p>
    <w:p>
      <w:pPr>
        <w:spacing w:after="0" w:line="186"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The Coronavirus Aid, Relief and Economic Security Act, or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w:t>
      </w:r>
    </w:p>
    <w:p>
      <w:pPr>
        <w:spacing w:after="0" w:line="180"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(over a period of time)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plan to lower drug prices and reduce out of pocket costs of drugs that contained proposals to increase drug manufacturer competition, increase the negotiating power of certain federal healthcare programs,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5" w:right="3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incentivize manufacturers to lower the list price of their products, and reduce the out of pocket costs of drug products paid by consumers. The HHS has solicited feedback on some of these measures and has implemented others under its existing authority. On July 24, 2020, President Trump announced four executive orders related to prescription drug pricing that attempt to implement several of the Administration’s proposals, including a policy that would tie Medicare Part B drug prices to international drug prices; one that directs HHS to finalize the Canadian drug importation proposed rule previously issued by HHS and makes other changes allowing for personal importation of drugs from Canada; one that directs HHS to finalize the rulemaking process on modifying the anti-kickback law safe harbors for plans, pharmacies, and pharmaceutical benefit managers; and one that reduces costs of insulin and epipens to patients of federally qualified health centers. The probability of success of these newly announced policies and their impact on the U.S. prescription drug marketplace is unknown. While some of these and other measures may require additional authorization to become effective, Congress and the Trump administration have indicated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to address the COVID-19 pandemic.</w:t>
      </w:r>
    </w:p>
    <w:p>
      <w:pPr>
        <w:spacing w:after="0" w:line="172"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In addition, FDA regulations and guidance may be revised or reinterpreted by the FDA in ways that may significantly affect our business and our products. The Trump administration has also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requirements will be interpreted and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Any new regulations or guidance, or revisions or reinterpretations of existing regulations or guidance, may impose additional costs or lengthen FDA review times for TSHA-101, TSHA-118, TSHA-102, TSHA-103, TSHA-104 or any future product candidates. We cannot determine how changes in regulations, statutes, policies, or interpretations when and if issued, enacted or adopted, may affect our business in the future. Such changes could, among other things, require:</w:t>
      </w:r>
    </w:p>
    <w:p>
      <w:pPr>
        <w:spacing w:after="0" w:line="82" w:lineRule="exact"/>
        <w:rPr>
          <w:sz w:val="20"/>
          <w:szCs w:val="20"/>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recalls, replacements, or discontinuance of one or more of our products;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12"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Such changes would likely require substantial time and impose significant costs, or could reduce the potential commercial value of TSHA-101, TSHA-118, TSHA-102, TSHA-103, TSHA-104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455" w:right="3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Our business activities will be subject to the Foreign Corrupt Practices Act, or FCPA, and similar anti-bribery and anti-corruption laws.</w:t>
      </w:r>
    </w:p>
    <w:p>
      <w:pPr>
        <w:spacing w:after="0" w:line="21"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9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2" w:lineRule="exact"/>
        <w:rPr>
          <w:sz w:val="20"/>
          <w:szCs w:val="20"/>
          <w:color w:val="auto"/>
        </w:rPr>
      </w:pPr>
    </w:p>
    <w:p>
      <w:pPr>
        <w:ind w:right="200" w:firstLine="562"/>
        <w:spacing w:after="0" w:line="24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2"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4"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Separately, in response to the COVID-19 pandemic, on March 10, 2020 the FDA announced its intention to postpone most inspections of foreign manufacturing facilities and products while local, national and international conditions warrant. The FDA has developed a rating system to assist in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5"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determining when and where it is safest to conduct prioritized domestic inspections. Regulatory authorities outside the U.S. may adopt similar restrictions or other policy measures in response to the COVID-19 pandemic and may experience delays in their regulatory activities.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04"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particularly RA Session II, our President and Chief Executive Officer. Each of our executive officers may currently terminate their employment with us at any time. We do not maintain “key person” insurance for any of our executives or employees.</w:t>
      </w:r>
    </w:p>
    <w:p>
      <w:pPr>
        <w:spacing w:after="0" w:line="164"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8"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We currently have a limited number of employees, and we rely on PBM Capital Group, LLC to provide various administrative and management services.</w:t>
      </w:r>
    </w:p>
    <w:p>
      <w:pPr>
        <w:spacing w:after="0" w:line="21"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We currently rely on the support and administrative services provided by PBM Capital Group, LLC, which, together with its affiliate PBM TGT Holdings, LLC, is a holder of more than 5% of our capital stock, pursuant to our services agreement with PBM Capital Group, LLC. We do not expect personnel and support staff that provide services to us under these services agreements will have as their primary responsibility the management and administration of our business or act exclusively for us. As a result, such individuals will not allocate all of their time and resources to us. See “Certain Relationships and Related Party Transactions—Our Relationship with PBM Capital Group, LLC.”</w:t>
      </w:r>
    </w:p>
    <w:p>
      <w:pPr>
        <w:spacing w:after="0" w:line="172"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If PBM Capital Group, LLC fails to perform their obligations in accordance with the terms of the services agreements, it could be difficult for us to operate our business. Any failure by PBM Capital Group, LLC to effectively manage administrative or other services that they provide to us could harm our business, financial condition and results of operations. In addition, the termination of our relationship with PBM Capital Group, LLC and any delay in appointing or finding a suitable replacement provider (if one exists) could make it difficult for us to operate our business.</w:t>
      </w:r>
    </w:p>
    <w:p>
      <w:pPr>
        <w:spacing w:after="0" w:line="172"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Additionally, over time we will need to transition from receiving the services that PBM Capital Group, LLC is currently providing to performing such activities internally. If we do not have adequate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5"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financial resources or personnel and systems in place at the time that we assume responsibilities for such services, we may not be successful in effectively or efficiently transitioning these services from PBM Capital Group, LLC, which could disrupt our business and have a material adverse effect on our financial condition and results of operations. Even if we are able to successfully transition these services, they may be more expensive or less efficient than the services we are receiving from PBM Capital Group, LLC during the transition period.</w:t>
      </w:r>
    </w:p>
    <w:p>
      <w:pPr>
        <w:spacing w:after="0" w:line="278" w:lineRule="exact"/>
        <w:rPr>
          <w:sz w:val="20"/>
          <w:szCs w:val="20"/>
          <w:color w:val="auto"/>
        </w:rPr>
      </w:pPr>
    </w:p>
    <w:p>
      <w:pPr>
        <w:ind w:right="820"/>
        <w:spacing w:after="0" w:line="260" w:lineRule="auto"/>
        <w:rPr>
          <w:sz w:val="20"/>
          <w:szCs w:val="20"/>
          <w:color w:val="auto"/>
        </w:rPr>
      </w:pPr>
      <w:r>
        <w:rPr>
          <w:rFonts w:ascii="Arial" w:cs="Arial" w:eastAsia="Arial" w:hAnsi="Arial"/>
          <w:sz w:val="18"/>
          <w:szCs w:val="18"/>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4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As of August 31, 2020, we had ten employees. As our development progresses, we expect to experience significant growth in the number of our employees and the scope of our operations, particularly in the areas of clinical product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8"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21"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20" w:top="455" w:right="3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This Offering, Ownership of our Common Stock and our Status as a Public Company</w:t>
      </w:r>
    </w:p>
    <w:p>
      <w:pPr>
        <w:spacing w:after="0" w:line="214"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of our common stock at or above the initial offering price, if at all.</w:t>
      </w:r>
    </w:p>
    <w:p>
      <w:pPr>
        <w:spacing w:after="0" w:line="21"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was determined through negotiations with the underwriters and may not be indicative of the price at which our common stock will trade after the closing of this offering. Although our common stock has been approved for listing on The Nasdaq Global Market,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The trading price of the shares of our common stock may be volatile, and purchasers of our common stock could incur substantial losses.</w:t>
      </w:r>
    </w:p>
    <w:p>
      <w:pPr>
        <w:spacing w:after="0" w:line="21" w:lineRule="exact"/>
        <w:rPr>
          <w:sz w:val="20"/>
          <w:szCs w:val="20"/>
          <w:color w:val="auto"/>
        </w:rPr>
      </w:pPr>
    </w:p>
    <w:p>
      <w:pPr>
        <w:ind w:right="300" w:firstLine="562"/>
        <w:spacing w:after="0" w:line="248" w:lineRule="auto"/>
        <w:rPr>
          <w:sz w:val="20"/>
          <w:szCs w:val="20"/>
          <w:color w:val="auto"/>
        </w:rPr>
      </w:pPr>
      <w:r>
        <w:rPr>
          <w:rFonts w:ascii="Arial" w:cs="Arial" w:eastAsia="Arial" w:hAnsi="Arial"/>
          <w:sz w:val="18"/>
          <w:szCs w:val="18"/>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76" w:lineRule="exact"/>
        <w:rPr>
          <w:sz w:val="20"/>
          <w:szCs w:val="20"/>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reporting of unfavorable preclinical results;</w:t>
      </w:r>
    </w:p>
    <w:p>
      <w:pPr>
        <w:spacing w:after="0" w:line="117"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commencement, enrollment or results of our clinical trials of TSHA-101, TSHA-118, TSHA-102, TSHA-103, TSHA-104 or any future clinical trials we may conduct, or changes in the development status of our product candidates;</w:t>
      </w:r>
    </w:p>
    <w:p>
      <w:pPr>
        <w:spacing w:after="0" w:line="50" w:lineRule="exact"/>
        <w:rPr>
          <w:rFonts w:ascii="Arial" w:cs="Arial" w:eastAsia="Arial" w:hAnsi="Arial"/>
          <w:sz w:val="18"/>
          <w:szCs w:val="18"/>
          <w:color w:val="auto"/>
        </w:rPr>
      </w:pPr>
    </w:p>
    <w:p>
      <w:pPr>
        <w:ind w:left="780" w:hanging="219"/>
        <w:spacing w:after="0" w:line="24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delay in our regulatory filings for TSHA-101, TSHA-118, TSHA-102, TSHA-103, TSHA-104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results from, delays in or termination of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17" w:lineRule="exact"/>
        <w:rPr>
          <w:rFonts w:ascii="Arial" w:cs="Arial" w:eastAsia="Arial" w:hAnsi="Arial"/>
          <w:sz w:val="18"/>
          <w:szCs w:val="18"/>
          <w:color w:val="auto"/>
        </w:rPr>
      </w:pPr>
    </w:p>
    <w:p>
      <w:pPr>
        <w:ind w:left="780" w:right="120" w:hanging="219"/>
        <w:spacing w:after="0" w:line="27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TSHA-101, TSHA-118, TSHA-102, TSHA-103, TSHA-104 or any other product candidate;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50" w:lineRule="exact"/>
        <w:rPr>
          <w:rFonts w:ascii="Arial" w:cs="Arial" w:eastAsia="Arial" w:hAnsi="Arial"/>
          <w:sz w:val="18"/>
          <w:szCs w:val="18"/>
          <w:color w:val="auto"/>
        </w:rPr>
      </w:pPr>
    </w:p>
    <w:p>
      <w:pPr>
        <w:ind w:left="780" w:right="720" w:hanging="219"/>
        <w:spacing w:after="0" w:line="27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455" w:right="3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780" w:right="340" w:hanging="219"/>
        <w:spacing w:after="0" w:line="27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80"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dilution of your investment.</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initial public offering price of our common stock is substantially higher than the net tangible book value (deficit) per share of our common stock. Therefore, if you purchase shares of our common stock in this offering, you will pay a price per share that substantially exceeds our pro forma as adjusted net tangible book value per share after this offering. Based on the assumed initial public offering price of $19.00 per share, the midpoint of the price range set forth on the cover page of this prospectus, you will experience immediate dilution of $12.37 per share, representing the difference between our pro forma as adjusted net tangible book value per share after this offering and the assumed initial public offering price.</w:t>
      </w:r>
    </w:p>
    <w:p>
      <w:pPr>
        <w:spacing w:after="0" w:line="174"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In addition, as of September 2, 2020, we had outstanding stock options to purchase an aggregate of 16,342 shares of common stock at an exercise price of $14.90 per share. To the extent these outstanding options are exercised, there will be further dilution to investors in this offering.</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320" w:top="455" w:right="3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21"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87"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21" w:lineRule="exact"/>
        <w:rPr>
          <w:sz w:val="20"/>
          <w:szCs w:val="20"/>
          <w:color w:val="auto"/>
        </w:rPr>
      </w:pPr>
    </w:p>
    <w:p>
      <w:pPr>
        <w:jc w:val="both"/>
        <w:ind w:right="120" w:firstLine="562"/>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64" w:lineRule="exact"/>
        <w:rPr>
          <w:sz w:val="20"/>
          <w:szCs w:val="20"/>
          <w:color w:val="auto"/>
        </w:rPr>
      </w:pPr>
    </w:p>
    <w:p>
      <w:pPr>
        <w:ind w:right="160" w:firstLine="562"/>
        <w:spacing w:after="0" w:line="239" w:lineRule="auto"/>
        <w:rPr>
          <w:sz w:val="20"/>
          <w:szCs w:val="20"/>
          <w:color w:val="auto"/>
        </w:rPr>
      </w:pPr>
      <w:r>
        <w:rPr>
          <w:rFonts w:ascii="Arial" w:cs="Arial" w:eastAsia="Arial" w:hAnsi="Arial"/>
          <w:sz w:val="18"/>
          <w:szCs w:val="18"/>
          <w:color w:val="auto"/>
        </w:rPr>
        <w:t>Upon the closing of this offering, we will have outstanding 34,521,359 shares of common stock, after giving effect to the automatic conversion of our outstanding convertible preferred stock into 17,047,410 shares of our common stock, and assuming no exercise of outstanding options to purchase shares of our convertible preferred stock. Of these shares, the 6,578,950 shares sold in this offering will be freely tradable upon the closing of this offering and the remaining shares of common stock will be available for sale in the public market beginning 180 days after the date of this prospectus following the expiration of lock-up agreements between some of our stockholders and the underwriters. Goldman Sachs &amp; Co. LLC, Morgan Stanley &amp; Co. LLC and Jefferies LLC may release these stockholders from</w:t>
      </w:r>
    </w:p>
    <w:p>
      <w:pPr>
        <w:ind w:right="500"/>
        <w:spacing w:after="0" w:line="250" w:lineRule="auto"/>
        <w:rPr>
          <w:sz w:val="20"/>
          <w:szCs w:val="20"/>
          <w:color w:val="auto"/>
        </w:rPr>
      </w:pPr>
      <w:r>
        <w:rPr>
          <w:rFonts w:ascii="Arial" w:cs="Arial" w:eastAsia="Arial" w:hAnsi="Arial"/>
          <w:sz w:val="18"/>
          <w:szCs w:val="18"/>
          <w:color w:val="auto"/>
        </w:rPr>
        <w:t>their lock-up agreements with the underwriters at any time and without notice, which would allow for earlier sales of shares in the public market.</w:t>
      </w:r>
    </w:p>
    <w:p>
      <w:pPr>
        <w:spacing w:after="0" w:line="168"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In addition, following the closing of this offering, we intend to file one or more registration statements on Form S-8 under the Securities Act of 1933, as amended, or the Securities Act, registering the issuance of 7,597,462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72" w:lineRule="exact"/>
        <w:rPr>
          <w:sz w:val="20"/>
          <w:szCs w:val="20"/>
          <w:color w:val="auto"/>
        </w:rPr>
      </w:pPr>
    </w:p>
    <w:p>
      <w:pPr>
        <w:jc w:val="both"/>
        <w:ind w:right="160" w:firstLine="562"/>
        <w:spacing w:after="0" w:line="245" w:lineRule="auto"/>
        <w:rPr>
          <w:sz w:val="20"/>
          <w:szCs w:val="20"/>
          <w:color w:val="auto"/>
        </w:rPr>
      </w:pPr>
      <w:r>
        <w:rPr>
          <w:rFonts w:ascii="Arial" w:cs="Arial" w:eastAsia="Arial" w:hAnsi="Arial"/>
          <w:sz w:val="18"/>
          <w:szCs w:val="18"/>
          <w:color w:val="auto"/>
        </w:rPr>
        <w:t>Additionally, after this offering, the holders of an aggregate of 27,942,409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43"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There are provisions in our certificate of incorporation and bylaws to be in effect upon the closing of this offering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17" w:lineRule="exact"/>
        <w:rPr>
          <w:sz w:val="20"/>
          <w:szCs w:val="20"/>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will not be entitled to remove directors other than by a 66 2/3% vote and only for cause;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will not be permitted to take actions by written consent;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12"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2"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21" w:lineRule="exact"/>
        <w:rPr>
          <w:sz w:val="20"/>
          <w:szCs w:val="20"/>
          <w:color w:val="auto"/>
        </w:rPr>
      </w:pPr>
    </w:p>
    <w:p>
      <w:pPr>
        <w:ind w:right="200" w:firstLine="562"/>
        <w:spacing w:after="0" w:line="243"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over 80% of our outstanding common stock prior to this offering and will continue to own a majority of our common stock following this offering. Further, certain of our directors, executive officers, employees and other persons associated with us may purchase shares of our common stock in this offering at the initial public offering price in a directed share program.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7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5" w:right="3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43"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69" w:lineRule="exact"/>
        <w:rPr>
          <w:sz w:val="20"/>
          <w:szCs w:val="20"/>
          <w:color w:val="auto"/>
        </w:rPr>
      </w:pPr>
    </w:p>
    <w:p>
      <w:pPr>
        <w:ind w:left="780" w:right="580" w:hanging="219"/>
        <w:spacing w:after="0" w:line="27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50" w:lineRule="exact"/>
        <w:rPr>
          <w:rFonts w:ascii="Arial" w:cs="Arial" w:eastAsia="Arial" w:hAnsi="Arial"/>
          <w:sz w:val="18"/>
          <w:szCs w:val="18"/>
          <w:color w:val="auto"/>
        </w:rPr>
      </w:pPr>
    </w:p>
    <w:p>
      <w:pPr>
        <w:ind w:left="780" w:right="120" w:hanging="219"/>
        <w:spacing w:after="0" w:line="255"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9" w:lineRule="exact"/>
        <w:rPr>
          <w:rFonts w:ascii="Arial" w:cs="Arial" w:eastAsia="Arial" w:hAnsi="Arial"/>
          <w:sz w:val="18"/>
          <w:szCs w:val="18"/>
          <w:color w:val="auto"/>
        </w:rPr>
      </w:pPr>
    </w:p>
    <w:p>
      <w:pPr>
        <w:ind w:left="780" w:right="680" w:hanging="219"/>
        <w:spacing w:after="0" w:line="27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50" w:lineRule="exact"/>
        <w:rPr>
          <w:rFonts w:ascii="Arial" w:cs="Arial" w:eastAsia="Arial" w:hAnsi="Arial"/>
          <w:sz w:val="18"/>
          <w:szCs w:val="18"/>
          <w:color w:val="auto"/>
        </w:rPr>
      </w:pPr>
    </w:p>
    <w:p>
      <w:pPr>
        <w:ind w:left="780" w:right="780" w:hanging="219"/>
        <w:spacing w:after="0" w:line="276"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stockholder approval of any golden parachute payments not previously approved.</w:t>
      </w:r>
    </w:p>
    <w:p>
      <w:pPr>
        <w:spacing w:after="0" w:line="14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December 31, 2025 or, if earlier, (i) the last day of the fiscal year in which we have total annual gross revenue of at least $1.07 billion, (ii) the date on which we are deemed to be a large accelerated filer, which means the market value of our common stock that is held by non-affiliates exceeds $700 million as of the prior June 30th, or (iii) the date on which we have issued more than $1.0 billion in non-convertible debt during the prior three-year period.</w:t>
      </w:r>
    </w:p>
    <w:p>
      <w:pPr>
        <w:spacing w:after="0" w:line="179" w:lineRule="exact"/>
        <w:rPr>
          <w:sz w:val="20"/>
          <w:szCs w:val="20"/>
          <w:color w:val="auto"/>
        </w:rPr>
      </w:pPr>
    </w:p>
    <w:p>
      <w:pPr>
        <w:ind w:right="460" w:firstLine="562"/>
        <w:spacing w:after="0" w:line="255" w:lineRule="auto"/>
        <w:rPr>
          <w:sz w:val="20"/>
          <w:szCs w:val="20"/>
          <w:color w:val="auto"/>
        </w:rPr>
      </w:pPr>
      <w:r>
        <w:rPr>
          <w:rFonts w:ascii="Arial" w:cs="Arial" w:eastAsia="Arial" w:hAnsi="Arial"/>
          <w:sz w:val="18"/>
          <w:szCs w:val="18"/>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72"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21" w:lineRule="exact"/>
        <w:rPr>
          <w:sz w:val="20"/>
          <w:szCs w:val="20"/>
          <w:color w:val="auto"/>
        </w:rPr>
      </w:pPr>
    </w:p>
    <w:p>
      <w:pPr>
        <w:ind w:right="300" w:firstLine="562"/>
        <w:spacing w:after="0" w:line="248" w:lineRule="auto"/>
        <w:rPr>
          <w:sz w:val="20"/>
          <w:szCs w:val="20"/>
          <w:color w:val="auto"/>
        </w:rPr>
      </w:pPr>
      <w:r>
        <w:rPr>
          <w:rFonts w:ascii="Arial" w:cs="Arial" w:eastAsia="Arial" w:hAnsi="Arial"/>
          <w:sz w:val="18"/>
          <w:szCs w:val="18"/>
          <w:color w:val="auto"/>
        </w:rPr>
        <w:t>After the closing of this offering, we will be subject to the reporting requirements of the Securities Exchange Act of 1934,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170"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Commencing with our fiscal year ending December 31, 2021,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 within a specified period, and, as a result, we may experience difficulty in meeting these reporting requirements in a timely manner.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455" w:right="3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other regulatory authorities.</w:t>
      </w:r>
    </w:p>
    <w:p>
      <w:pPr>
        <w:spacing w:after="0" w:line="278"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21"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and cash equivalents, to fund discovery and IND-enabling activities, as well as manufacturing and quality control testing for our clinical and preclinical programs, clinical trial, regulatory and medical activities for TSHA-101, TSHA-102, TSHA-103, TSHA-104 and TSHA-118, the establishment of our in-house manufacturing facility and for working capital and other general corporate purposes. In addition, we may use a portion of the proceeds from this offering to pursue our strategy to in-license or acquire additional product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such jurisdiction.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existing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w:t>
      </w:r>
    </w:p>
    <w:p>
      <w:pPr>
        <w:spacing w:after="0" w:line="10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We expect to generate significant federal and state net operating loss, or NOL, carryforwards in the future. These NOL carryforwards could expire unused and be unavailable to offset future income tax liabilities. Under the Tax Cuts and Jobs, or the Tax Act, as modified by the CARES Act, federal NOLs incurred in taxable years beginning after December 31, 2017 and in future taxable years may be carried forward indefinitely, but the deductibility of such federal NOLs incurred in the taxable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5"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beginning after December 31, 2020 is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this offering, together with private placements and other transactions that have occurred since our inception, may trigger such an ownership change pursuant to Section 382. We have not yet completed a Section 382 analysis. We may experience ownership changes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w:t>
      </w:r>
    </w:p>
    <w:p>
      <w:pPr>
        <w:spacing w:after="0" w:line="284"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21"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being a public company.</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As a public company listed in the United States, we will incur significant additional legal, accounting and other costs, which we anticipate will be between $6.0 million and $7.0 million annually, including the cost of director and officer liability insurance.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80"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5"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60"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0" w:lineRule="exact"/>
        <w:rPr>
          <w:sz w:val="20"/>
          <w:szCs w:val="20"/>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780" w:right="80" w:hanging="219"/>
        <w:spacing w:after="0" w:line="27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50"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restated certificate or our amended and restated bylaws;</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claim or cause of action as to which the Delaware General Corporation Law confers jurisdiction on the Court of Chancery of the state of Delaware;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2"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5" w:right="3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“Business” and elsewhere in this prospectus. In some cases, you can identify forward-looking statements by terms such as “may,” “will,” “should,” “expect,” “plan,” “anticipate,” “could,” “intend,” “target,” “project,” “estimate,” “believe,” “estimate,”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5" w:lineRule="exact"/>
        <w:rPr>
          <w:sz w:val="20"/>
          <w:szCs w:val="20"/>
          <w:color w:val="auto"/>
        </w:rPr>
      </w:pPr>
    </w:p>
    <w:p>
      <w:pPr>
        <w:ind w:left="780" w:right="20" w:hanging="219"/>
        <w:spacing w:after="0" w:line="255"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69"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of our planned IND and CTA submissions, initiation of clinical trials and timing of expected clinical results for TSHA-101, TSHA-118, TSHA-102, TSHA-103, TSHA-104 and our other future product candidates;</w:t>
      </w:r>
    </w:p>
    <w:p>
      <w:pPr>
        <w:spacing w:after="0" w:line="50" w:lineRule="exact"/>
        <w:rPr>
          <w:rFonts w:ascii="Arial" w:cs="Arial" w:eastAsia="Arial" w:hAnsi="Arial"/>
          <w:sz w:val="18"/>
          <w:szCs w:val="18"/>
          <w:color w:val="auto"/>
        </w:rPr>
      </w:pPr>
    </w:p>
    <w:p>
      <w:pPr>
        <w:ind w:left="780" w:right="8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and our ability to obtain and maintain regulatory approvals for, our current and future product candidates;</w:t>
      </w:r>
    </w:p>
    <w:p>
      <w:pPr>
        <w:spacing w:after="0" w:line="50" w:lineRule="exact"/>
        <w:rPr>
          <w:rFonts w:ascii="Arial" w:cs="Arial" w:eastAsia="Arial" w:hAnsi="Arial"/>
          <w:sz w:val="18"/>
          <w:szCs w:val="18"/>
          <w:color w:val="auto"/>
        </w:rPr>
      </w:pPr>
    </w:p>
    <w:p>
      <w:pPr>
        <w:ind w:left="780" w:right="56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COVID-19, which could adversely impact our business, including our preclinical studies and clinical trials;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identify patients with the diseases treated by our product candidates, and to enroll patients in trials;</w:t>
      </w:r>
    </w:p>
    <w:p>
      <w:pPr>
        <w:spacing w:after="0" w:line="117" w:lineRule="exact"/>
        <w:rPr>
          <w:rFonts w:ascii="Arial" w:cs="Arial" w:eastAsia="Arial" w:hAnsi="Arial"/>
          <w:sz w:val="18"/>
          <w:szCs w:val="18"/>
          <w:color w:val="auto"/>
        </w:rPr>
      </w:pPr>
    </w:p>
    <w:p>
      <w:pPr>
        <w:ind w:left="780" w:right="50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spacing w:after="0" w:line="50" w:lineRule="exact"/>
        <w:rPr>
          <w:rFonts w:ascii="Arial" w:cs="Arial" w:eastAsia="Arial" w:hAnsi="Arial"/>
          <w:sz w:val="18"/>
          <w:szCs w:val="18"/>
          <w:color w:val="auto"/>
        </w:rPr>
      </w:pPr>
    </w:p>
    <w:p>
      <w:pPr>
        <w:ind w:left="780" w:right="34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scalability and commercial viability of our manufacturing methods and processes;</w:t>
      </w:r>
    </w:p>
    <w:p>
      <w:pPr>
        <w:spacing w:after="0" w:line="50"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TSHA-101, TSHA-118, TSHA-102, TSHA-103, TSHA-104 or any other product candidate;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leverage our platform, including our next-generation technologies, to identify and develop future product candidates;</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17"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reliance upon intellectual property licensed from third parties and our ability to obtain such licenses on commercially reasonable terms or at all;</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5" w:right="3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estimates regarding future revenue, expenses and needs for additional financing;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laws and regulations;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12"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The foregoing list of risks is not exhaustive. Other sections of this prospectus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179"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the events and circumstances reflected in our forward-looking statements may not be achieved or occur and actual results could differ materially from those projected in the forward-looking statements. You should refer to the ‘‘Risk Factors’’ section of this prospectus for a discussion of important factors that may cause our actual results to differ materially from those expressed or implied by our forward-looking statements.</w:t>
      </w:r>
    </w:p>
    <w:p>
      <w:pPr>
        <w:spacing w:after="0" w:line="174" w:lineRule="exact"/>
        <w:rPr>
          <w:sz w:val="20"/>
          <w:szCs w:val="20"/>
          <w:color w:val="auto"/>
        </w:rPr>
      </w:pPr>
    </w:p>
    <w:p>
      <w:pPr>
        <w:jc w:val="both"/>
        <w:ind w:right="80" w:firstLine="562"/>
        <w:spacing w:after="0" w:line="255"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455" w:right="3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21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obtained the industry, statistical and market data in this prospectus from our own internal estimates and research as well as from industry and general publications and research, surveys and studies conducted by third parties. All of the market data used in this prospectus involve a number of assumptions and limitations, and the sources of such data cannot guarantee the accuracy or completeness of such information. While we are not aware of any misstatements regarding the third-party information and we believe that each of these studies and publications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third parties and by us.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We estimate that the net proceeds from our issuance and sale of 6,578,950 shares of our common stock in this offering will be approximately $113.3 million (or approximately $130.7 million if the underwriters exercise in full their option to purchase up to 986,842 additional shares), assuming an initial public offering price of $19.00 per share, which is the midpoint of the price range set forth on the cover page of this prospectus, and after deducting the estimated underwriting discounts and commissions and estimated offering expenses payable by us.</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Each $1.00 increase (decrease) in the assumed initial public offering price of $ 19.00 per share would increase (decrease) the net proceeds to us from this offering by approximately $6.1 million, assuming the number of shares offered by us, as set forth on the cover page of this prospectus, remains the same and after deducting the estimated underwriting discounts and commissions and estimated offering expenses payable by us. Each increase (decrease) of 1.0 million in the number of shares we are offering would increase (decrease) the net proceeds to us from this offering, after deducting the estimated underwriting discounts and commissions and estimated offering expenses payable by us, by approximately $ 17.7 million, assuming the assumed initial public offering price stays the same.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80"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As of June 30, 2020, we had a cash balance of $11.2 million. In July and August 2020, we received $107.1 million of aggregate net proceeds from an additional closing of our Series A convertible preferred stock financing and the issuance and sale of our Series B convertible preferred stock. We intend to use the net proceeds from this offering, together with our existing cash and cash equivalents, as follows:</w:t>
      </w:r>
    </w:p>
    <w:p>
      <w:pPr>
        <w:spacing w:after="0" w:line="76" w:lineRule="exact"/>
        <w:rPr>
          <w:sz w:val="20"/>
          <w:szCs w:val="20"/>
          <w:color w:val="auto"/>
        </w:rPr>
      </w:pPr>
    </w:p>
    <w:p>
      <w:pPr>
        <w:ind w:left="780" w:right="400" w:hanging="219"/>
        <w:spacing w:after="0" w:line="27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$80.0 million to $90.0 million to fund discovery and IND-enabling activities, as well as manufacturing and quality control testing for our clinical and preclinical programs;</w:t>
      </w:r>
    </w:p>
    <w:p>
      <w:pPr>
        <w:spacing w:after="0" w:line="50" w:lineRule="exact"/>
        <w:rPr>
          <w:rFonts w:ascii="Arial" w:cs="Arial" w:eastAsia="Arial" w:hAnsi="Arial"/>
          <w:sz w:val="18"/>
          <w:szCs w:val="18"/>
          <w:color w:val="auto"/>
        </w:rPr>
      </w:pPr>
    </w:p>
    <w:p>
      <w:pPr>
        <w:ind w:left="780" w:right="80" w:hanging="219"/>
        <w:spacing w:after="0" w:line="27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$65.0 million to $75.0 million to fund clinical trial, regulatory and medical activities for TSHA-101, TSHA-102, TSHA-103, TSHA-104 and TSHA-118;</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approximately $35.0 million to $45.0 million to fund the establishment of our in-house manufacturing facility;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12"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We believe that the anticipated net proceeds of this offering, together with our existing cash and cash equivalents, will enable us to fund our operating expenses and capital requirements into the fourth quarter of 2022. Based on our current operational plans and assumptions, we expect our cash and cash equivalents, together with the net proceeds from this offering, will be sufficient to submit INDs to the FDA for TSHA-101, TSHA-102, TSHA-103 and TSHA-104, report data from the planned Phase 1/2 clinical trials of TSHA-101, TSHA-102, TSHA-103 and TSHA-118 and to establish our in-house manufacturing facility. We have based these estimates on assumptions that may prove to be wrong, and we could use our available capital resources sooner than we expect.</w:t>
      </w:r>
    </w:p>
    <w:p>
      <w:pPr>
        <w:spacing w:after="0" w:line="174"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although we have no current agreements, commitments or understandings to do so.</w:t>
      </w:r>
    </w:p>
    <w:p>
      <w:pPr>
        <w:spacing w:after="0" w:line="145"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455" w:right="3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development, the status of and results from clinical trials, as well as any collaborations that we may enter into with third parties for our drug candidates, and any unforeseen cash needs. As a result, 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these uses, we plan to invest these net proceeds in short-term, interest bearing obligations, investment-grade instruments, certificates of deposit or direct or guaranteed obligations of the United States.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455" w:right="3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40"/>
          </w:cols>
          <w:pgMar w:left="320" w:top="455" w:right="5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2020:</w:t>
      </w:r>
    </w:p>
    <w:p>
      <w:pPr>
        <w:spacing w:after="0" w:line="117" w:lineRule="exact"/>
        <w:rPr>
          <w:sz w:val="20"/>
          <w:szCs w:val="20"/>
          <w:color w:val="auto"/>
        </w:rPr>
      </w:pPr>
    </w:p>
    <w:p>
      <w:pPr>
        <w:ind w:left="780" w:hanging="219"/>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780" w:hanging="219"/>
        <w:spacing w:after="0" w:line="243"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 pro forma basis to give effect to: (i) the receipt of $107.1 million in aggregate net proceeds from the issuance and sale of Series A and Series B convertible preferred stock in July and August 2020 and the related settlement of the convertible preferred stock tranche liability of $17.2 million; (ii) the conversion of all outstanding shares of our convertible preferred stock into an aggregate of 17,047,410 shares of our common stock, including the conversion of the convertible preferred stock issued in July and August 2020, as if such conversion had occurred on June 30, 2020; and (iii) the filing and effectiveness of our amended and restated certificate of incorporation upon the closing of this offering; and</w:t>
      </w:r>
    </w:p>
    <w:p>
      <w:pPr>
        <w:spacing w:after="0" w:line="79" w:lineRule="exact"/>
        <w:rPr>
          <w:rFonts w:ascii="Arial" w:cs="Arial" w:eastAsia="Arial" w:hAnsi="Arial"/>
          <w:sz w:val="18"/>
          <w:szCs w:val="18"/>
          <w:color w:val="auto"/>
        </w:rPr>
      </w:pPr>
    </w:p>
    <w:p>
      <w:pPr>
        <w:ind w:left="780" w:right="60" w:hanging="219"/>
        <w:spacing w:after="0" w:line="245"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(i) the pro forma adjustments described above; and (ii) our issuance and sale of 6,578,950 shares of common stock in this offering at an assumed initial public offering price of $19.00 per share, which is the midpoint of the price range set forth on the cover page of this prospectus, after deducting the estimated underwriting discounts and estimated offering expenses payable by us. This pro forma as adjusted information is illustrative only and will depend on the actual initial public offering price and other terms of this offering determined at pricing.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5" w:right="3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appearing at the end of this prospectus, the sections of this prospectus titled “Selected Financial Data” and “Management’s Discussion and Analysis of Financial Condition and Results of Operations” and other financial information contained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As of June 30, 2020</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5"/>
                <w:szCs w:val="15"/>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56"/>
        </w:trPr>
        <w:tc>
          <w:tcPr>
            <w:tcW w:w="7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120" w:type="dxa"/>
            <w:vAlign w:val="bottom"/>
            <w:tcBorders>
              <w:top w:val="single" w:sz="8" w:color="auto"/>
            </w:tcBorders>
            <w:gridSpan w:val="9"/>
          </w:tcPr>
          <w:p>
            <w:pPr>
              <w:jc w:val="right"/>
              <w:ind w:right="39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11,200</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118,252</w:t>
            </w:r>
          </w:p>
        </w:tc>
        <w:tc>
          <w:tcPr>
            <w:tcW w:w="2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231,502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Preferred stock tranche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17,176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Series A convertible preferred stock, $0.00001 par value; 10,000,000 shares authorized,</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6,200,000 issued and outstanding, actual; no shares authorized, issued or outstanding, pro</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 and pro forma as adjusted</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18,014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7900" w:type="dxa"/>
            <w:vAlign w:val="bottom"/>
          </w:tcPr>
          <w:p>
            <w:pPr>
              <w:spacing w:after="0" w:line="180" w:lineRule="exact"/>
              <w:rPr>
                <w:sz w:val="20"/>
                <w:szCs w:val="20"/>
                <w:color w:val="auto"/>
              </w:rPr>
            </w:pPr>
            <w:r>
              <w:rPr>
                <w:rFonts w:ascii="Arial" w:cs="Arial" w:eastAsia="Arial" w:hAnsi="Arial"/>
                <w:sz w:val="18"/>
                <w:szCs w:val="18"/>
                <w:color w:val="auto"/>
              </w:rPr>
              <w:t>Series B convertible preferred stock, $0.00001 par value; no shares authorized, issued and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900" w:type="dxa"/>
            <w:vAlign w:val="bottom"/>
          </w:tcPr>
          <w:p>
            <w:pPr>
              <w:ind w:left="180"/>
              <w:spacing w:after="0"/>
              <w:rPr>
                <w:sz w:val="20"/>
                <w:szCs w:val="20"/>
                <w:color w:val="auto"/>
              </w:rPr>
            </w:pPr>
            <w:r>
              <w:rPr>
                <w:rFonts w:ascii="Arial" w:cs="Arial" w:eastAsia="Arial" w:hAnsi="Arial"/>
                <w:sz w:val="18"/>
                <w:szCs w:val="18"/>
                <w:color w:val="auto"/>
              </w:rPr>
              <w:t>outstanding, actual, pro forma and pro forma as adjusted</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360"/>
              <w:spacing w:after="0" w:line="180" w:lineRule="exact"/>
              <w:rPr>
                <w:sz w:val="20"/>
                <w:szCs w:val="20"/>
                <w:color w:val="auto"/>
              </w:rPr>
            </w:pPr>
            <w:r>
              <w:rPr>
                <w:rFonts w:ascii="Arial" w:cs="Arial" w:eastAsia="Arial" w:hAnsi="Arial"/>
                <w:sz w:val="18"/>
                <w:szCs w:val="18"/>
                <w:color w:val="auto"/>
              </w:rPr>
              <w:t>Preferred stock, $0.00001 par value; no shares authorized, issued or outstanding, actual;</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540"/>
              <w:spacing w:after="0" w:line="202" w:lineRule="exact"/>
              <w:rPr>
                <w:sz w:val="20"/>
                <w:szCs w:val="20"/>
                <w:color w:val="auto"/>
              </w:rPr>
            </w:pPr>
            <w:r>
              <w:rPr>
                <w:rFonts w:ascii="Arial" w:cs="Arial" w:eastAsia="Arial" w:hAnsi="Arial"/>
                <w:sz w:val="18"/>
                <w:szCs w:val="18"/>
                <w:color w:val="auto"/>
              </w:rPr>
              <w:t>10,000,000 shares authorized and no shares issued or outstanding, pro forma and pro</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00" w:type="dxa"/>
            <w:vAlign w:val="bottom"/>
          </w:tcPr>
          <w:p>
            <w:pPr>
              <w:ind w:left="540"/>
              <w:spacing w:after="0"/>
              <w:rPr>
                <w:sz w:val="20"/>
                <w:szCs w:val="20"/>
                <w:color w:val="auto"/>
              </w:rPr>
            </w:pPr>
            <w:r>
              <w:rPr>
                <w:rFonts w:ascii="Arial" w:cs="Arial" w:eastAsia="Arial" w:hAnsi="Arial"/>
                <w:sz w:val="18"/>
                <w:szCs w:val="18"/>
                <w:color w:val="auto"/>
              </w:rPr>
              <w:t>forma as adjusted</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Common stock, $0.00001 par value; 25,058,500 shares authorized, 10,894,999 shares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issued and outstanding, actual; 200,000,000 shares authorized, 27,942,409 shares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issued and outstanding, pro forma; 200,000,000 shares authorized, 34,521,359 shares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pro forma as adjusted</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00" w:type="dxa"/>
            <w:vAlign w:val="bottom"/>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980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8"/>
              </w:rPr>
              <w:t>143,222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256,472</w:t>
            </w: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(27,766)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(27,766)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(27,766)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(26,786)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115,456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8,404</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115,456</w:t>
            </w:r>
          </w:p>
        </w:tc>
        <w:tc>
          <w:tcPr>
            <w:tcW w:w="2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228,706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Each $1.00 increase (decrease) in the assumed initial public offering price of $19.00 per share, which is the midpoint of the price range set forth on the cover page of this prospectus, would increase (decrease) the pro forma as adjusted amount of each of cash and cash equivalents, additional paid-in capital, total stockholders’ equity and total capitalization by $6.1 million, assuming that the number of shares offered by us, as set forth on the cover page of this prospectus, remains the same and after deducting estimated underwriting discounts and commissions and estimated offering expenses payable by us. Similarly, each increase (decrease) of 1.0 million shares in the number of shares offered by us at the assumed initial public offering price per share of $ 19.00 per share, which is the midpoint of the price range set forth on the cover page of this prospectus, would increase (decrease) the pro forma as adjusted amount of each of additional paid-in capital, total stockholders’ equity and total capitalization by $17.7 million.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number of shares of our common stock outstanding in the table above excludes:</w:t>
      </w:r>
    </w:p>
    <w:p>
      <w:pPr>
        <w:spacing w:after="0" w:line="117" w:lineRule="exact"/>
        <w:rPr>
          <w:sz w:val="20"/>
          <w:szCs w:val="20"/>
          <w:color w:val="auto"/>
        </w:rPr>
      </w:pPr>
    </w:p>
    <w:p>
      <w:pPr>
        <w:ind w:left="780" w:right="60" w:hanging="219"/>
        <w:spacing w:after="0" w:line="27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16,342 shares of our common stock issuable upon the exercise of options under the Existing Plan, granted subsequent to June 30, 2020, at an exercise price of $14.90 per share;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769,058 shares of our restricted common stock awarded under the Existing Plan subsequent to June 30, 2020;</w:t>
      </w:r>
    </w:p>
    <w:p>
      <w:pPr>
        <w:spacing w:after="0" w:line="117"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2,850,053 shares of common stock issuable upon the vesting of restricted stock units awarded under the Existing Plan subsequent to June 30, 2020;</w:t>
      </w:r>
    </w:p>
    <w:p>
      <w:pPr>
        <w:spacing w:after="0" w:line="50" w:lineRule="exact"/>
        <w:rPr>
          <w:rFonts w:ascii="Arial" w:cs="Arial" w:eastAsia="Arial" w:hAnsi="Arial"/>
          <w:sz w:val="18"/>
          <w:szCs w:val="18"/>
          <w:color w:val="auto"/>
        </w:rPr>
      </w:pPr>
    </w:p>
    <w:p>
      <w:pPr>
        <w:ind w:left="780" w:right="80" w:hanging="219"/>
        <w:spacing w:after="0" w:line="255"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209,841 shares of our common stock reserved for future issuance under the Existing Plan, which shares will cease to be available for issuance at the time the New Plan becomes effective and will be added to, and become available for issuance under, the New Plan;</w:t>
      </w:r>
    </w:p>
    <w:p>
      <w:pPr>
        <w:spacing w:after="0" w:line="69" w:lineRule="exact"/>
        <w:rPr>
          <w:rFonts w:ascii="Arial" w:cs="Arial" w:eastAsia="Arial" w:hAnsi="Arial"/>
          <w:sz w:val="18"/>
          <w:szCs w:val="18"/>
          <w:color w:val="auto"/>
        </w:rPr>
      </w:pPr>
    </w:p>
    <w:p>
      <w:pPr>
        <w:ind w:left="780" w:hanging="219"/>
        <w:spacing w:after="0" w:line="255"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3,390,168 shares of our common stock reserved for future issuance under the New Plan, which will become effective in connection with this offering, as well as any automatic increases in the number of shares of common stock reserved for future issuance under the New Plan; and</w:t>
      </w:r>
    </w:p>
    <w:p>
      <w:pPr>
        <w:spacing w:after="0" w:line="69" w:lineRule="exact"/>
        <w:rPr>
          <w:rFonts w:ascii="Arial" w:cs="Arial" w:eastAsia="Arial" w:hAnsi="Arial"/>
          <w:sz w:val="18"/>
          <w:szCs w:val="18"/>
          <w:color w:val="auto"/>
        </w:rPr>
      </w:pPr>
    </w:p>
    <w:p>
      <w:pPr>
        <w:jc w:val="both"/>
        <w:ind w:left="780" w:right="100" w:hanging="219"/>
        <w:spacing w:after="0" w:line="255"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362,000 shares of our common stock reserved for future issuance under the ESPP, which will become effective in connection with this offering, as well as any automatic increases in the number of shares of common stock reserved for future issuance under the ESPP.</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80"/>
          </w:cols>
          <w:pgMar w:left="320" w:top="455" w:right="3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6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As of June 30, 2020, we had a historical net tangible book value (deficit) of $ (26.8) million, or $(2.46) per share of common stock. Our historical net tangible book value (deficit) per share represents total tangible assets less total liabilities, including our convertible preferred stock, divided by the number of shares of our common stock outstanding as of June 30, 2020.</w:t>
      </w:r>
    </w:p>
    <w:p>
      <w:pPr>
        <w:spacing w:after="0" w:line="16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Our pro forma net tangible book value as of June 30, 2020 was $115.5 million, or $4.13 per share of our common stock. Pro forma net tangible book value represents the amount of our total tangible assets less our total liabilities, after giving effect to (i) the receipt of $107.1 million in net proceeds from the issuance and sale of Series A and Series B convertible preferred stock in July and August 2020 and the related settlement of the convertible preferred stock tranche liability and (ii) the conversion of all outstanding shares of our convertible preferred stock, including the conversion of the convertible preferred stock issued in July and August 2020, into an aggregate of 17,047,410 shares of our common stock, as if such conversion had occurred on June 30, 2020. Pro forma net tangible book value per share represents pro forma net tangible book value divided by the total number of shares outstanding as of June 30, 2020, after giving effect to the pro forma adjustments described above.</w:t>
      </w:r>
    </w:p>
    <w:p>
      <w:pPr>
        <w:spacing w:after="0" w:line="180"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After giving further effect to the sale of 6,578,950 shares of common stock in this offering at an assumed initial public offering price of $19.00 per share, which is the midpoint of the price range set forth on the cover page of this prospectus, and after deducting the estimated underwriting discounts and commissions and estimated offering expenses payable by us, our pro forma as adjusted net tangible book value as of June 30, 2020 would have been $228.7 million, or $6.63 per share. This amount represents an immediate increase in pro forma net tangible book value of $2.50 per share to our existing stockholders and immediate dilution of $12.37 per share to new investors in this offering. We determine dilution by subtracting the pro forma as adjusted net tangible book value per share after this offering from the amount of cash that a new investor paid for a share of common stock in this offering.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Pr>
          <w:p>
            <w:pPr>
              <w:ind w:left="560"/>
              <w:spacing w:after="0"/>
              <w:rPr>
                <w:sz w:val="20"/>
                <w:szCs w:val="20"/>
                <w:color w:val="auto"/>
              </w:rPr>
            </w:pPr>
            <w:r>
              <w:rPr>
                <w:rFonts w:ascii="Arial" w:cs="Arial" w:eastAsia="Arial" w:hAnsi="Arial"/>
                <w:sz w:val="18"/>
                <w:szCs w:val="18"/>
                <w:color w:val="auto"/>
              </w:rPr>
              <w:t>The following table illustrates this dilution:</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6"/>
        </w:trPr>
        <w:tc>
          <w:tcPr>
            <w:tcW w:w="9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14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$19.00</w:t>
            </w:r>
          </w:p>
        </w:tc>
      </w:tr>
      <w:tr>
        <w:trPr>
          <w:trHeight w:val="203"/>
        </w:trPr>
        <w:tc>
          <w:tcPr>
            <w:tcW w:w="976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June 30, 2020</w:t>
            </w: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8"/>
              </w:rPr>
              <w:t>$(2.46)</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0"/>
        </w:trPr>
        <w:tc>
          <w:tcPr>
            <w:tcW w:w="976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Pro forma increase in net tangible book value (deficit) per share attributable to the pro forma transactions described</w:t>
            </w: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9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above</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6.59</w:t>
            </w: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9"/>
        </w:trPr>
        <w:tc>
          <w:tcPr>
            <w:tcW w:w="976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June 30, 2020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0"/>
        </w:trPr>
        <w:tc>
          <w:tcPr>
            <w:tcW w:w="976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Increase in pro forma as adjusted net tangible book value per share attributable to new investors participating in</w:t>
            </w: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9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0"/>
        </w:trPr>
        <w:tc>
          <w:tcPr>
            <w:tcW w:w="976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6.63</w:t>
            </w:r>
          </w:p>
        </w:tc>
      </w:tr>
      <w:tr>
        <w:trPr>
          <w:trHeight w:val="27"/>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participating in this offering</w:t>
            </w:r>
          </w:p>
        </w:tc>
        <w:tc>
          <w:tcPr>
            <w:tcW w:w="14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12.37</w:t>
            </w:r>
          </w:p>
        </w:tc>
      </w:tr>
      <w:tr>
        <w:trPr>
          <w:trHeight w:val="20"/>
        </w:trPr>
        <w:tc>
          <w:tcPr>
            <w:tcW w:w="9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160" w:firstLine="562"/>
        <w:spacing w:after="0" w:line="248" w:lineRule="auto"/>
        <w:rPr>
          <w:sz w:val="20"/>
          <w:szCs w:val="20"/>
          <w:color w:val="auto"/>
        </w:rPr>
      </w:pPr>
      <w:r>
        <w:rPr>
          <w:rFonts w:ascii="Arial" w:cs="Arial" w:eastAsia="Arial" w:hAnsi="Arial"/>
          <w:sz w:val="18"/>
          <w:szCs w:val="18"/>
          <w:color w:val="auto"/>
        </w:rPr>
        <w:t>The dilution information discussed above is illustrative only and will change based on the actual initial public offering price and other terms of this offering determined at pricing. Each $1.00 increase (decrease) in the assumed initial public offering price of $19.00 per share, which is the midpoint of the price range set forth on the cover page of this prospectus, would increase (decrease) the pro forma as adjusted net tangible book value per share after this offering by approximately $0.17, and dilution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5"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pro forma net tangible book value per share to new investors by approximately $0.83, assuming that the number of shares offered by us, as set forth on the cover page of this prospectus, remains the same and after deducting estimated underwriting discounts and commissions and estimated offering expenses payable by us. An increase of 1.0 million shares in the number of shares we are offering would increase the pro forma as adjusted net tangible book value per share after this offering by $ 0.31 and decrease the dilution per share to new investors participating in this offering by $0.31, assuming no change in the assumed initial public offering price per share and after deducting the estimated underwriting discounts and commissions. A decrease of 1.0 million shares in the number of shares we are offering would decrease the pro forma as adjusted net tangible book value per share after this offering by $0.33 and increase the dilution per share to new investors participating in this offering by $0.33, assuming no change in the assumed initial public offering price per share and after deducting the estimated underwriting discounts and commissions.</w:t>
      </w:r>
    </w:p>
    <w:p>
      <w:pPr>
        <w:spacing w:after="0" w:line="176"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If the underwriters exercise their option to purchase additional shares of our common stock in full, the pro forma as adjusted net tangible book value after this offering would be $6.93 per share, the increase in pro forma net tangible book value per share would be $2.80 and the dilution per share to new investors would be $12.07 per share, in each case assuming an initial public offering price of $19.00 per share, which is the midpoint of the price range set forth on the cover page of this prospectus.</w:t>
      </w:r>
    </w:p>
    <w:p>
      <w:pPr>
        <w:spacing w:after="0" w:line="17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following table summarizes, as of June 30, 2020, on the pro forma as adjusted basis described above, the differences between the number of shares purchased from us, the total consideration paid to us in cash and the average price per share that existing stockholders and new investors paid for such shares. The calculation below is based on an assumed initial public offering price of $19.00 per share, which is the midpoint of the price range set forth on the cover page of this prospectus, before deducting the estimated underwriting discounts and commissions and estimated offering expenses payable by 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2380" w:type="dxa"/>
            <w:vAlign w:val="bottom"/>
            <w:gridSpan w:val="4"/>
            <w:vMerge w:val="restart"/>
          </w:tcPr>
          <w:p>
            <w:pPr>
              <w:jc w:val="right"/>
              <w:ind w:right="1020"/>
              <w:spacing w:after="0"/>
              <w:rPr>
                <w:sz w:val="20"/>
                <w:szCs w:val="20"/>
                <w:color w:val="auto"/>
              </w:rPr>
            </w:pPr>
            <w:r>
              <w:rPr>
                <w:rFonts w:ascii="Arial" w:cs="Arial" w:eastAsia="Arial" w:hAnsi="Arial"/>
                <w:sz w:val="14"/>
                <w:szCs w:val="14"/>
                <w:b w:val="1"/>
                <w:bCs w:val="1"/>
                <w:color w:val="auto"/>
              </w:rPr>
              <w:t>Total Shares</w:t>
            </w:r>
          </w:p>
        </w:tc>
        <w:tc>
          <w:tcPr>
            <w:tcW w:w="254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Total Consideration</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4"/>
        </w:trPr>
        <w:tc>
          <w:tcPr>
            <w:tcW w:w="556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2540" w:type="dxa"/>
            <w:vAlign w:val="bottom"/>
            <w:gridSpan w:val="4"/>
            <w:vMerge w:val="continue"/>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0"/>
        </w:trPr>
        <w:tc>
          <w:tcPr>
            <w:tcW w:w="55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7"/>
        </w:trPr>
        <w:tc>
          <w:tcPr>
            <w:tcW w:w="55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5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Share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27,942,409</w:t>
            </w: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81%</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$125,999,896</w:t>
            </w:r>
          </w:p>
        </w:tc>
        <w:tc>
          <w:tcPr>
            <w:tcW w:w="3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13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6,578,950</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125,000,050</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50</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34,521,359</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15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250,999,946</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8"/>
          <w:szCs w:val="18"/>
          <w:color w:val="auto"/>
        </w:rPr>
        <w:t>The foregoing tables and calculations are based on the number of shares of our common stock outstanding as of June 30, 2020, after giving effect to the conversion of all outstanding shares of our convertible preferred stock into an aggregate of 17,047,410 shares of common stock, including the conversion of the convertible preferred stock issued in July and August 2020, and excludes:</w:t>
      </w:r>
    </w:p>
    <w:p>
      <w:pPr>
        <w:spacing w:after="0" w:line="69" w:lineRule="exact"/>
        <w:rPr>
          <w:sz w:val="20"/>
          <w:szCs w:val="20"/>
          <w:color w:val="auto"/>
        </w:rPr>
      </w:pPr>
    </w:p>
    <w:p>
      <w:pPr>
        <w:ind w:left="780" w:right="60" w:hanging="219"/>
        <w:spacing w:after="0" w:line="276"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16,342 shares of our common stock issuable upon the exercise of options under the Existing Plan, granted subsequent to June 30, 2020, at an exercise price of $14.90 per share;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769,058 shares of our restricted common stock awarded under the Existing Plan subsequent to June 30, 2020;</w:t>
      </w:r>
    </w:p>
    <w:p>
      <w:pPr>
        <w:spacing w:after="0" w:line="117" w:lineRule="exact"/>
        <w:rPr>
          <w:rFonts w:ascii="Arial" w:cs="Arial" w:eastAsia="Arial" w:hAnsi="Arial"/>
          <w:sz w:val="18"/>
          <w:szCs w:val="18"/>
          <w:color w:val="auto"/>
        </w:rPr>
      </w:pPr>
    </w:p>
    <w:p>
      <w:pPr>
        <w:ind w:left="780" w:right="80" w:hanging="219"/>
        <w:spacing w:after="0" w:line="276"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2,850,053 shares of common stock issuable upon the vesting of restricted stock units awarded under the Existing Plan subsequent to June 30, 2020;</w:t>
      </w:r>
    </w:p>
    <w:p>
      <w:pPr>
        <w:spacing w:after="0" w:line="50" w:lineRule="exact"/>
        <w:rPr>
          <w:rFonts w:ascii="Arial" w:cs="Arial" w:eastAsia="Arial" w:hAnsi="Arial"/>
          <w:sz w:val="18"/>
          <w:szCs w:val="18"/>
          <w:color w:val="auto"/>
        </w:rPr>
      </w:pPr>
    </w:p>
    <w:p>
      <w:pPr>
        <w:ind w:left="780" w:right="140" w:hanging="219"/>
        <w:spacing w:after="0" w:line="255"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209,841 shares of our common stock reserved for future issuance under the Existing Plan, which shares will cease to be available for issuance at the time the New Plan becomes effective and will be added to, and become available for issuance under, the New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line="255"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3,390,168 shares of our common stock reserved for future issuance under the New Plan, which will become effective in connection with this offering, as well as any automatic increases in the number of shares of common stock reserved for future issuance under the New Plan; and</w:t>
      </w:r>
    </w:p>
    <w:p>
      <w:pPr>
        <w:spacing w:after="0" w:line="69" w:lineRule="exact"/>
        <w:rPr>
          <w:rFonts w:ascii="Arial" w:cs="Arial" w:eastAsia="Arial" w:hAnsi="Arial"/>
          <w:sz w:val="18"/>
          <w:szCs w:val="18"/>
          <w:color w:val="auto"/>
        </w:rPr>
      </w:pPr>
    </w:p>
    <w:p>
      <w:pPr>
        <w:jc w:val="both"/>
        <w:ind w:left="780" w:right="100" w:hanging="219"/>
        <w:spacing w:after="0" w:line="255"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362,000 shares of our common stock reserved for future issuance under the ESPP, which will become effective in connection with this offering, as well as any automatic increases in the number of shares of common stock reserved for future issuance under the ESPP.</w:t>
      </w:r>
    </w:p>
    <w:p>
      <w:pPr>
        <w:spacing w:after="0" w:line="16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320" w:top="455" w:right="3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The following tables set forth our selected statement of operations data for the period from September 20, 2019 (the date of our inception) through December 31, 2019 and the selected balance sheet data as of December 31, 2019. We have derived the statement of operations data for the period from September 20, 2019 (the date of our inception) through December 31, 2019 and the balance sheet data as of December 31, 2019 from our audited financial statements appearing elsewhere in this prospectus. The statement of operations data for the six months ended June 30, 2020 and the balance sheet data as of June 30, 2020 have been derived from our unaudited condensed consolidated financial statements appearing elsewhere in this prospectus and have been prepared on the same basis as the audited financial statements. In the opinion of management, the unaudited data reflects all adjustments, consisting only of normal recurring adjustments, considered necessary for a fair presentation of the financial information in those statements.</w:t>
      </w:r>
    </w:p>
    <w:p>
      <w:pPr>
        <w:spacing w:after="0" w:line="180" w:lineRule="exact"/>
        <w:rPr>
          <w:sz w:val="20"/>
          <w:szCs w:val="20"/>
          <w:color w:val="auto"/>
        </w:rPr>
      </w:pPr>
    </w:p>
    <w:p>
      <w:pPr>
        <w:jc w:val="both"/>
        <w:ind w:right="280" w:firstLine="562"/>
        <w:spacing w:after="0" w:line="245" w:lineRule="auto"/>
        <w:rPr>
          <w:sz w:val="20"/>
          <w:szCs w:val="20"/>
          <w:color w:val="auto"/>
        </w:rPr>
      </w:pPr>
      <w:r>
        <w:rPr>
          <w:rFonts w:ascii="Arial" w:cs="Arial" w:eastAsia="Arial" w:hAnsi="Arial"/>
          <w:sz w:val="18"/>
          <w:szCs w:val="18"/>
          <w:color w:val="auto"/>
        </w:rPr>
        <w:t>You should read the following selected financial data together with our financial statements and the related notes thereto included elsewhere in this prospectus and the section of this prospectus titled “Management’s Discussion and Analysis of Financial Condition and Results of Operations.” The selected financial data in this section are not intended to replace our financial statements and are qualified in their entirety by our financial statements and related notes included elsewhere in this prospectus. Our historical results are not necessarily indicative of the results that should be expected in the future.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4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Period from September 20,</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rPr>
              <w:t>2019 (date of inception)</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6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through December 31, 2019</w:t>
            </w:r>
          </w:p>
        </w:tc>
        <w:tc>
          <w:tcPr>
            <w:tcW w:w="140" w:type="dxa"/>
            <w:vAlign w:val="bottom"/>
          </w:tcPr>
          <w:p>
            <w:pPr>
              <w:spacing w:after="0"/>
              <w:rPr>
                <w:sz w:val="15"/>
                <w:szCs w:val="15"/>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83"/>
        </w:trPr>
        <w:tc>
          <w:tcPr>
            <w:tcW w:w="6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 except share and per share data)</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760" w:type="dxa"/>
            <w:vAlign w:val="bottom"/>
            <w:gridSpan w:val="2"/>
          </w:tcPr>
          <w:p>
            <w:pPr>
              <w:ind w:left="640"/>
              <w:spacing w:after="0" w:line="202" w:lineRule="exact"/>
              <w:rPr>
                <w:sz w:val="20"/>
                <w:szCs w:val="20"/>
                <w:color w:val="auto"/>
              </w:rPr>
            </w:pPr>
            <w:r>
              <w:rPr>
                <w:rFonts w:ascii="Arial" w:cs="Arial" w:eastAsia="Arial" w:hAnsi="Arial"/>
                <w:sz w:val="18"/>
                <w:szCs w:val="18"/>
                <w:color w:val="auto"/>
                <w:w w:val="99"/>
              </w:rPr>
              <w:t>$</w:t>
            </w:r>
          </w:p>
        </w:tc>
        <w:tc>
          <w:tcPr>
            <w:tcW w:w="3020" w:type="dxa"/>
            <w:vAlign w:val="bottom"/>
            <w:gridSpan w:val="2"/>
          </w:tcPr>
          <w:p>
            <w:pPr>
              <w:jc w:val="right"/>
              <w:ind w:right="1260"/>
              <w:spacing w:after="0" w:line="202" w:lineRule="exact"/>
              <w:rPr>
                <w:sz w:val="20"/>
                <w:szCs w:val="20"/>
                <w:color w:val="auto"/>
              </w:rPr>
            </w:pPr>
            <w:r>
              <w:rPr>
                <w:rFonts w:ascii="Arial" w:cs="Arial" w:eastAsia="Arial" w:hAnsi="Arial"/>
                <w:sz w:val="18"/>
                <w:szCs w:val="18"/>
                <w:color w:val="auto"/>
              </w:rPr>
              <w:t>987</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00"/>
              <w:spacing w:after="0" w:line="202" w:lineRule="exact"/>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Other expense:</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2"/>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76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w w:val="99"/>
              </w:rPr>
              <w:t>$</w:t>
            </w:r>
          </w:p>
        </w:tc>
        <w:tc>
          <w:tcPr>
            <w:tcW w:w="3020" w:type="dxa"/>
            <w:vAlign w:val="bottom"/>
            <w:gridSpan w:val="2"/>
            <w:shd w:val="clear" w:color="auto" w:fill="CCEEFF"/>
          </w:tcPr>
          <w:p>
            <w:pPr>
              <w:jc w:val="right"/>
              <w:ind w:right="1200"/>
              <w:spacing w:after="0" w:line="196" w:lineRule="exact"/>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9,625,679</w:t>
            </w:r>
          </w:p>
        </w:tc>
        <w:tc>
          <w:tcPr>
            <w:tcW w:w="1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10,894,999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8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Pro forma net loss per common share, basic and diluted (unaudited)</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used in computing pro forma</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80" w:type="dxa"/>
            <w:vAlign w:val="bottom"/>
          </w:tcPr>
          <w:p>
            <w:pPr>
              <w:ind w:left="180"/>
              <w:spacing w:after="0"/>
              <w:rPr>
                <w:sz w:val="20"/>
                <w:szCs w:val="20"/>
                <w:color w:val="auto"/>
              </w:rPr>
            </w:pPr>
            <w:r>
              <w:rPr>
                <w:rFonts w:ascii="Arial" w:cs="Arial" w:eastAsia="Arial" w:hAnsi="Arial"/>
                <w:sz w:val="18"/>
                <w:szCs w:val="18"/>
                <w:color w:val="auto"/>
              </w:rPr>
              <w:t>net loss per share (unaudited)(1)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15,170,389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0" w:lineRule="exact"/>
        <w:rPr>
          <w:sz w:val="20"/>
          <w:szCs w:val="20"/>
          <w:color w:val="auto"/>
        </w:rPr>
      </w:pPr>
    </w:p>
    <w:p>
      <w:pPr>
        <w:ind w:left="560" w:right="80" w:hanging="552"/>
        <w:spacing w:after="0" w:line="255" w:lineRule="auto"/>
        <w:tabs>
          <w:tab w:leader="none" w:pos="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 Note 6 to our unaudited condensed consolidated financial statements included elsewhere in this prospectus for an explanation of the method used to calculate historical and pro forma net loss per share and historical and pro forma weighted-average common shares outstanding.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455"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r>
      <w:tr>
        <w:trPr>
          <w:trHeight w:val="162"/>
        </w:trPr>
        <w:tc>
          <w:tcPr>
            <w:tcW w:w="56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56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right="134"/>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106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83"/>
        </w:trPr>
        <w:tc>
          <w:tcPr>
            <w:tcW w:w="56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Sheet Data:</w:t>
            </w:r>
          </w:p>
        </w:tc>
        <w:tc>
          <w:tcPr>
            <w:tcW w:w="3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b w:val="1"/>
                <w:bCs w:val="1"/>
                <w:color w:val="auto"/>
              </w:rPr>
              <w:t>(in thousands)</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3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$ 11,200</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Working capital deficit(1)</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(135)</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(8,791)</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15</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11,318</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Preferred stock tranche liability</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17,176</w:t>
            </w:r>
          </w:p>
        </w:tc>
      </w:tr>
      <w:tr>
        <w:trPr>
          <w:trHeight w:val="203"/>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18,014</w:t>
            </w: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(1,115)</w:t>
            </w: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(27,766)</w:t>
            </w:r>
          </w:p>
        </w:tc>
      </w:tr>
      <w:tr>
        <w:trPr>
          <w:trHeight w:val="202"/>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3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(135)</w:t>
            </w:r>
          </w:p>
        </w:tc>
        <w:tc>
          <w:tcPr>
            <w:tcW w:w="11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6" w:lineRule="exact"/>
        <w:rPr>
          <w:sz w:val="20"/>
          <w:szCs w:val="20"/>
          <w:color w:val="auto"/>
        </w:rPr>
      </w:pPr>
    </w:p>
    <w:p>
      <w:pPr>
        <w:ind w:left="560" w:right="380" w:hanging="552"/>
        <w:spacing w:after="0" w:line="276" w:lineRule="auto"/>
        <w:tabs>
          <w:tab w:leader="none" w:pos="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define working capital deficit as current assets less current liabilities. See our financial statements appearing elsewhere in this prospectus.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60" w:firstLine="562"/>
        <w:spacing w:after="0" w:line="25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Financial Data” section of this prospectus and our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are a patient-centric gene therapy company focused on developing and commercializing AAV-based gene therapies for the treatment of monogenic diseases of the central nervous system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18 gene therapy product candidates, with exclusive options to acquire four additional development programs at no cost. By combining our management team’s proven experience in gene therapy drug development and commercialization with UT Southwestern’s world-class gene therapy capabilities, we believe we have created a powerful engine to develop transformative therapies to dramatically improve patients’ lives. We expect to initiate a Phase 1/2 clinical trial of TSHA-101 for the treatment of GM2 gangliosidosis, under a Clinical Trial Application, in Canada by the end of 2020. In addition, we plan to submit investigational new drug applications, or INDs, for four programs to the U.S. Food and Drug Administration, or the FDA, by the end of 2021: TSHA-101, TSHA-102 (Rett syndrome), TSHA-103 (SLC6A1 haploinsufficiency) and TSHA-104 (SURF1 deficiency). We are also developing TSHA-118 (formerly ABO-202) for the treatment of CLN1 disease (or infantile Batten disease) and intend to initiate a Phase 1/2 clinical trial of TSHA-118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6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All of our lead product candidates are still in the preclinical testing stage. We do not have any product candidates approved for sale and have not generated any revenue from product sales. We have funded our operations through the sale of equity, raising an aggregate of $126.0 million of gross proceeds from the sale of shares of our convertible preferred stock through August 2020.</w:t>
      </w:r>
    </w:p>
    <w:p>
      <w:pPr>
        <w:spacing w:after="0" w:line="6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Since our inception, we have incurred significant operating losses. Our net losses were $1.1 million for the period from September 20, 2019 (date of inception) through December 31, 2019, and $26.7 million for the six months ended June 30, 2020. As of June 30, 2020, we had an accumulated deficit of $27.8 million. We expect to continue to incur significant expenses and operating losses for the foreseeable future. We anticipate that our expenses will increase significantly in connection with our ongoing activities, as we:</w:t>
      </w:r>
    </w:p>
    <w:p>
      <w:pPr>
        <w:spacing w:after="0" w:line="76" w:lineRule="exact"/>
        <w:rPr>
          <w:sz w:val="20"/>
          <w:szCs w:val="20"/>
          <w:color w:val="auto"/>
        </w:rPr>
      </w:pPr>
    </w:p>
    <w:p>
      <w:pPr>
        <w:jc w:val="center"/>
        <w:ind w:left="5520" w:right="360" w:hanging="4959"/>
        <w:spacing w:after="0" w:line="448" w:lineRule="auto"/>
        <w:tabs>
          <w:tab w:leader="none" w:pos="773"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and discovery programs; 92</w:t>
      </w:r>
    </w:p>
    <w:p>
      <w:pPr>
        <w:sectPr>
          <w:pgSz w:w="11900" w:h="16838" w:orient="portrait"/>
          <w:cols w:equalWidth="0" w:num="1">
            <w:col w:w="11220"/>
          </w:cols>
          <w:pgMar w:left="320" w:top="455" w:right="3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300" w:hanging="219"/>
        <w:spacing w:after="0" w:line="276"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conduct our planned clinical trial of TSHA-101, as well as initiate and complete additional clinical trials of TSHA-101, TSHA-118, TSHA-102, TSHA-103, TSHA-104 and future product candidates;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 and next-generation platforms;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manufacture current good manufacturing practices, or cGMP, material for clinical trials or potential commercial sales;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17" w:lineRule="exact"/>
        <w:rPr>
          <w:rFonts w:ascii="Arial" w:cs="Arial" w:eastAsia="Arial" w:hAnsi="Arial"/>
          <w:sz w:val="18"/>
          <w:szCs w:val="18"/>
          <w:color w:val="auto"/>
        </w:rPr>
      </w:pPr>
    </w:p>
    <w:p>
      <w:pPr>
        <w:ind w:left="780" w:right="640" w:hanging="219"/>
        <w:spacing w:after="0" w:line="276"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117" w:lineRule="exact"/>
        <w:rPr>
          <w:rFonts w:ascii="Arial" w:cs="Arial" w:eastAsia="Arial" w:hAnsi="Arial"/>
          <w:sz w:val="18"/>
          <w:szCs w:val="18"/>
          <w:color w:val="auto"/>
        </w:rPr>
      </w:pPr>
    </w:p>
    <w:p>
      <w:pPr>
        <w:ind w:left="780" w:right="700" w:hanging="219"/>
        <w:spacing w:after="0" w:line="276"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University of Texas Southwestern Medical Center</w:t>
      </w:r>
    </w:p>
    <w:p>
      <w:pPr>
        <w:spacing w:after="0" w:line="104" w:lineRule="exact"/>
        <w:rPr>
          <w:sz w:val="20"/>
          <w:szCs w:val="20"/>
          <w:color w:val="auto"/>
        </w:rPr>
      </w:pPr>
    </w:p>
    <w:p>
      <w:pPr>
        <w:ind w:right="20" w:firstLine="562"/>
        <w:spacing w:after="0" w:line="276" w:lineRule="auto"/>
        <w:rPr>
          <w:sz w:val="20"/>
          <w:szCs w:val="20"/>
          <w:color w:val="auto"/>
        </w:rPr>
      </w:pPr>
      <w:r>
        <w:rPr>
          <w:rFonts w:ascii="Arial" w:cs="Arial" w:eastAsia="Arial" w:hAnsi="Arial"/>
          <w:sz w:val="18"/>
          <w:szCs w:val="18"/>
          <w:color w:val="auto"/>
        </w:rPr>
        <w:t>In November 2019, we entered into the UT Southwestern Agreement with The Board of Regents of the University of Texas System on behalf of UT Southwestern, as amended in April 2020.</w:t>
      </w:r>
    </w:p>
    <w:p>
      <w:pPr>
        <w:spacing w:after="0" w:line="37"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71"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In connection with the entry into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Queen’s University at Kingston</w:t>
      </w:r>
    </w:p>
    <w:p>
      <w:pPr>
        <w:spacing w:after="0" w:line="104"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In February 2020, we entered into a license agreement, or the Queen’s University Agreement, with Queen’s University at Kingston, or Queen’s University. In connection with the Queen’s University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455" w:right="3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17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connection with the Queen’s University Agreement, we paid Queen’s University a one-time fee of $3.0 million as an upfront fee and approximately $220,000 to reimburse Queen’s University for certain plasmid production costs. We are obligated to pay Queen’s University up to $10.0 million in the aggregate upon achievement of certain regulatory milestones and up to $10.0 million in the aggregate upon achievement of certain commercial milestones, a low single digit royalty on net sales of licensed 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 such country and the expiration of any regulatory exclusivity for such licensed product in such country. Additionally, we are obligated to pay Queen’s University a low double-digit portion of any amounts received by us in connection with the sale of a priority review voucher related to a licensed product, not to exceed a low eight-figure amount.</w:t>
      </w:r>
    </w:p>
    <w:p>
      <w:pPr>
        <w:spacing w:after="0" w:line="176"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We are also obligated under the terms of a separate research grant agreement between us and Queen’s University to pay up to a total of $3.8 million to fund certain manufacturing expenses.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Therapeutics Inc.</w:t>
      </w:r>
    </w:p>
    <w:p>
      <w:pPr>
        <w:spacing w:after="0" w:line="10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In August 2020, we entered into a license agreement, or the Abeona Agreement, with Abeona. In connection with the Abeona Agreement, we obtained an exclusive, worldwide, royalty-bearing license, with the right to grant sublicenses under certain patents, know-how and materials originally developed by University of North Carolina at Chapel Hill and Abeona to research, develop, manufacture, have manufactured, use, and commercialize licensed products for gene therapy for the prevention, treatment, or diagnosis of CLN1 Disease (or infantile Batten disease) in humans.</w:t>
      </w:r>
    </w:p>
    <w:p>
      <w:pPr>
        <w:spacing w:after="0" w:line="172"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In connection with the license grant, we will pay Abeona a one-time upfront license fee of $3.0 million.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Agreement we entered into a purchase and reimbursement agreement with Abeona, pursuant to which we will purchase specified inventory from Abeona for total consideration of $4.0 million.</w:t>
      </w:r>
    </w:p>
    <w:p>
      <w:pPr>
        <w:spacing w:after="0" w:line="180" w:lineRule="exact"/>
        <w:rPr>
          <w:sz w:val="20"/>
          <w:szCs w:val="20"/>
          <w:color w:val="auto"/>
        </w:rPr>
      </w:pPr>
    </w:p>
    <w:p>
      <w:pPr>
        <w:ind w:right="300" w:firstLine="562"/>
        <w:spacing w:after="0" w:line="255" w:lineRule="auto"/>
        <w:rPr>
          <w:sz w:val="20"/>
          <w:szCs w:val="20"/>
          <w:color w:val="auto"/>
        </w:rPr>
      </w:pPr>
      <w:r>
        <w:rPr>
          <w:rFonts w:ascii="Arial" w:cs="Arial" w:eastAsia="Arial" w:hAnsi="Arial"/>
          <w:sz w:val="18"/>
          <w:szCs w:val="18"/>
          <w:color w:val="auto"/>
        </w:rPr>
        <w:t>The Abeona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79" w:lineRule="exact"/>
        <w:rPr>
          <w:sz w:val="20"/>
          <w:szCs w:val="20"/>
          <w:color w:val="auto"/>
        </w:rPr>
      </w:pPr>
    </w:p>
    <w:p>
      <w:pPr>
        <w:ind w:left="780" w:right="680" w:hanging="219"/>
        <w:spacing w:after="0" w:line="27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50" w:lineRule="exact"/>
        <w:rPr>
          <w:rFonts w:ascii="Arial" w:cs="Arial" w:eastAsia="Arial" w:hAnsi="Arial"/>
          <w:sz w:val="18"/>
          <w:szCs w:val="18"/>
          <w:color w:val="auto"/>
        </w:rPr>
      </w:pPr>
    </w:p>
    <w:p>
      <w:pPr>
        <w:ind w:left="780" w:right="820" w:hanging="219"/>
        <w:spacing w:after="0" w:line="27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investigative sites and consultants to conduct our preclinical studies;</w:t>
      </w:r>
    </w:p>
    <w:p>
      <w:pPr>
        <w:spacing w:after="0" w:line="50" w:lineRule="exact"/>
        <w:rPr>
          <w:rFonts w:ascii="Arial" w:cs="Arial" w:eastAsia="Arial" w:hAnsi="Arial"/>
          <w:sz w:val="18"/>
          <w:szCs w:val="18"/>
          <w:color w:val="auto"/>
        </w:rPr>
      </w:pPr>
    </w:p>
    <w:p>
      <w:pPr>
        <w:ind w:left="780" w:right="260" w:hanging="219"/>
        <w:spacing w:after="0" w:line="27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equipment.</w:t>
      </w:r>
    </w:p>
    <w:p>
      <w:pPr>
        <w:spacing w:after="0" w:line="14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Research and development activities are central to our business model. We do not currently track our research and development expenses on a program-by-program basis as such costs are deployed across multiple projects under development.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455" w:right="3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substantial additional capital in the future. Our clinical development costs are expected to increase significantly as we commence clinical trials. Our future expenses may vary significantly each period based on factors such as:</w:t>
      </w:r>
    </w:p>
    <w:p>
      <w:pPr>
        <w:spacing w:after="0" w:line="50" w:lineRule="exact"/>
        <w:rPr>
          <w:sz w:val="20"/>
          <w:szCs w:val="20"/>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expenses incurred to conduct preclinical studies required to advance our product candidates into clinical development;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 patient trial costs, including based on the number of doses that patients received;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patients who enroll in each trial;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17" w:lineRule="exact"/>
        <w:rPr>
          <w:rFonts w:ascii="Arial" w:cs="Arial" w:eastAsia="Arial" w:hAnsi="Arial"/>
          <w:sz w:val="18"/>
          <w:szCs w:val="18"/>
          <w:color w:val="auto"/>
        </w:rPr>
      </w:pPr>
    </w:p>
    <w:p>
      <w:pPr>
        <w:ind w:left="780" w:right="140" w:hanging="219"/>
        <w:spacing w:after="0" w:line="27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50" w:lineRule="exact"/>
        <w:rPr>
          <w:rFonts w:ascii="Arial" w:cs="Arial" w:eastAsia="Arial" w:hAnsi="Arial"/>
          <w:sz w:val="18"/>
          <w:szCs w:val="18"/>
          <w:color w:val="auto"/>
        </w:rPr>
      </w:pPr>
    </w:p>
    <w:p>
      <w:pPr>
        <w:jc w:val="both"/>
        <w:ind w:left="780" w:hanging="219"/>
        <w:spacing w:after="0" w:line="255"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9" w:lineRule="exact"/>
        <w:rPr>
          <w:rFonts w:ascii="Arial" w:cs="Arial" w:eastAsia="Arial" w:hAnsi="Arial"/>
          <w:sz w:val="18"/>
          <w:szCs w:val="18"/>
          <w:color w:val="auto"/>
        </w:rPr>
      </w:pPr>
    </w:p>
    <w:p>
      <w:pPr>
        <w:ind w:left="780" w:hanging="219"/>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3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accounting and tax-related services and insurance costs. We began paying salaries and related costs for personnel during the quarter ended June 30, 2020 and granted equity awards to employees and directors during the quarter ending September 30, 2020.</w:t>
      </w:r>
    </w:p>
    <w:p>
      <w:pPr>
        <w:spacing w:after="0" w:line="64" w:lineRule="exact"/>
        <w:rPr>
          <w:sz w:val="20"/>
          <w:szCs w:val="20"/>
          <w:color w:val="auto"/>
        </w:rPr>
      </w:pPr>
    </w:p>
    <w:p>
      <w:pPr>
        <w:ind w:right="160" w:firstLine="562"/>
        <w:spacing w:after="0" w:line="241"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expanded infrastructure, as well as the initiation and continuation of our preclinical studies and clinical trials for our product candidates. We also anticipate that our general and administrative expenses will increase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We anticipate the additional costs for these services will increase our general and administrative expenses by between $6.0 million and $7.0 million on an annual basis, including the cost of director and officer liability insurance.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5" w:right="3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Six Months Ended June 30, 2020</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six months ended June 30, 2020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For the</w:t>
            </w:r>
          </w:p>
        </w:tc>
      </w:tr>
      <w:tr>
        <w:trPr>
          <w:trHeight w:val="162"/>
        </w:trPr>
        <w:tc>
          <w:tcPr>
            <w:tcW w:w="10340" w:type="dxa"/>
            <w:vAlign w:val="bottom"/>
          </w:tcPr>
          <w:p>
            <w:pPr>
              <w:spacing w:after="0"/>
              <w:rPr>
                <w:sz w:val="14"/>
                <w:szCs w:val="14"/>
                <w:color w:val="auto"/>
              </w:rPr>
            </w:pPr>
          </w:p>
        </w:tc>
        <w:tc>
          <w:tcPr>
            <w:tcW w:w="90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10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rPr>
              <w:t>Ended</w:t>
            </w:r>
          </w:p>
        </w:tc>
      </w:tr>
      <w:tr>
        <w:trPr>
          <w:trHeight w:val="162"/>
        </w:trPr>
        <w:tc>
          <w:tcPr>
            <w:tcW w:w="10340" w:type="dxa"/>
            <w:vAlign w:val="bottom"/>
          </w:tcPr>
          <w:p>
            <w:pPr>
              <w:spacing w:after="0"/>
              <w:rPr>
                <w:sz w:val="14"/>
                <w:szCs w:val="14"/>
                <w:color w:val="auto"/>
              </w:rPr>
            </w:pPr>
          </w:p>
        </w:tc>
        <w:tc>
          <w:tcPr>
            <w:tcW w:w="90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rPr>
              <w:t>June 30,</w:t>
            </w:r>
          </w:p>
        </w:tc>
      </w:tr>
      <w:tr>
        <w:trPr>
          <w:trHeight w:val="177"/>
        </w:trPr>
        <w:tc>
          <w:tcPr>
            <w:tcW w:w="10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83"/>
        </w:trPr>
        <w:tc>
          <w:tcPr>
            <w:tcW w:w="103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1034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8,576</w:t>
            </w:r>
          </w:p>
        </w:tc>
      </w:tr>
      <w:tr>
        <w:trPr>
          <w:trHeight w:val="203"/>
        </w:trPr>
        <w:tc>
          <w:tcPr>
            <w:tcW w:w="10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1,018</w:t>
            </w:r>
          </w:p>
        </w:tc>
      </w:tr>
      <w:tr>
        <w:trPr>
          <w:trHeight w:val="217"/>
        </w:trPr>
        <w:tc>
          <w:tcPr>
            <w:tcW w:w="103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20" w:type="dxa"/>
            <w:vAlign w:val="bottom"/>
          </w:tcPr>
          <w:p>
            <w:pPr>
              <w:spacing w:after="0"/>
              <w:rPr>
                <w:sz w:val="18"/>
                <w:szCs w:val="18"/>
                <w:color w:val="auto"/>
              </w:rPr>
            </w:pPr>
          </w:p>
        </w:tc>
      </w:tr>
      <w:tr>
        <w:trPr>
          <w:trHeight w:val="203"/>
        </w:trPr>
        <w:tc>
          <w:tcPr>
            <w:tcW w:w="10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(9,594)</w:t>
            </w:r>
          </w:p>
        </w:tc>
      </w:tr>
      <w:tr>
        <w:trPr>
          <w:trHeight w:val="209"/>
        </w:trPr>
        <w:tc>
          <w:tcPr>
            <w:tcW w:w="1034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10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(17,030)</w:t>
            </w:r>
          </w:p>
        </w:tc>
      </w:tr>
      <w:tr>
        <w:trPr>
          <w:trHeight w:val="203"/>
        </w:trPr>
        <w:tc>
          <w:tcPr>
            <w:tcW w:w="1034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7"/>
        </w:trPr>
        <w:tc>
          <w:tcPr>
            <w:tcW w:w="10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10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expense</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(17,057)</w:t>
            </w:r>
          </w:p>
        </w:tc>
      </w:tr>
      <w:tr>
        <w:trPr>
          <w:trHeight w:val="210"/>
        </w:trPr>
        <w:tc>
          <w:tcPr>
            <w:tcW w:w="103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(26,651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10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Research and development expenses were $8.6 million for the six months ended June 30, 2020, and were primarily attributable to the upfront payment pursuant to the Queen’s University Agreement for $3.0 million in March 2020, $3.8 million of chemistry, manufacturing and control costs for clinical trial material, $1.5 million of research expenses and the remainder in research and development personnel and consulting costs. We expensed the initial cost of the license acquired pursuant to the Queen’s University Agreement within research and development expenses as it does not have an alternative future use.</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40" w:firstLine="562"/>
        <w:spacing w:after="0" w:line="255" w:lineRule="auto"/>
        <w:rPr>
          <w:sz w:val="20"/>
          <w:szCs w:val="20"/>
          <w:color w:val="auto"/>
        </w:rPr>
      </w:pPr>
      <w:r>
        <w:rPr>
          <w:rFonts w:ascii="Arial" w:cs="Arial" w:eastAsia="Arial" w:hAnsi="Arial"/>
          <w:sz w:val="18"/>
          <w:szCs w:val="18"/>
          <w:color w:val="auto"/>
        </w:rPr>
        <w:t>General and administrative expenses were $1.0 million for the six months ended June 30, 2020 and were primarily attributable to $0.5 million of compensation and benefits to new hires, $0.3 million in consulting fees and $0.2 million of legal expenses related to general corporate matters.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Expense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Preferred Stock Tranche Liability</w:t>
      </w:r>
    </w:p>
    <w:p>
      <w:pPr>
        <w:spacing w:after="0" w:line="10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We determined that our obligation to issue, and the investors’ right to purchase, additional shares of Series A convertible preferred stock pursuant to the milestone closings represented a freestanding financial instrument, or the tranche liability. The tranche liability was initially recorded at fair value. We concluded that the tranche liability met the definition of a freestanding financial instrument, as it was legally detachable and separately exercisable from the initial closing of the Series A convertible preferred stock.</w:t>
      </w:r>
    </w:p>
    <w:p>
      <w:pPr>
        <w:spacing w:after="0" w:line="170"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On June 30, 2020, ahead of the anticipated closing of the Series B preferred stock financing at a purchase price of $17.00 per share on July 2, 2020, certain investors elected to exercise in full their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5"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options to purchase their pro-rata portion of the milestone shares prior to our achievement of the clinical milestones and purchased 200,000 shares of Series A convertible preferred stock. We remeasured the fair value of the entire tranche liability at June 30, 2020, and recognized a non-cash expense of approximately $17.0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from September 20, 2019 (date of inception) through December 31, 2019</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period from September 20, 2019 (date of inception) through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Period from</w:t>
            </w:r>
          </w:p>
        </w:tc>
      </w:t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September 20, 2019</w:t>
            </w:r>
          </w:p>
        </w:tc>
      </w:t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(date of inception)</w:t>
            </w:r>
          </w:p>
        </w:tc>
      </w:tr>
      <w:tr>
        <w:trPr>
          <w:trHeight w:val="162"/>
        </w:trPr>
        <w:tc>
          <w:tcPr>
            <w:tcW w:w="62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through</w:t>
            </w:r>
          </w:p>
        </w:tc>
      </w:tr>
      <w:tr>
        <w:trPr>
          <w:trHeight w:val="177"/>
        </w:trPr>
        <w:tc>
          <w:tcPr>
            <w:tcW w:w="6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December 31, 2019</w:t>
            </w:r>
          </w:p>
        </w:tc>
      </w:tr>
      <w:tr>
        <w:trPr>
          <w:trHeight w:val="156"/>
        </w:trPr>
        <w:tc>
          <w:tcPr>
            <w:tcW w:w="6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58"/>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2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3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987</w:t>
            </w:r>
          </w:p>
        </w:tc>
      </w:tr>
      <w:tr>
        <w:trPr>
          <w:trHeight w:val="203"/>
        </w:trPr>
        <w:tc>
          <w:tcPr>
            <w:tcW w:w="62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128</w:t>
            </w:r>
          </w:p>
        </w:tc>
      </w:t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6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60" w:type="dxa"/>
            <w:vAlign w:val="bottom"/>
          </w:tcPr>
          <w:p>
            <w:pPr>
              <w:spacing w:after="0"/>
              <w:rPr>
                <w:sz w:val="18"/>
                <w:szCs w:val="18"/>
                <w:color w:val="auto"/>
              </w:rPr>
            </w:pPr>
          </w:p>
        </w:tc>
      </w:tr>
      <w:tr>
        <w:trPr>
          <w:trHeight w:val="203"/>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(1,115)</w:t>
            </w:r>
          </w:p>
        </w:tc>
      </w:tr>
      <w:tr>
        <w:trPr>
          <w:trHeight w:val="20"/>
        </w:trPr>
        <w:tc>
          <w:tcPr>
            <w:tcW w:w="62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Research and development expenses were $1.0 million for the period from September 20, 2019 (date of inception) through December 31, 2019, and were primarily attributable to the issuance of 2,179,000 shares to UT Southwestern as consideration for the license rights granted under the UT Southwestern Agreement. We expensed the initial cost of the license within research and development expenses as it does not have an alternative future use, and measured the cost of the license based on the grant date fair value of the aggregate shares of common stock issued to UT Southwestern of $980,000, or $0.45 per share. We anticipate our research and development expenses will continue to increase as we advance development of our programs.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General and administrative expenses were $ 0.1 million for the period from September 20, 2019 (date of inception) through December 31, 2019, and were primarily attributable to legal and formation costs. We anticipate that our general and administrative expenses will increase in the future as we increase our headcount to support our expanded operations as well as from increases in costs related to our public company compliance efforts.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As of June 30, 2020, we had cash and cash equivalents of $11.2 million. We have funded our operations through sales of convertible preferred stock, raising an aggregate of $126.0 million of gross proceeds from the sale of shares of our convertible preferred stock through August 2020.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5" w:right="3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initiate clinical trials of and seek marketing approval for our product candidates. In addition, if we obtain approval for any of our product candidates, we expect to incur significant commercialization expenses related to sales, marketing, manufacturing and distribution. Furthermore, following the completion of this offering, we expect to incur additional costs associated with operating as a public company.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76"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We believe that the anticipated net proceeds from this offering, together with our existing cash and cash equivalents, will enable us to fund our operating expenses and capital requirements into the fourth quarter of 2022. We intend to devote the majority of the net proceeds from this offering to the clinical and preclinical development of our product candidates. We have based this estimate on assumptions that may prove to be imprecise, and we could utilize our available capital resources sooner than we expect.</w:t>
      </w:r>
    </w:p>
    <w:p>
      <w:pPr>
        <w:spacing w:after="0" w:line="62"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69" w:lineRule="exact"/>
        <w:rPr>
          <w:sz w:val="20"/>
          <w:szCs w:val="20"/>
          <w:color w:val="auto"/>
        </w:rPr>
      </w:pPr>
    </w:p>
    <w:p>
      <w:pPr>
        <w:ind w:left="780" w:right="360" w:hanging="219"/>
        <w:spacing w:after="0" w:line="27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TSHA-101, TSHA-118, TSHA-102, TSHA-103, TSHA-104 and future product candidates;</w:t>
      </w:r>
    </w:p>
    <w:p>
      <w:pPr>
        <w:spacing w:after="0" w:line="50" w:lineRule="exact"/>
        <w:rPr>
          <w:rFonts w:ascii="Arial" w:cs="Arial" w:eastAsia="Arial" w:hAnsi="Arial"/>
          <w:sz w:val="18"/>
          <w:szCs w:val="18"/>
          <w:color w:val="auto"/>
        </w:rPr>
      </w:pPr>
    </w:p>
    <w:p>
      <w:pPr>
        <w:ind w:left="780" w:right="560" w:hanging="219"/>
        <w:spacing w:after="0" w:line="27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50" w:lineRule="exact"/>
        <w:rPr>
          <w:rFonts w:ascii="Arial" w:cs="Arial" w:eastAsia="Arial" w:hAnsi="Arial"/>
          <w:sz w:val="18"/>
          <w:szCs w:val="18"/>
          <w:color w:val="auto"/>
        </w:rPr>
      </w:pPr>
    </w:p>
    <w:p>
      <w:pPr>
        <w:ind w:left="780" w:right="340" w:hanging="219"/>
        <w:spacing w:after="0" w:line="27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80" w:right="140" w:hanging="219"/>
        <w:spacing w:after="0" w:line="27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17"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0" w:lineRule="exact"/>
        <w:rPr>
          <w:rFonts w:ascii="Arial" w:cs="Arial" w:eastAsia="Arial" w:hAnsi="Arial"/>
          <w:sz w:val="18"/>
          <w:szCs w:val="18"/>
          <w:color w:val="auto"/>
        </w:rPr>
      </w:pPr>
    </w:p>
    <w:p>
      <w:pPr>
        <w:ind w:left="780" w:right="380" w:hanging="219"/>
        <w:spacing w:after="0" w:line="276"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455" w:right="3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12"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183" w:lineRule="exact"/>
        <w:rPr>
          <w:sz w:val="20"/>
          <w:szCs w:val="20"/>
          <w:color w:val="auto"/>
        </w:rPr>
      </w:pPr>
    </w:p>
    <w:p>
      <w:pPr>
        <w:ind w:right="120" w:firstLine="562"/>
        <w:spacing w:after="0" w:line="256" w:lineRule="auto"/>
        <w:rPr>
          <w:sz w:val="20"/>
          <w:szCs w:val="20"/>
          <w:color w:val="auto"/>
        </w:rPr>
      </w:pPr>
      <w:r>
        <w:rPr>
          <w:rFonts w:ascii="Arial" w:cs="Arial" w:eastAsia="Arial" w:hAnsi="Arial"/>
          <w:sz w:val="17"/>
          <w:szCs w:val="17"/>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Prior to the issuance and sale of our Series A convertible preferred stock in March 2020, we had no cash. Outstanding accrued expenses of $0.2 million as of December 31, 2019 were paid in 2020 following the receipt of the proceeds from the issuance and sale of our Series A convertible preferred stock.</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summary of our cash flows for the six months ended June 30, 2020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4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7"/>
        </w:trPr>
        <w:tc>
          <w:tcPr>
            <w:tcW w:w="4380" w:type="dxa"/>
            <w:vAlign w:val="bottom"/>
            <w:tcBorders>
              <w:bottom w:val="single" w:sz="8" w:color="CCEEFF"/>
            </w:tcBorders>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59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5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18,365</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59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960" w:type="dxa"/>
            <w:vAlign w:val="bottom"/>
            <w:vMerge w:val="restart"/>
          </w:tcPr>
          <w:p>
            <w:pPr>
              <w:jc w:val="right"/>
              <w:ind w:right="4470"/>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38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During the six months ended June 30, 2020, operating activities used $4.2 million of cash. Net cash used in operating activities for the six months ended June 30, 2020 was primarily attributable to a $ 26.7 million net loss and offset by $20.0 million of non-cash items, primarily driven by a change in fair value of our preferred stock tranche of $17.0 million liability related to the issuance of Series A convertible preferred stock and the upfront payment to acquire the license rights pursuant to the Queen’s University Agreement for $ 3.0 million, which was recorded as a component of research and development expenses. The $26.7 million net loss was also partially offset by a $2.5 million increase in the cash provided by operating assets and liabilities, primarily resulting from an increase in accounts payable and accrued expenses.</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620" w:firstLine="562"/>
        <w:spacing w:after="0" w:line="276" w:lineRule="auto"/>
        <w:rPr>
          <w:sz w:val="20"/>
          <w:szCs w:val="20"/>
          <w:color w:val="auto"/>
        </w:rPr>
      </w:pPr>
      <w:r>
        <w:rPr>
          <w:rFonts w:ascii="Arial" w:cs="Arial" w:eastAsia="Arial" w:hAnsi="Arial"/>
          <w:sz w:val="18"/>
          <w:szCs w:val="18"/>
          <w:color w:val="auto"/>
        </w:rPr>
        <w:t>During the six months ended June 30, 2020, investing activities used $3.0 million of cash attributable to the upfront payment to acquire the license rights pursuant to the Queen’s University Agreement of $3.0 million.</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During the six months ended June 30, 2020, financing activities provided $18.4 million of cash, which was primarily attributable to the issuance of 6,200,000 shares of our Series A convertible preferred stock in exchange for gross proceeds of $18.6 million, net of the payment of issuance costs of approximately $0.3 million. In January 2020, we also entered into two secured promissory notes with a related party, our President and Chief Executive Officer, RA Session II, for an aggregate of $ 1.67 million. During March 2020, we repaid $1.65 million of the notes. The remaining balance of approximately $28,000 was repaid in July 2020.</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14" w:lineRule="exact"/>
        <w:rPr>
          <w:sz w:val="20"/>
          <w:szCs w:val="20"/>
          <w:color w:val="auto"/>
        </w:rPr>
      </w:pPr>
    </w:p>
    <w:p>
      <w:pPr>
        <w:jc w:val="both"/>
        <w:ind w:right="200" w:firstLine="562"/>
        <w:spacing w:after="0" w:line="255" w:lineRule="auto"/>
        <w:rPr>
          <w:sz w:val="20"/>
          <w:szCs w:val="20"/>
          <w:color w:val="auto"/>
        </w:rPr>
      </w:pPr>
      <w:r>
        <w:rPr>
          <w:rFonts w:ascii="Arial" w:cs="Arial" w:eastAsia="Arial" w:hAnsi="Arial"/>
          <w:sz w:val="18"/>
          <w:szCs w:val="18"/>
          <w:color w:val="auto"/>
        </w:rPr>
        <w:t>As of December 31, 2019, we did not have any commitments or contractual obligations. In addition, we enter into agreements in the normal course of business with CROs, CMOs and other vendors for research and development services for operating purposes, which are generally cancelable upon written notice. These payments are therefore not included in our contractual obligations herein.</w:t>
      </w:r>
    </w:p>
    <w:p>
      <w:pPr>
        <w:spacing w:after="0" w:line="16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We have not included milestone or royalty payments or other contractual payment obligations as the timing and amount of such obligations are unknown or uncertain, and are contingent upon the initiation and successful completion of future activities. See Notes 4 and 10 to our unaudited condensed consolidated financial statements included elsewhere in this prospectus.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14" w:lineRule="exact"/>
        <w:rPr>
          <w:sz w:val="20"/>
          <w:szCs w:val="20"/>
          <w:color w:val="auto"/>
        </w:rPr>
      </w:pPr>
    </w:p>
    <w:p>
      <w:pPr>
        <w:ind w:right="220" w:firstLine="562"/>
        <w:spacing w:after="0" w:line="276"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5"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expenses and the disclosure of contingent assets and liabilities in our financial statements. In accordance with U.S. GAAP, we evaluate our estimates and judgments on an ongoing basis, including those related to accrued expenses, the preferred stock tranche liability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financial statements and our unaudited condensed consolidated financial statements appearing elsewhere in this prospectus, we believe the following are the critical accounting policies used in the preparation of our financial statements that require significant estimates and judgments.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We have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We record accruals for estimated ongoing research costs. When evaluating the adequacy of the accrued liabilities, we analyze progress of the studies, including the phase or completion of events, invoices received and contracted costs.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costs primarily consist of laboratory costs and other supplies, and the cost to acquire third-party licenses.</w:t>
      </w:r>
    </w:p>
    <w:p>
      <w:pPr>
        <w:spacing w:after="0" w:line="212"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For the six months ended June 30, 2020 and the period from September 20, 2019 (date of inception) through December 31, 2019, we did not incur any stock-based compensation expense related to equity awards granted to any employee, director or consultant. We began granting equity awards to employees and directors in the quarter ending September 30, 2020.</w:t>
      </w:r>
    </w:p>
    <w:p>
      <w:pPr>
        <w:spacing w:after="0" w:line="16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On July 1, 2020, we granted options to purchase an aggregate of 2,896,782 shares of common stock, all of which were subsequently cancelled, and a restricted stock award with respect to 769,058 shares of restricted common stock under our 2020 Equity Incentive Plan. We estimated that the fair value of such restricted stock was $5.28 per share. On September 2, 2020, we granted options to purchase an aggregate of 16,342 shares with an exercise price of $14.90 per share and restricted stock unit awards with respect to 2,518,932 shares of common stock. We estimated that the fair value of such restricted stock units was $14.90 per share.</w:t>
      </w:r>
    </w:p>
    <w:p>
      <w:pPr>
        <w:spacing w:after="0" w:line="172" w:lineRule="exact"/>
        <w:rPr>
          <w:sz w:val="20"/>
          <w:szCs w:val="20"/>
          <w:color w:val="auto"/>
        </w:rPr>
      </w:pPr>
    </w:p>
    <w:p>
      <w:pPr>
        <w:jc w:val="both"/>
        <w:ind w:right="160" w:firstLine="562"/>
        <w:spacing w:after="0" w:line="255" w:lineRule="auto"/>
        <w:rPr>
          <w:sz w:val="20"/>
          <w:szCs w:val="20"/>
          <w:color w:val="auto"/>
        </w:rPr>
      </w:pPr>
      <w:r>
        <w:rPr>
          <w:rFonts w:ascii="Arial" w:cs="Arial" w:eastAsia="Arial" w:hAnsi="Arial"/>
          <w:sz w:val="18"/>
          <w:szCs w:val="18"/>
          <w:color w:val="auto"/>
        </w:rPr>
        <w:t>We measure and recognize compensation expense for all options, restricted common stock awards and restricted stock units based on the estimated fair value of the award on the grant date. For our grants of restricted common stock awards and restricted stock units, the grant date fair value is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320" w:top="455" w:right="3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based on the fair value of our common stock on the date of grant. We use the Black-Scholes option-pricing model to estimate the fair value of option awards. The fair value of these awards is recognized as expense over the requisite service period, which is generally the vesting period of the respective award, on a straight-line basis when the only condition to vesting is continued service. We account for forfeitures as they occur. For awards where vesting is subject to a market or performance condition, expense recognition would be based on the derived service period. Expense for awards with performance conditions would be estimated and adjusted on a quarterly basis based upon our assessment of the probability that the performance condition will be met.</w:t>
      </w:r>
    </w:p>
    <w:p>
      <w:pPr>
        <w:spacing w:after="0" w:line="174" w:lineRule="exact"/>
        <w:rPr>
          <w:sz w:val="20"/>
          <w:szCs w:val="20"/>
          <w:color w:val="auto"/>
        </w:rPr>
      </w:pPr>
    </w:p>
    <w:p>
      <w:pPr>
        <w:ind w:right="140" w:firstLine="562"/>
        <w:spacing w:after="0" w:line="243" w:lineRule="auto"/>
        <w:rPr>
          <w:sz w:val="20"/>
          <w:szCs w:val="20"/>
          <w:color w:val="auto"/>
        </w:rPr>
      </w:pPr>
      <w:r>
        <w:rPr>
          <w:rFonts w:ascii="Arial" w:cs="Arial" w:eastAsia="Arial" w:hAnsi="Arial"/>
          <w:sz w:val="18"/>
          <w:szCs w:val="18"/>
          <w:color w:val="auto"/>
        </w:rPr>
        <w:t>The determination of the grant date fair value of options using an option-pricing model is affected principally by our estimated fair value of shares of our common stock and requires management to make a number of other assumptions, including the expected life of the option, the volatility of the underlying shares, the risk-free interest rate and expected dividends. The assumptions used in our Black-Scholes option-pricing model represent management’s best estimates at the time of grant. These estimates are complex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assumptions are estimated as follows:</w:t>
      </w:r>
    </w:p>
    <w:p>
      <w:pPr>
        <w:spacing w:after="0" w:line="117" w:lineRule="exact"/>
        <w:rPr>
          <w:sz w:val="20"/>
          <w:szCs w:val="20"/>
          <w:color w:val="auto"/>
        </w:rPr>
      </w:pPr>
    </w:p>
    <w:p>
      <w:pPr>
        <w:ind w:left="780" w:right="360" w:hanging="219"/>
        <w:spacing w:after="0" w:line="27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our common stock has not historically been publicly traded, we estimate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See “—Fair Value of Common Stock.”</w:t>
      </w:r>
    </w:p>
    <w:p>
      <w:pPr>
        <w:spacing w:after="0" w:line="50" w:lineRule="exact"/>
        <w:rPr>
          <w:rFonts w:ascii="Arial" w:cs="Arial" w:eastAsia="Arial" w:hAnsi="Arial"/>
          <w:sz w:val="18"/>
          <w:szCs w:val="18"/>
          <w:color w:val="auto"/>
        </w:rPr>
      </w:pPr>
    </w:p>
    <w:p>
      <w:pPr>
        <w:ind w:left="780" w:right="220" w:hanging="219"/>
        <w:spacing w:after="0" w:line="24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our options are expected to be outstanding. For options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“plain vanilla”, we calculate the expected term using the simplified method based on the average of each option’s vesting term and the contractual period during which the option can be exercised, which is typically 10 years following the date of grant.</w:t>
      </w:r>
    </w:p>
    <w:p>
      <w:pPr>
        <w:spacing w:after="0" w:line="75" w:lineRule="exact"/>
        <w:rPr>
          <w:rFonts w:ascii="Arial" w:cs="Arial" w:eastAsia="Arial" w:hAnsi="Arial"/>
          <w:sz w:val="18"/>
          <w:szCs w:val="18"/>
          <w:color w:val="auto"/>
        </w:rPr>
      </w:pPr>
    </w:p>
    <w:p>
      <w:pPr>
        <w:ind w:left="780" w:right="220" w:hanging="219"/>
        <w:spacing w:after="0" w:line="255"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is based on the historical share volatility of several of our comparable publicly traded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over a period of time equal to the expected term of the options, as we do not have any trading history to use the volatility of our own common stock.</w:t>
      </w:r>
    </w:p>
    <w:p>
      <w:pPr>
        <w:spacing w:after="0" w:line="69"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yields of U.S. Treasury securities with maturities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term of the award.</w:t>
      </w:r>
    </w:p>
    <w:p>
      <w:pPr>
        <w:spacing w:after="0" w:line="50" w:lineRule="exact"/>
        <w:rPr>
          <w:rFonts w:ascii="Arial" w:cs="Arial" w:eastAsia="Arial" w:hAnsi="Arial"/>
          <w:sz w:val="18"/>
          <w:szCs w:val="18"/>
          <w:color w:val="auto"/>
        </w:rPr>
      </w:pPr>
    </w:p>
    <w:p>
      <w:pPr>
        <w:ind w:left="780" w:right="40" w:hanging="219"/>
        <w:spacing w:after="0" w:line="276"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not paid dividends on our common stock nor do we expect to pay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Fair Value of Common Stock</w:t>
      </w:r>
    </w:p>
    <w:p>
      <w:pPr>
        <w:spacing w:after="0" w:line="102"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Beginning in July 2020 with the approval by our board of directors of our 2020 Equity Incentive Plan, the fair values of the shares of common stock underlying our options, restricted common stock and restricted stock units were estimated on each grant date by our board of directors. In order to determine the fair value, our board of directors considered, among other things, contemporaneous valuations of our common stock prepared by unrelated third-party valuation firms in accordance with the guidance provided by the American Institute of Certified Public Accountants Audit and Accounting Practice Aid Series: Valuation of Privately-Held-Company Equity Securities Issued as Compensation, or the Practice Aid. Given the absence of a public trading market of our capital stock, our board of directors will exercise reasonable judgment and consider a number of objective and subjective factors to determine the best estimate of the fair value of our common and preferred stock, including:</w:t>
      </w:r>
    </w:p>
    <w:p>
      <w:pPr>
        <w:spacing w:after="0" w:line="86" w:lineRule="exact"/>
        <w:rPr>
          <w:sz w:val="20"/>
          <w:szCs w:val="20"/>
          <w:color w:val="auto"/>
        </w:rPr>
      </w:pPr>
    </w:p>
    <w:p>
      <w:pPr>
        <w:ind w:left="5480" w:right="5460" w:hanging="4919"/>
        <w:spacing w:after="0" w:line="364" w:lineRule="auto"/>
        <w:tabs>
          <w:tab w:leader="none" w:pos="784"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contemporaneous third-party valuations of our common stock; 103</w:t>
      </w:r>
    </w:p>
    <w:p>
      <w:pPr>
        <w:sectPr>
          <w:pgSz w:w="11900" w:h="16838" w:orient="portrait"/>
          <w:cols w:equalWidth="0" w:num="1">
            <w:col w:w="11240"/>
          </w:cols>
          <w:pgMar w:left="320" w:top="455"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our common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including related industry trends affecting our operations;</w:t>
      </w:r>
    </w:p>
    <w:p>
      <w:pPr>
        <w:spacing w:after="0" w:line="117" w:lineRule="exact"/>
        <w:rPr>
          <w:rFonts w:ascii="Arial" w:cs="Arial" w:eastAsia="Arial" w:hAnsi="Arial"/>
          <w:sz w:val="18"/>
          <w:szCs w:val="18"/>
          <w:color w:val="auto"/>
        </w:rPr>
      </w:pPr>
    </w:p>
    <w:p>
      <w:pPr>
        <w:ind w:left="780" w:right="660" w:hanging="219"/>
        <w:spacing w:after="0" w:line="276"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given prevailing market conditions;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 and outlook.</w:t>
      </w:r>
    </w:p>
    <w:p>
      <w:pPr>
        <w:spacing w:after="0" w:line="212"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The contemporaneous valuations prepared as of November 19, 2019, March 4, 2020, July 1, 2020 and August 15, 2020 resulted in a valuation of our common stock of $0.45, $0.48, $5.28 and $14.90 per share, respectively, as of those dates.</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Common Stock Valuation Methodology</w:t>
      </w:r>
    </w:p>
    <w:p>
      <w:pPr>
        <w:spacing w:after="0" w:line="102"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In determining the estimated fair value of common stock, our board of directors considered the subjective factors discussed above in conjunction with the most recent valuations of our common stock that were prepared by an independent third-party.</w:t>
      </w:r>
    </w:p>
    <w:p>
      <w:pPr>
        <w:spacing w:after="0" w:line="14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estimating the fair market value of our common stock, our board of directors first determined the equity value of our business using accepted valuation methods. For valuations as of July 1, 2020, March 4, 2020 and November 19, 2019, we used the option-pricing model, or OPM, under which shares are valued by creating a series of call options with exercise prices based on the liquidation preferences and conversion terms of each equity class. The estimated fair values of the preferred and common stock are inferred by analyzing these options. Specifically, we use the OPM backsolve method to estimate the fair value of our common stock, which derives the implied equity value for one type of equity security from a contemporaneous transaction involving another type of security, such as the shares of our Series A and Series B convertible preferred stock. We used the OPM backsolve method because we were at an early stage of development and future liquidity events were difficult to forecast. We applied a discount for lack of marketability to account for a lack of access to an active public market.</w:t>
      </w:r>
    </w:p>
    <w:p>
      <w:pPr>
        <w:spacing w:after="0" w:line="176"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For the valuation conducted as of August 15, 2020, we used a hybrid equity valuation and allocation model to determine our total equity value and resulting common stock per share value. The methodology aligns with the “Hybrid” method as described in the Practice Aid that incorporates weighted outcomes akin to the Probability Weighted Expected Return Method. Specifically, we considered the possibility of a near-term low-priced, mid-priced and high-priced IPO and a scenario where no IPO takes place. This method is generally considered appropriate to use when there are several distinct scenarios to be considered.</w:t>
      </w:r>
    </w:p>
    <w:p>
      <w:pPr>
        <w:spacing w:after="0" w:line="172"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Following the closing of this offering, the fair value of our common stock will be the closing price of our common stock on the Nasdaq Global Market as reported on the date of the grant.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Tranche Liability</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We determined that our obligation to issue, and the investors’ right to purchase, additional shares of Series A convertible preferred stock pursuant to the milestone closings represent a freestanding financial instrument, or the tranche liability. The tranche liability was initially recorded at fair value. The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455" w:right="3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proceeds from the sale of the convertible preferred stock are first allocated to the fair value of the tranche liability, with the remaining proceeds from the sale of the convertible preferred stock allocated to the Series A convertible preferred stock. The tranche liability is remeasured at each reporting period and upon the exercise or expiration of the obligation, with gains and losses arising from subsequent changes in its fair value recognized as a component of other expense in the condensed consolidated statement of operations. At the time of the exercise or expiration of the tranche liability, any remaining value of the tranche liability is reclassified to convertible preferred stock on the condensed consolidated balance sheet.</w:t>
      </w:r>
    </w:p>
    <w:p>
      <w:pPr>
        <w:spacing w:after="0" w:line="17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estimated the fair value of the tranche liability using a Monte Carlo simulation at the initial issuance date. As of March 4, 2020, the simulations occurred based on our implied aggregate equity value derived from the Series A convertible preferred stock offering price of $3.00 per share, along with, in part, the following subjective assumptions: risk-free rate of 0.59%, an expected volatility of 80%, the expected term to a liquidity event of one year and a 60% probability of achieving the clinical milestones and timing thereof. Subsequently, we estimated the fair value of the tranche liability using a backsolve approach at June 30, 2020, which was calculated based on our aggregate equity value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Income taxes are recorded in accordance with ASC 740, Income Taxes, or ASC 740, which provides for deferred taxes using an asset and liability approach. We recognize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or NOL, carryforwards and research and development tax credit carryforwards. Valuation allowances are provided, if based upon the weight of available evidence, it is more likely than not that some or all of the deferred tax assets will not be realized. We have recorded a full valuation allowance to reduce our net deferred income tax assets to zero. In the event we were to determine that we would be able to realize some or all of our deferred income tax assets in the future, an adjustment to the deferred income tax asset valuation allowance would increase income in the period such determination was made.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jc w:val="both"/>
        <w:ind w:right="100" w:firstLine="562"/>
        <w:spacing w:after="0" w:line="276" w:lineRule="auto"/>
        <w:rPr>
          <w:sz w:val="20"/>
          <w:szCs w:val="20"/>
          <w:color w:val="auto"/>
        </w:rPr>
      </w:pPr>
      <w:r>
        <w:rPr>
          <w:rFonts w:ascii="Arial" w:cs="Arial" w:eastAsia="Arial" w:hAnsi="Arial"/>
          <w:sz w:val="18"/>
          <w:szCs w:val="18"/>
          <w:color w:val="auto"/>
        </w:rPr>
        <w:t>See Note 2 to our audited financial statements and our unaudited condensed consolidated financial statements appearing elsewhere in this prospectus for a description of recent accounting pronouncements applicable to our financial statements.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14"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Our primary exposure to market risk is interest rate sensitivity, which is affected by changes in the general level of U.S. interest rates, particularly because of our investments, including cash equivalents, which may be in the form of a money market fund.</w:t>
      </w:r>
    </w:p>
    <w:p>
      <w:pPr>
        <w:spacing w:after="0" w:line="145" w:lineRule="exact"/>
        <w:rPr>
          <w:sz w:val="20"/>
          <w:szCs w:val="20"/>
          <w:color w:val="auto"/>
        </w:rPr>
      </w:pPr>
    </w:p>
    <w:p>
      <w:pPr>
        <w:jc w:val="both"/>
        <w:ind w:right="120" w:firstLine="562"/>
        <w:spacing w:after="0" w:line="255" w:lineRule="auto"/>
        <w:rPr>
          <w:sz w:val="20"/>
          <w:szCs w:val="20"/>
          <w:color w:val="auto"/>
        </w:rPr>
      </w:pPr>
      <w:r>
        <w:rPr>
          <w:rFonts w:ascii="Arial" w:cs="Arial" w:eastAsia="Arial" w:hAnsi="Arial"/>
          <w:sz w:val="18"/>
          <w:szCs w:val="18"/>
          <w:color w:val="auto"/>
        </w:rPr>
        <w:t>We occasionally contract with vendors globally. We may be subject to fluctuations in foreign currency rates in connection with certain of these agreements. Transactions denominated in currencies other than the United States dollar are recorded based on exchange rates at the time such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455" w:right="3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transactions arise. We have not engaged in the hedging of our foreign currency transactions to date. As of June 30, 2020, substantially all of our total liabilities were denominated in the United States dollar. We therefore believe that the risk of a significant impact on our loss from operations from foreign currency fluctuations is not substantial.</w:t>
      </w:r>
    </w:p>
    <w:p>
      <w:pPr>
        <w:spacing w:after="0" w:line="16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six months ended June 30, 2020 and the period from September 20, 2019 (date of inception) through December 31, 2019.</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1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172"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50" w:lineRule="exact"/>
        <w:rPr>
          <w:sz w:val="20"/>
          <w:szCs w:val="20"/>
          <w:color w:val="auto"/>
        </w:rPr>
      </w:pPr>
    </w:p>
    <w:p>
      <w:pPr>
        <w:jc w:val="both"/>
        <w:ind w:left="780" w:right="440" w:hanging="219"/>
        <w:spacing w:after="0" w:line="255"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69" w:lineRule="exact"/>
        <w:rPr>
          <w:rFonts w:ascii="Arial" w:cs="Arial" w:eastAsia="Arial" w:hAnsi="Arial"/>
          <w:sz w:val="18"/>
          <w:szCs w:val="18"/>
          <w:color w:val="auto"/>
        </w:rPr>
      </w:pPr>
    </w:p>
    <w:p>
      <w:pPr>
        <w:ind w:left="780" w:right="540" w:hanging="219"/>
        <w:spacing w:after="0" w:line="27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as amended;</w:t>
      </w:r>
    </w:p>
    <w:p>
      <w:pPr>
        <w:spacing w:after="0" w:line="50" w:lineRule="exact"/>
        <w:rPr>
          <w:rFonts w:ascii="Arial" w:cs="Arial" w:eastAsia="Arial" w:hAnsi="Arial"/>
          <w:sz w:val="18"/>
          <w:szCs w:val="18"/>
          <w:color w:val="auto"/>
        </w:rPr>
      </w:pPr>
    </w:p>
    <w:p>
      <w:pPr>
        <w:ind w:left="780" w:right="460" w:hanging="219"/>
        <w:spacing w:after="0" w:line="27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w:t>
      </w:r>
    </w:p>
    <w:p>
      <w:pPr>
        <w:spacing w:after="0" w:line="50" w:lineRule="exact"/>
        <w:rPr>
          <w:rFonts w:ascii="Arial" w:cs="Arial" w:eastAsia="Arial" w:hAnsi="Arial"/>
          <w:sz w:val="18"/>
          <w:szCs w:val="18"/>
          <w:color w:val="auto"/>
        </w:rPr>
      </w:pPr>
    </w:p>
    <w:p>
      <w:pPr>
        <w:ind w:left="780" w:right="840" w:hanging="219"/>
        <w:spacing w:after="0" w:line="27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or golden parachute arrangements; and</w:t>
      </w:r>
    </w:p>
    <w:p>
      <w:pPr>
        <w:spacing w:after="0" w:line="50" w:lineRule="exact"/>
        <w:rPr>
          <w:rFonts w:ascii="Arial" w:cs="Arial" w:eastAsia="Arial" w:hAnsi="Arial"/>
          <w:sz w:val="18"/>
          <w:szCs w:val="18"/>
          <w:color w:val="auto"/>
        </w:rPr>
      </w:pPr>
    </w:p>
    <w:p>
      <w:pPr>
        <w:ind w:left="780" w:right="980" w:hanging="219"/>
        <w:spacing w:after="0" w:line="27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4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We may take advantage of these provisions until we no longer qualify as an emerging growth company. We will cease to qualify as an emerging growth company on the date that is the earliest of: (i) the December 31, 2025, (ii) the last day of the fiscal year in which we have more than $ 1.07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Accordingly, the information contained herein may be different than you might obtain from other public companies in which you hold equity interests.</w:t>
      </w:r>
    </w:p>
    <w:p>
      <w:pPr>
        <w:spacing w:after="0" w:line="180" w:lineRule="exact"/>
        <w:rPr>
          <w:sz w:val="20"/>
          <w:szCs w:val="20"/>
          <w:color w:val="auto"/>
        </w:rPr>
      </w:pPr>
    </w:p>
    <w:p>
      <w:pPr>
        <w:ind w:right="480" w:firstLine="562"/>
        <w:spacing w:after="0" w:line="276" w:lineRule="auto"/>
        <w:rPr>
          <w:sz w:val="20"/>
          <w:szCs w:val="20"/>
          <w:color w:val="auto"/>
        </w:rPr>
      </w:pPr>
      <w:r>
        <w:rPr>
          <w:rFonts w:ascii="Arial" w:cs="Arial" w:eastAsia="Arial" w:hAnsi="Arial"/>
          <w:sz w:val="18"/>
          <w:szCs w:val="18"/>
          <w:color w:val="auto"/>
        </w:rPr>
        <w:t>We are also a “smaller reporting company,” meaning that the market value of our shares held by non-affiliates plus the proposed aggregate amount of gross proceeds to us as a result of this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5" w:right="3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are a patient-centric gene therapy company focused on developing and commercializing AAV-based gene therapies for the treatment of monogenic diseases of the central nervous system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18 gene therapy product candidates, with exclusive options to acquire four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We expect to initiate a Phase 1/2 clinical trial of TSHA-101 for the treatment of GM2 gangliosidosis, under a Clinical Trial Application, or CTA, in Canada by the end of 2020. In addition, we plan to submit investigational new drug applications, or INDs, for four programs to the U.S. Food and Drug Administration, or the FDA, by the end of 2021: TSHA-101, TSHA-102 (Rett syndrome), TSHA-103 (SLC6A1 haploinsufficiency) and TSHA-104 (SURF1 deficiency). We are also developing TSHA-118 for the treatment of CLN1 disease (or infantile Batten disease) and intend to initiate a Phase 1/2 clinical trial of TSHA-118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177" w:lineRule="exact"/>
        <w:rPr>
          <w:sz w:val="20"/>
          <w:szCs w:val="20"/>
          <w:color w:val="auto"/>
        </w:rPr>
      </w:pPr>
    </w:p>
    <w:p>
      <w:pPr>
        <w:ind w:right="380" w:firstLine="562"/>
        <w:spacing w:after="0" w:line="245" w:lineRule="auto"/>
        <w:rPr>
          <w:sz w:val="20"/>
          <w:szCs w:val="20"/>
          <w:color w:val="auto"/>
        </w:rPr>
      </w:pPr>
      <w:r>
        <w:rPr>
          <w:rFonts w:ascii="Arial" w:cs="Arial" w:eastAsia="Arial" w:hAnsi="Arial"/>
          <w:sz w:val="18"/>
          <w:szCs w:val="18"/>
          <w:color w:val="auto"/>
        </w:rPr>
        <w:t>Our pipeline consists of AAV9-based gene therapies intended to be delivered using the intrathecal route of administration. Our manufacturing process utilizes suspension HEK293 cell culture that is highly scalable from the preclinical stages of development through commercialization. We believe this combination of AAV9, intrathecal delivery and suspension cell culture will accelerate our product development timelines while enhancing our probability of successfully developing and commercializing safe, efficacious therapies for patients.</w:t>
      </w:r>
    </w:p>
    <w:p>
      <w:pPr>
        <w:spacing w:after="0" w:line="172"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color w:val="auto"/>
        </w:rPr>
        <w:t>We use an adeno-associated virus serotype 9, or AAV9, capsid, to deliver therapeutic genes engineered to replace a mutated gene, enhance the expression of a silenced gene or decrease the expression of a gene, depending on the underlying biology of the specific disease. In preclinical studies, the AAV9 capsid has been observed to have significantly higher transduction efficiency in cells of the central nervous system, or CNS, in comparison to AAV serotypes used in other gene therapy programs. In third-party clinical trials, AAV9 has been shown to be well tolerated, and in 2019, Zolgensma was approved as the first systemic gene therapy utilizing AAV9 for the treatment of spinal muscular atrophy, or SMA, Type 1, a severe neurodegenerative disease.</w:t>
      </w:r>
    </w:p>
    <w:p>
      <w:pPr>
        <w:spacing w:after="0" w:line="174" w:lineRule="exact"/>
        <w:rPr>
          <w:sz w:val="20"/>
          <w:szCs w:val="20"/>
          <w:color w:val="auto"/>
        </w:rPr>
      </w:pPr>
    </w:p>
    <w:p>
      <w:pPr>
        <w:ind w:right="160" w:firstLine="562"/>
        <w:spacing w:after="0" w:line="248" w:lineRule="auto"/>
        <w:rPr>
          <w:sz w:val="20"/>
          <w:szCs w:val="20"/>
          <w:color w:val="auto"/>
        </w:rPr>
      </w:pPr>
      <w:r>
        <w:rPr>
          <w:rFonts w:ascii="Arial" w:cs="Arial" w:eastAsia="Arial" w:hAnsi="Arial"/>
          <w:sz w:val="18"/>
          <w:szCs w:val="18"/>
          <w:color w:val="auto"/>
        </w:rPr>
        <w:t>We use intrathecal administration, which involves direct delivery of our gene therapies to the cerebrospinal fluid, or CSF, to facilitate optimal biodistribution and cell transduction within the CNS. Because the CNS is immune-privileged, intrathecal gene therapy may be administered even in the presence of pre-existing antibodies to AAV. We believe that intrathecal delivery of AAV9-based gene therapies provides the highest likelihood of achieving transformative efficacy for patients suffering from severe, life-threatening neurological diseases.</w:t>
      </w:r>
    </w:p>
    <w:p>
      <w:pPr>
        <w:spacing w:after="0" w:line="170"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Our flexible manufacturing processes allow us to produce our gene therapy product candidates efficiently at scale. Through our partnership with UT Southwestern, we have access to a Good Manufacturing Practice-, or GMP-, compliant manufacturing suite that utilizes a suspension HEK293 process to produce AAV9. We believe this capacity will be sufficient to meet the clinical demand for our full pipeline of product candidates. We also intend to establish our own commercial-scale, GMP-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5"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compliant manufacturing facility to meet demand in the event that our product candidates receive marketing approval.</w:t>
      </w:r>
    </w:p>
    <w:p>
      <w:pPr>
        <w:spacing w:after="0" w:line="21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portfolio of gene therapy candidates targets broad neurological indications across three distinct therapeutic categories, which together have the potential to address over 500,000 patients in the United States and the European Union: neurodegenerative diseases, neurodevelopmental disorders and genetic epilepsies. Neurodegenerative diseases refer to conditions characterized by the progressive degeneration of the structures and functions of the CNS. Our neurodegenerative product candidates include TSHA-101 for the treatment of GM2 gangliosidosis, a family of severe neurodegenerative diseases that includes Tay-Sachs disease and Sandhoff disease, TSHA-118 for the treatment of CLN1, a progressive, fatal neurodegenerative disease with early childhood onset, and TSHA-104 for the treatment of SURF1 deficiency, a fatal, early-onset neurodegenerative disease. Neurodevelopmental disorders are a group of conditions with onset during the time when the brain is developing and are a reflection of disabilities associated primarily with the functioning of the neurological system and brain. One of our neurodevelopmental product candidates, TSHA-102, is in development for the treatment of Rett syndrome, which is one of the most common genetic causes of severe intellectual disability. Genetic epilepsies refer to disorders with recurrent seizures associated with abnormal development of the brain. One of our genetic epilepsy product candidates, TSHA-103, is in development for the treatment of SLC6A1 haploinsufficiency disorder, which is one of the most common monogenic causes of epilepsy. We expect to initiate a Phase 1/2 clinical trial of TSHA-101 by the end of 2020 under a CTA in Canada, and we plan to submit INDs to the FDA by the end of 2021 for each of TSHA-101, TSHA-102, TSHA-103 and TSHA-104. We intend to initiate a Phase 1/2 clinical trial of TSHA-118 under a currently open IND.</w:t>
      </w:r>
    </w:p>
    <w:p>
      <w:pPr>
        <w:spacing w:after="0" w:line="17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have established an exclusive, differentiated partnership with UT Southwestern, one of the premier academic medical centers in the United States. We hold an exclusive, worldwide royalty-free license from UT Southwestern to discover, develop and commercialize gene therapies for our pipeline. Within the framework of our partnership, UT Southwestern will conduct discovery and preclinical research, lead IND-enabling studies, manufacture GMP vectors for use in preclinical studies and clinical trials and execute natural history studies to support the development of our product candidates. We are responsible for all clinical development, regulatory filings, strategy, commercial manufacturing and commercialization of approved product candidates. UT Southwestern has developed a state-of-the-art GMP viral vector manufacturing facility with the capacity to support the development of our product candidates from the discovery stage through early clinical development. We believe these factors differentiate our partnership with UT Southwestern from traditional collaborations between industry and academia and will enable us to advance our development programs with speed and scale. Our collaboration with UT Southwestern is led by Dr. Steven Gray, an expert in the development of AAV-based gene therapies for CNS disorders, and Dr. Berge Minassian, an expert in the diagnosis, management and treatment of rare pediatric neurological disorders. Drs. Gray and Minassian are also our scientific founders and currently serve as our Chief Scientific Advisor and Chief Medical Advisor, respectively.</w:t>
      </w:r>
    </w:p>
    <w:p>
      <w:pPr>
        <w:spacing w:after="0" w:line="183"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We believe that we have established a unique position in advancing the development of gene therapies. Our scientific founders, Drs. Gray and Minassian, have extensive experience in developing gene therapies and conducting clinical trials for complex CNS diseases. Our management team has significant experience in discovering, developing, manufacturing and commercializing gene therapies. The members of our leadership team have specialized expertise developed at companies including Audentes Therapeutics, AveXis, BioMarin, PTC Therapeutics, Rocket Pharmaceuticals, and Sanofi-Genzyme. Our board of directors played an integral role in the formation of our company and is comprised of Sean Nolan, the chairman of our board of directors and former Chief Executive Officer of AveXis, Phillip B. Donenberg, the former Chief Financial Officer of AveXis, Paul Manning of PBM Capital, Sukumar Nagendran, M.D., the former Chief Medical Officer of AveXis, and RA Session II, our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455" w:right="3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President, Chief Executive Officer and Founder. Since our inception, we have raised an aggregate of approximately $126.0 million of gross proceeds from the sale of preferred stock, including from leading institutional and life science investors.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Pipeline</w:t>
      </w:r>
    </w:p>
    <w:p>
      <w:pPr>
        <w:spacing w:after="0" w:line="214" w:lineRule="exact"/>
        <w:rPr>
          <w:sz w:val="20"/>
          <w:szCs w:val="20"/>
          <w:color w:val="auto"/>
        </w:rPr>
      </w:pPr>
    </w:p>
    <w:p>
      <w:pPr>
        <w:ind w:right="220" w:firstLine="562"/>
        <w:spacing w:after="0" w:line="245" w:lineRule="auto"/>
        <w:rPr>
          <w:sz w:val="20"/>
          <w:szCs w:val="20"/>
          <w:color w:val="auto"/>
        </w:rPr>
      </w:pPr>
      <w:r>
        <w:rPr>
          <w:rFonts w:ascii="Arial" w:cs="Arial" w:eastAsia="Arial" w:hAnsi="Arial"/>
          <w:sz w:val="18"/>
          <w:szCs w:val="18"/>
          <w:color w:val="auto"/>
        </w:rPr>
        <w:t>We are advancing a deep and sustainable product portfolio of 18 gene therapy product candidates for monogenic diseases of the CNS in both rare and large patient populations, with exclusive options to acquire four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63500</wp:posOffset>
            </wp:positionV>
            <wp:extent cx="5143500" cy="27857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 xml:space="preserve">TSHA-101, a neurodegenerative disease product candidate, is being developed for the treatment of GM2 gangliosidosis, including Tay-Sachs disease and Sandhoff disease. GM2 gangliosidosis refers to a group of lysosomal storage disorders resulting from a deficiency in the ß-hexosaminidase A enzyme, leading to an accumulation of GM2 ganglioside in lysosomes and ultimately neuronal cell death and neurodegeneration. We are developing TSHA-101 as a bicistronic </w:t>
      </w:r>
      <w:r>
        <w:rPr>
          <w:rFonts w:ascii="Arial" w:cs="Arial" w:eastAsia="Arial" w:hAnsi="Arial"/>
          <w:sz w:val="18"/>
          <w:szCs w:val="18"/>
          <w:i w:val="1"/>
          <w:iCs w:val="1"/>
          <w:color w:val="auto"/>
        </w:rPr>
        <w:t>HEXB</w:t>
      </w:r>
      <w:r>
        <w:rPr>
          <w:rFonts w:ascii="Arial" w:cs="Arial" w:eastAsia="Arial" w:hAnsi="Arial"/>
          <w:sz w:val="18"/>
          <w:szCs w:val="18"/>
          <w:color w:val="auto"/>
        </w:rPr>
        <w:t>P2A-</w:t>
      </w:r>
      <w:r>
        <w:rPr>
          <w:rFonts w:ascii="Arial" w:cs="Arial" w:eastAsia="Arial" w:hAnsi="Arial"/>
          <w:sz w:val="18"/>
          <w:szCs w:val="18"/>
          <w:i w:val="1"/>
          <w:iCs w:val="1"/>
          <w:color w:val="auto"/>
        </w:rPr>
        <w:t>HEXA</w:t>
      </w:r>
      <w:r>
        <w:rPr>
          <w:rFonts w:ascii="Arial" w:cs="Arial" w:eastAsia="Arial" w:hAnsi="Arial"/>
          <w:sz w:val="18"/>
          <w:szCs w:val="18"/>
          <w:color w:val="auto"/>
        </w:rPr>
        <w:t xml:space="preserve"> transgene packaged into an AAV9 vector under the control of a CAG promoter. We plan to initiate a Phase 1/2 clinical trial of TSHA-101 by the end of 2020 under a CTA in Canada, and we plan to submit an IND to the FDA and initiate a clinical trial by the end of 2021.</w:t>
      </w:r>
    </w:p>
    <w:p>
      <w:pPr>
        <w:spacing w:after="0" w:line="17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 xml:space="preserve">TSHA-118, a neurodegenerative disease product candidate, is being developed for the treatment of CLN1 disease (or infantile Batten disease), a lysosomal storage disorder that is a progressive, fatal disease with early childhood onset. TSHA-118 is a self-complementary AAV9 viral vector that expresses human codon-optimized </w:t>
      </w:r>
      <w:r>
        <w:rPr>
          <w:rFonts w:ascii="Arial" w:cs="Arial" w:eastAsia="Arial" w:hAnsi="Arial"/>
          <w:sz w:val="18"/>
          <w:szCs w:val="18"/>
          <w:i w:val="1"/>
          <w:iCs w:val="1"/>
          <w:color w:val="auto"/>
        </w:rPr>
        <w:t>CLN1</w:t>
      </w:r>
      <w:r>
        <w:rPr>
          <w:rFonts w:ascii="Arial" w:cs="Arial" w:eastAsia="Arial" w:hAnsi="Arial"/>
          <w:sz w:val="18"/>
          <w:szCs w:val="18"/>
          <w:color w:val="auto"/>
        </w:rPr>
        <w:t xml:space="preserve"> complementary deoxyribonucleic acid under control of the chicken ß-actin hybrid promoter. Preclinical studies evaluating safety and biodistribution have been conducted, and we plan to conduct a Phase 1/2 clinical trial of TSHA-118 under a currently open IND.</w:t>
      </w:r>
    </w:p>
    <w:p>
      <w:pPr>
        <w:spacing w:after="0" w:line="172"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TSHA-102, a neurodevelopmental disorder product candidate, is being developed for the treatment of Rett syndrome, one of the most common genetic causes of severe intellectual disability,</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455" w:right="3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characterized by rapid developmental regression and in many cases caused by heterozygous loss of function mutations in </w:t>
      </w:r>
      <w:r>
        <w:rPr>
          <w:rFonts w:ascii="Arial" w:cs="Arial" w:eastAsia="Arial" w:hAnsi="Arial"/>
          <w:sz w:val="18"/>
          <w:szCs w:val="18"/>
          <w:i w:val="1"/>
          <w:iCs w:val="1"/>
          <w:color w:val="auto"/>
        </w:rPr>
        <w:t>MECP2</w:t>
      </w:r>
      <w:r>
        <w:rPr>
          <w:rFonts w:ascii="Arial" w:cs="Arial" w:eastAsia="Arial" w:hAnsi="Arial"/>
          <w:sz w:val="18"/>
          <w:szCs w:val="18"/>
          <w:color w:val="auto"/>
        </w:rPr>
        <w:t xml:space="preserve">, a gene essential for neuronal and synaptic function in the brain. We designed TSHA-102 to prevent gene overexpression-related toxicity by inserting microRNA, or miRNA, targets into the 3’ untranslated region of viral genomes. This overexpression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is seen in the clinic in patients with a condition known as Rett duplication syndrome, where elevated levels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result in a clinical phenotype similar to Rett syndrome both in terms of symptoms and severity. TSHA-102 is constructed from a neuronal specific promoter, MeP426, coupled with the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transgene, a truncated version of </w:t>
      </w:r>
      <w:r>
        <w:rPr>
          <w:rFonts w:ascii="Arial" w:cs="Arial" w:eastAsia="Arial" w:hAnsi="Arial"/>
          <w:sz w:val="18"/>
          <w:szCs w:val="18"/>
          <w:i w:val="1"/>
          <w:iCs w:val="1"/>
          <w:color w:val="auto"/>
        </w:rPr>
        <w:t>MECP2</w:t>
      </w:r>
      <w:r>
        <w:rPr>
          <w:rFonts w:ascii="Arial" w:cs="Arial" w:eastAsia="Arial" w:hAnsi="Arial"/>
          <w:sz w:val="18"/>
          <w:szCs w:val="18"/>
          <w:color w:val="auto"/>
        </w:rPr>
        <w:t>, and miRNA-Responsive Auto-Regulatory Element, or miRARE, our novel miRNA target panel, packaged in self-complementary AAV9. We plan to submit an IND for TSHA-102 to the FDA and initiate a clinical trial by the end of 2021.</w:t>
      </w:r>
    </w:p>
    <w:p>
      <w:pPr>
        <w:spacing w:after="0" w:line="179"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TSHA-103, a genetic epilepsy product candidate, is being developed for the treatment of SLC6A1 haploinsufficiency disorder, one of the most common monogenic causes of epilepsy characterized by myoclonic atonic seizures, autism spectrum disorder and intellectual disability. TSHA-103 is constructed from a codon-optimized version of the human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packaged within a self-complementary AAV9 viral vector under the control of a JeT promoter. We plan to submit an IND for TSHA-103 to the FDA and initiate a clinical trial by the end of 2021.</w:t>
      </w:r>
    </w:p>
    <w:p>
      <w:pPr>
        <w:spacing w:after="0" w:line="172" w:lineRule="exact"/>
        <w:rPr>
          <w:sz w:val="20"/>
          <w:szCs w:val="20"/>
          <w:color w:val="auto"/>
        </w:rPr>
      </w:pPr>
    </w:p>
    <w:p>
      <w:pPr>
        <w:ind w:right="220" w:firstLine="562"/>
        <w:spacing w:after="0" w:line="268" w:lineRule="auto"/>
        <w:rPr>
          <w:sz w:val="20"/>
          <w:szCs w:val="20"/>
          <w:color w:val="auto"/>
        </w:rPr>
      </w:pPr>
      <w:r>
        <w:rPr>
          <w:rFonts w:ascii="Arial" w:cs="Arial" w:eastAsia="Arial" w:hAnsi="Arial"/>
          <w:sz w:val="17"/>
          <w:szCs w:val="17"/>
          <w:color w:val="auto"/>
        </w:rPr>
        <w:t xml:space="preserve">TSHA-104, a neurodegenerative disease product candidate, is being developed for the treatment of Surfeit locus 1, or SURF1, deficiency, a fatal, early-onset neurodegenerative disease. TSHA-104 is constructed from a codon-optimized version of the human </w:t>
      </w:r>
      <w:r>
        <w:rPr>
          <w:rFonts w:ascii="Arial" w:cs="Arial" w:eastAsia="Arial" w:hAnsi="Arial"/>
          <w:sz w:val="17"/>
          <w:szCs w:val="17"/>
          <w:i w:val="1"/>
          <w:iCs w:val="1"/>
          <w:color w:val="auto"/>
        </w:rPr>
        <w:t>SURF1</w:t>
      </w:r>
      <w:r>
        <w:rPr>
          <w:rFonts w:ascii="Arial" w:cs="Arial" w:eastAsia="Arial" w:hAnsi="Arial"/>
          <w:sz w:val="17"/>
          <w:szCs w:val="17"/>
          <w:color w:val="auto"/>
        </w:rPr>
        <w:t xml:space="preserve"> gene packaged within a self-complementary AAV9 viral vector under the control of a modified version of the chicken ß-actin, or CBA, promoter CBA hybrid intron, or CBh. We plan to submit an IND for TSHA-104 to the FDA and initiate a clinical trial by the end of 2021.</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Strategic Partnership with The University of Texas Southwestern Medical Center</w:t>
      </w:r>
    </w:p>
    <w:p>
      <w:pPr>
        <w:spacing w:after="0" w:line="21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We have established a differentiated partnership with UT Southwestern, one of the premier academic medical centers in the United States with a focus on integrating pioneering biomedical research with exceptional clinical care and education. The UT Southwestern Gene Therapy Program is led by Steven Gray, Ph.D., Director of the Viral Vector Core and Associate Professor in the Department of Pediatrics, and Berge Minassian, M.D., Division Chief of Child Neurology.</w:t>
      </w:r>
    </w:p>
    <w:p>
      <w:pPr>
        <w:spacing w:after="0" w:line="170"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 xml:space="preserve">Dr. Gray serves as our Chief Scientific Advisor. His core expertise is in AAV-based gene therapy vector engineering and optimizing approaches to deliver therapeutic transgene to the CNS. His research also includes the design and execution of preclinical studies to apply these approaches toward the development of treatments for neurological diseases including giant axonal neuropathy, or GAN, Krabbe disease, Batten disease, Tay-Sachs disease, Sandhoff disease and Rett syndrome. He is the lead investigator on the GAN gene therapy project, which was the first clinical development program to deliver AAV9 through intrathecal administration. Dr. Gray has published over 50 peer-reviewed papers in journals such as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w:t>
      </w:r>
      <w:r>
        <w:rPr>
          <w:rFonts w:ascii="Arial" w:cs="Arial" w:eastAsia="Arial" w:hAnsi="Arial"/>
          <w:sz w:val="18"/>
          <w:szCs w:val="18"/>
          <w:i w:val="1"/>
          <w:iCs w:val="1"/>
          <w:color w:val="auto"/>
        </w:rPr>
        <w:t>Molecular Therapy</w:t>
      </w:r>
      <w:r>
        <w:rPr>
          <w:rFonts w:ascii="Arial" w:cs="Arial" w:eastAsia="Arial" w:hAnsi="Arial"/>
          <w:sz w:val="18"/>
          <w:szCs w:val="18"/>
          <w:color w:val="auto"/>
        </w:rPr>
        <w:t xml:space="preserve">, </w:t>
      </w:r>
      <w:r>
        <w:rPr>
          <w:rFonts w:ascii="Arial" w:cs="Arial" w:eastAsia="Arial" w:hAnsi="Arial"/>
          <w:sz w:val="18"/>
          <w:szCs w:val="18"/>
          <w:i w:val="1"/>
          <w:iCs w:val="1"/>
          <w:color w:val="auto"/>
        </w:rPr>
        <w:t>Nature Biotechnology</w:t>
      </w:r>
      <w:r>
        <w:rPr>
          <w:rFonts w:ascii="Arial" w:cs="Arial" w:eastAsia="Arial" w:hAnsi="Arial"/>
          <w:sz w:val="18"/>
          <w:szCs w:val="18"/>
          <w:color w:val="auto"/>
        </w:rPr>
        <w:t xml:space="preserve">, </w:t>
      </w:r>
      <w:r>
        <w:rPr>
          <w:rFonts w:ascii="Arial" w:cs="Arial" w:eastAsia="Arial" w:hAnsi="Arial"/>
          <w:sz w:val="18"/>
          <w:szCs w:val="18"/>
          <w:i w:val="1"/>
          <w:iCs w:val="1"/>
          <w:color w:val="auto"/>
        </w:rPr>
        <w:t>Gene Therapy</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Proceedings of the National Academy of Sciences</w:t>
      </w:r>
      <w:r>
        <w:rPr>
          <w:rFonts w:ascii="Arial" w:cs="Arial" w:eastAsia="Arial" w:hAnsi="Arial"/>
          <w:sz w:val="18"/>
          <w:szCs w:val="18"/>
          <w:color w:val="auto"/>
        </w:rPr>
        <w:t>. His research has been funded by the National Institute for Neurological Disorders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Stroke, as well as numerous large and small research foundations and patient advocacy organizations. In 2019, Dr. Gray was the recipient of the American Society for Gene and Cell Therapy Outstanding New Investigator Award. He earned his Ph.D. in molecular biology from Vanderbilt University and a B.S. with honors from Auburn University. He performed his postdoctoral fellowship focusing on gene therapy in the laboratory of world-renowned gene therapy expert Jude Samulski at the University of North Carolina, Chapel Hill.</w:t>
      </w:r>
    </w:p>
    <w:p>
      <w:pPr>
        <w:spacing w:after="0" w:line="176" w:lineRule="exact"/>
        <w:rPr>
          <w:sz w:val="20"/>
          <w:szCs w:val="20"/>
          <w:color w:val="auto"/>
        </w:rPr>
      </w:pPr>
    </w:p>
    <w:p>
      <w:pPr>
        <w:ind w:right="1280" w:firstLine="562"/>
        <w:spacing w:after="0" w:line="276" w:lineRule="auto"/>
        <w:rPr>
          <w:sz w:val="20"/>
          <w:szCs w:val="20"/>
          <w:color w:val="auto"/>
        </w:rPr>
      </w:pPr>
      <w:r>
        <w:rPr>
          <w:rFonts w:ascii="Arial" w:cs="Arial" w:eastAsia="Arial" w:hAnsi="Arial"/>
          <w:sz w:val="18"/>
          <w:szCs w:val="18"/>
          <w:color w:val="auto"/>
        </w:rPr>
        <w:t>Dr. Minassian serves as our Chief Medical Advisor. He is a Professor in the Departments of Pediatrics, Neurology and Neurotherapeutics and Neuroscience at UT Southwestern. He is the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455" w:right="3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Division Chief of Child Neurology and serves on the faculty of the Children’s Medical Center Research Institute at UT Southwestern. Dr. Minassian is a pediatric neurologist whose clinical specialties are epilepsy, neurodegenerative diseases and neurodevelopmental conditions. In 2004, Dr. Minassian described a new </w:t>
      </w:r>
      <w:r>
        <w:rPr>
          <w:rFonts w:ascii="Arial" w:cs="Arial" w:eastAsia="Arial" w:hAnsi="Arial"/>
          <w:sz w:val="18"/>
          <w:szCs w:val="18"/>
          <w:i w:val="1"/>
          <w:iCs w:val="1"/>
          <w:color w:val="auto"/>
        </w:rPr>
        <w:t>MECP2</w:t>
      </w:r>
      <w:r>
        <w:rPr>
          <w:rFonts w:ascii="Arial" w:cs="Arial" w:eastAsia="Arial" w:hAnsi="Arial"/>
          <w:sz w:val="18"/>
          <w:szCs w:val="18"/>
          <w:color w:val="auto"/>
        </w:rPr>
        <w:t xml:space="preserve"> isoform, </w:t>
      </w:r>
      <w:r>
        <w:rPr>
          <w:rFonts w:ascii="Arial" w:cs="Arial" w:eastAsia="Arial" w:hAnsi="Arial"/>
          <w:sz w:val="18"/>
          <w:szCs w:val="18"/>
          <w:i w:val="1"/>
          <w:iCs w:val="1"/>
          <w:color w:val="auto"/>
        </w:rPr>
        <w:t>MECP2B</w:t>
      </w:r>
      <w:r>
        <w:rPr>
          <w:rFonts w:ascii="Arial" w:cs="Arial" w:eastAsia="Arial" w:hAnsi="Arial"/>
          <w:sz w:val="18"/>
          <w:szCs w:val="18"/>
          <w:color w:val="auto"/>
        </w:rPr>
        <w:t xml:space="preserve"> and its encoded protein MECP2B. Dr. Minassian is also credited with discovering the </w:t>
      </w:r>
      <w:r>
        <w:rPr>
          <w:rFonts w:ascii="Arial" w:cs="Arial" w:eastAsia="Arial" w:hAnsi="Arial"/>
          <w:sz w:val="18"/>
          <w:szCs w:val="18"/>
          <w:i w:val="1"/>
          <w:iCs w:val="1"/>
          <w:color w:val="auto"/>
        </w:rPr>
        <w:t>EPM2A and EPM2B</w:t>
      </w:r>
      <w:r>
        <w:rPr>
          <w:rFonts w:ascii="Arial" w:cs="Arial" w:eastAsia="Arial" w:hAnsi="Arial"/>
          <w:sz w:val="18"/>
          <w:szCs w:val="18"/>
          <w:color w:val="auto"/>
        </w:rPr>
        <w:t xml:space="preserve"> genes that cause Lafora disease. He has published more than 120 scholarly articles and authored or contributed to 10 books, and his many professional honors include the Jacob’s Ladder 2014 Norman Saunders International Research Prize for Outstanding Scientist, the American Academy of Neurology 2007 Dreifuss-Penry Epilepsy Award, the Canadian Pediatric Society 2008 Sanofi Pasteur Research Award and the American Epilepsy Society 1996 Young Investigator Award. Dr. Minassian is a Fellow (Neurology) of the Royal College of Physicians and Surgeons of Canada.</w:t>
      </w:r>
    </w:p>
    <w:p>
      <w:pPr>
        <w:spacing w:after="0" w:line="180"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Our partnership with UT Southwestern is differentiated from traditional collaborations between industry and academia due to our access to UT Southwestern’s faculty, manufacturing facility and integrated research and clinical care approach, which, together, we believe will enable us to advance our development programs with speed and scale. Under the terms of our collaboration and license agreement with UT Southwestern, we have received an exclusive, worldwide royalty-free license to discover, develop and commercialize gene therapies for our pipeline.</w:t>
      </w:r>
    </w:p>
    <w:p>
      <w:pPr>
        <w:spacing w:after="0" w:line="172"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Through our partnership, we are able to leverage the collective expertise of UT Southwestern researchers, clinicians and investigators with decades of experience in conducting cutting-edge research and providing clinical care, including in the neurodegenerative disease, neurodevelopmental disorder and genetic epilepsy therapeutic categories. Drs. Gray and Minassian expect significant growth in the number of researchers, clinicians, scientists and experts in gene therapy process development and manufacturing affiliated with the Gene Therapy Program over the next five years.</w:t>
      </w:r>
    </w:p>
    <w:p>
      <w:pPr>
        <w:spacing w:after="0" w:line="172"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UT Southwestern’s state-of-the art, GMP viral vector manufacturing facility consists of a full process development laboratory and 500 liter GMP suite with the capacity to support multiple preclinical and early clinical development efforts in parallel.</w:t>
      </w:r>
    </w:p>
    <w:p>
      <w:pPr>
        <w:spacing w:after="0" w:line="145"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UT Southwestern is home a major pediatric neurology residency program. Dr. Minassian has spent more than two decades diagnosing patients with rare, often fatal disorders of the CNS. Dr. Minassian is focused on transforming the practice of clinical neurology through a commitment to integrating patient care and teaching, with the goal of fostering the development of new disease-modifying therapies. This unique integration of research and clinical care provides us with key insights into our patients’ disease and its progression, symptoms and impact on quality of life. We plan to use these insights to design and refine our preclinical studies and clinical trials, understand incidence, prevalence and molecular epidemiology of the diseases and disorders we intend to treat, select the appropriate clinical endpoints for our efficacy studies and identify and characterize serum and imaging biomarkers. We also expect that UT Southwestern will serve as a source of enrollment for our clinical trials, which is critically important for the less prevalent diseases in our pipeline. We collaborate with UT Southwestern to foster relationships with patient advocacy organizations and research foundations, including the National Tay-Sachs &amp; Allied Diseases Association, Cure and Action for Tay-Sachs, SLC6A1 Connect, TESS Research Foundation, Cure Surf1 Foundation, Rett Syndrome Research Trust and FOXG1 Research Foundation.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5"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right="420" w:firstLine="562"/>
        <w:spacing w:after="0" w:line="306" w:lineRule="auto"/>
        <w:rPr>
          <w:sz w:val="20"/>
          <w:szCs w:val="20"/>
          <w:color w:val="auto"/>
        </w:rPr>
      </w:pPr>
      <w:r>
        <w:rPr>
          <w:rFonts w:ascii="Arial" w:cs="Arial" w:eastAsia="Arial" w:hAnsi="Arial"/>
          <w:sz w:val="17"/>
          <w:szCs w:val="17"/>
          <w:color w:val="auto"/>
        </w:rPr>
        <w:t>We are building a patient-centric business with the goal of developing AAV-based gene therapies for the treatment of monogenic diseases of the CNS in both rare and large patient populations. We are focused on executing the following elements of our strategy:</w:t>
      </w:r>
    </w:p>
    <w:p>
      <w:pPr>
        <w:spacing w:after="0" w:line="26" w:lineRule="exact"/>
        <w:rPr>
          <w:sz w:val="20"/>
          <w:szCs w:val="20"/>
          <w:color w:val="auto"/>
        </w:rPr>
      </w:pPr>
    </w:p>
    <w:p>
      <w:pPr>
        <w:ind w:left="780" w:right="100" w:hanging="219"/>
        <w:spacing w:after="0" w:line="24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Build a sustainable gene therapy company. </w:t>
      </w:r>
      <w:r>
        <w:rPr>
          <w:rFonts w:ascii="Arial" w:cs="Arial" w:eastAsia="Arial" w:hAnsi="Arial"/>
          <w:sz w:val="18"/>
          <w:szCs w:val="18"/>
          <w:color w:val="auto"/>
        </w:rPr>
        <w:t>Our goal is to build a gene therapy company with a sustainable pipeline of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and a consistent stream of new commercial product launches. To that end, we are focused on advancing our current pipeline of AAV9-based gene therapies while actively developing our next-generation platforms to discover and develop additional product candidates.</w:t>
      </w:r>
    </w:p>
    <w:p>
      <w:pPr>
        <w:spacing w:after="0" w:line="72" w:lineRule="exact"/>
        <w:rPr>
          <w:rFonts w:ascii="Arial" w:cs="Arial" w:eastAsia="Arial" w:hAnsi="Arial"/>
          <w:sz w:val="18"/>
          <w:szCs w:val="18"/>
          <w:color w:val="auto"/>
        </w:rPr>
      </w:pPr>
    </w:p>
    <w:p>
      <w:pPr>
        <w:ind w:left="780" w:hanging="219"/>
        <w:spacing w:after="0" w:line="241"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Advance our lead product candidates through clinical trials to commercialization. </w:t>
      </w:r>
      <w:r>
        <w:rPr>
          <w:rFonts w:ascii="Arial" w:cs="Arial" w:eastAsia="Arial" w:hAnsi="Arial"/>
          <w:sz w:val="18"/>
          <w:szCs w:val="18"/>
          <w:color w:val="auto"/>
        </w:rPr>
        <w:t>Our product portfolio currently consists of</w:t>
      </w:r>
      <w:r>
        <w:rPr>
          <w:rFonts w:ascii="Arial" w:cs="Arial" w:eastAsia="Arial" w:hAnsi="Arial"/>
          <w:sz w:val="18"/>
          <w:szCs w:val="18"/>
          <w:b w:val="1"/>
          <w:bCs w:val="1"/>
          <w:color w:val="auto"/>
        </w:rPr>
        <w:t xml:space="preserve"> </w:t>
      </w:r>
      <w:r>
        <w:rPr>
          <w:rFonts w:ascii="Arial" w:cs="Arial" w:eastAsia="Arial" w:hAnsi="Arial"/>
          <w:sz w:val="18"/>
          <w:szCs w:val="18"/>
          <w:color w:val="auto"/>
        </w:rPr>
        <w:t>18 gene therapy product candidates targeting a diverse set of rare and prevalent CNS indications, with exclusive options to acquire four additional development programs from UT Southwestern at no cost. We intend to develop, seek regulatory approval and commercialize each product candidate in our portfolio. We expect to initiate a Phase 1/2 clinical trial of TSHA-101, a neurodegenerative product candidate, by the end of 2020, and we plan to submit INDs to the FDA for four programs by the end of 2021: TSHA-101, TSHA-102, TSHA-103 and TSHA-104. We intend to initiate a Phase 1/2 clinical trial of TSHA-118 under a currently open IND. If our clinical trials are successful, we plan to discuss expedited regulatory approval strategies with regulatory authorities.</w:t>
      </w:r>
    </w:p>
    <w:p>
      <w:pPr>
        <w:spacing w:after="0" w:line="78" w:lineRule="exact"/>
        <w:rPr>
          <w:rFonts w:ascii="Arial" w:cs="Arial" w:eastAsia="Arial" w:hAnsi="Arial"/>
          <w:sz w:val="18"/>
          <w:szCs w:val="18"/>
          <w:color w:val="auto"/>
        </w:rPr>
      </w:pPr>
    </w:p>
    <w:p>
      <w:pPr>
        <w:ind w:left="780" w:right="340" w:hanging="219"/>
        <w:spacing w:after="0" w:line="245"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relationship with UT Southwestern. </w:t>
      </w:r>
      <w:r>
        <w:rPr>
          <w:rFonts w:ascii="Arial" w:cs="Arial" w:eastAsia="Arial" w:hAnsi="Arial"/>
          <w:sz w:val="18"/>
          <w:szCs w:val="18"/>
          <w:color w:val="auto"/>
        </w:rPr>
        <w:t>We are anchored by a differentiated strategic partnership with UT</w:t>
      </w:r>
      <w:r>
        <w:rPr>
          <w:rFonts w:ascii="Arial" w:cs="Arial" w:eastAsia="Arial" w:hAnsi="Arial"/>
          <w:sz w:val="18"/>
          <w:szCs w:val="18"/>
          <w:b w:val="1"/>
          <w:bCs w:val="1"/>
          <w:color w:val="auto"/>
        </w:rPr>
        <w:t xml:space="preserve"> </w:t>
      </w:r>
      <w:r>
        <w:rPr>
          <w:rFonts w:ascii="Arial" w:cs="Arial" w:eastAsia="Arial" w:hAnsi="Arial"/>
          <w:sz w:val="18"/>
          <w:szCs w:val="18"/>
          <w:color w:val="auto"/>
        </w:rPr>
        <w:t>Southwestern that allows us to access a highly experienced team of researchers and clinicians with deep experience in the underlying biology and treatment of monogenic CNS disorders and the patient populations that they treat. We believe that our partnership with UT Southwestern provides us with a significant advantage to discover, develop and commercialize novel gene therapies.</w:t>
      </w:r>
    </w:p>
    <w:p>
      <w:pPr>
        <w:spacing w:after="0" w:line="77" w:lineRule="exact"/>
        <w:rPr>
          <w:rFonts w:ascii="Arial" w:cs="Arial" w:eastAsia="Arial" w:hAnsi="Arial"/>
          <w:sz w:val="18"/>
          <w:szCs w:val="18"/>
          <w:color w:val="auto"/>
        </w:rPr>
      </w:pPr>
    </w:p>
    <w:p>
      <w:pPr>
        <w:ind w:left="780" w:hanging="219"/>
        <w:spacing w:after="0" w:line="23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Utilize scalable manufacturing technologies. </w:t>
      </w:r>
      <w:r>
        <w:rPr>
          <w:rFonts w:ascii="Arial" w:cs="Arial" w:eastAsia="Arial" w:hAnsi="Arial"/>
          <w:sz w:val="18"/>
          <w:szCs w:val="18"/>
          <w:color w:val="auto"/>
        </w:rPr>
        <w:t>A critical component of the development of any complex biological therapy,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gene therapies, is the ability to manufacture the therapy efficiently at scale. Through our partnership with UT Southwestern, we have access to a flexible, scalable and well-characterized GMP manufacturing suite that utilizes a suspension HEK293 process to produce AAV9, which we believe will enable us to produce material suitable for clinical trials in a cost and time-efficient manner. We believe the capacity offered by UT Southwestern’s manufacturing facility will be sufficient to meet the clinical demand for our full pipeline of product candidates. Because we currently utilize the AAV9 capsid across our product portfolio, our product candidates differ primarily by their therapeutic transgene, and we believe that minimal changes to our optimized upstream and downstream processes are expected to be required to manufacture each product candidate. In addition, we intend to establish our own commercial scale GMP-compliant manufacturing facility to meet commercial demand if our product candidates receive marketing approval.</w:t>
      </w:r>
    </w:p>
    <w:p>
      <w:pPr>
        <w:spacing w:after="0" w:line="85" w:lineRule="exact"/>
        <w:rPr>
          <w:rFonts w:ascii="Arial" w:cs="Arial" w:eastAsia="Arial" w:hAnsi="Arial"/>
          <w:sz w:val="18"/>
          <w:szCs w:val="18"/>
          <w:color w:val="auto"/>
        </w:rPr>
      </w:pPr>
    </w:p>
    <w:p>
      <w:pPr>
        <w:ind w:left="780" w:right="80" w:hanging="219"/>
        <w:spacing w:after="0" w:line="24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Develop our next-generation platform technologies. </w:t>
      </w:r>
      <w:r>
        <w:rPr>
          <w:rFonts w:ascii="Arial" w:cs="Arial" w:eastAsia="Arial" w:hAnsi="Arial"/>
          <w:sz w:val="18"/>
          <w:szCs w:val="18"/>
          <w:color w:val="auto"/>
        </w:rPr>
        <w:t>In addition to our pipeline of AAV9-based gene therapies, we are actively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three distinct platform technologies to enable the discovery, development, and rapid translation of new gene therapies: a proprietary technology to allow redosing of AAV-based gene therapies, transgene regulation (miRARE) and novel capsid development.</w:t>
      </w:r>
    </w:p>
    <w:p>
      <w:pPr>
        <w:spacing w:after="0" w:line="72" w:lineRule="exact"/>
        <w:rPr>
          <w:rFonts w:ascii="Arial" w:cs="Arial" w:eastAsia="Arial" w:hAnsi="Arial"/>
          <w:sz w:val="18"/>
          <w:szCs w:val="18"/>
          <w:color w:val="auto"/>
        </w:rPr>
      </w:pPr>
    </w:p>
    <w:p>
      <w:pPr>
        <w:ind w:left="780" w:hanging="219"/>
        <w:spacing w:after="0" w:line="24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Evaluate strategic opportunities to accelerate development timelines and maximize the value of our product candidate pipeline. </w:t>
      </w:r>
      <w:r>
        <w:rPr>
          <w:rFonts w:ascii="Arial" w:cs="Arial" w:eastAsia="Arial" w:hAnsi="Arial"/>
          <w:sz w:val="18"/>
          <w:szCs w:val="18"/>
          <w:color w:val="auto"/>
        </w:rPr>
        <w:t>We are evaluating opportunities to maximize the value of our product candidate pipeline, including through a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structure in China. We believe these structures may provide us with the opportunity to leverage the financial and other resources of partners to advance the development of our product candidate pipeline in a key geography such as China.</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320" w:top="455" w:right="3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Approach</w:t>
      </w:r>
    </w:p>
    <w:p>
      <w:pPr>
        <w:spacing w:after="0" w:line="214" w:lineRule="exact"/>
        <w:rPr>
          <w:sz w:val="20"/>
          <w:szCs w:val="20"/>
          <w:color w:val="auto"/>
        </w:rPr>
      </w:pPr>
    </w:p>
    <w:p>
      <w:pPr>
        <w:ind w:firstLine="562"/>
        <w:spacing w:after="0" w:line="277" w:lineRule="auto"/>
        <w:rPr>
          <w:sz w:val="20"/>
          <w:szCs w:val="20"/>
          <w:color w:val="auto"/>
        </w:rPr>
      </w:pPr>
      <w:r>
        <w:rPr>
          <w:rFonts w:ascii="Arial" w:cs="Arial" w:eastAsia="Arial" w:hAnsi="Arial"/>
          <w:sz w:val="17"/>
          <w:szCs w:val="17"/>
          <w:color w:val="auto"/>
        </w:rPr>
        <w:t>Our approach to developing and commercializing gene therapies centers on the use of AAV9 delivered directly to the CSF using intrathecal administration. We manufacture our therapies using a scalable, HEK293 suspension-based process. We believe the combination of AAV9 manufactured in suspension and delivered intrathecally will allow us to advance the development candidates in our product pipeline.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AAV9, Intrathecal Administration and Manufacturing</w:t>
      </w:r>
    </w:p>
    <w:p>
      <w:pPr>
        <w:spacing w:after="0" w:line="104" w:lineRule="exact"/>
        <w:rPr>
          <w:sz w:val="20"/>
          <w:szCs w:val="20"/>
          <w:color w:val="auto"/>
        </w:rPr>
      </w:pPr>
    </w:p>
    <w:p>
      <w:pPr>
        <w:ind w:right="320" w:firstLine="562"/>
        <w:spacing w:after="0" w:line="245" w:lineRule="auto"/>
        <w:rPr>
          <w:sz w:val="20"/>
          <w:szCs w:val="20"/>
          <w:color w:val="auto"/>
        </w:rPr>
      </w:pPr>
      <w:r>
        <w:rPr>
          <w:rFonts w:ascii="Arial" w:cs="Arial" w:eastAsia="Arial" w:hAnsi="Arial"/>
          <w:sz w:val="18"/>
          <w:szCs w:val="18"/>
          <w:color w:val="auto"/>
        </w:rPr>
        <w:t>Since its discovery more than 50 years ago, AAV has been one of the most well studied vectors for the delivery of gene therapies, having been studied in over 250 clinical trials. We utilize AAV9, an AAV serotype with a unique ability to cross the blood-brain barrier and transduce cells of the CNS. AAV9 has been widely characterized across numerous preclinical studies and more than 15 ongoing or completed clinical trials and has a well-characterized biodistribution, safety, tolerability and efficacy profile. In 2019, the FDA approved Zolgensma, the first systemic gene therapy that utilizes AAV9, for the treatment of SMA Type 1 in infants.</w:t>
      </w:r>
    </w:p>
    <w:p>
      <w:pPr>
        <w:spacing w:after="0" w:line="172" w:lineRule="exact"/>
        <w:rPr>
          <w:sz w:val="20"/>
          <w:szCs w:val="20"/>
          <w:color w:val="auto"/>
        </w:rPr>
      </w:pPr>
    </w:p>
    <w:p>
      <w:pPr>
        <w:ind w:right="120" w:firstLine="562"/>
        <w:spacing w:after="0" w:line="239" w:lineRule="auto"/>
        <w:rPr>
          <w:sz w:val="20"/>
          <w:szCs w:val="20"/>
          <w:color w:val="auto"/>
        </w:rPr>
      </w:pPr>
      <w:r>
        <w:rPr>
          <w:rFonts w:ascii="Arial" w:cs="Arial" w:eastAsia="Arial" w:hAnsi="Arial"/>
          <w:sz w:val="18"/>
          <w:szCs w:val="18"/>
          <w:color w:val="auto"/>
        </w:rPr>
        <w:t>Intrathecal administration refers to the injection of a therapy directly into the CSF. The procedure is routinely performed in an outpatient setting and is generally well tolerated. We intend to administer our product candidates intrathecally, as we believe that intrathecal administration confers several advantages for the delivery of gene therapies to the CNS. In comparison to intravenous administration, intrathecal administration allows for a lower dose of the therapy, as the vector is confined to the CNS with limited uptake into off-target tissues. Because the CNS is immune-privileged, intrathecal gene therapy may be administered even in the presence of pre-existing antibodies to AAV. Finally, intrathecally delivered gene therapies have limited exposure to peripheral organs, which enables a higher concentration of vector to be delivered to the diseased tissue of interest. A growing body of literature supports the safety and relevance of lumbar intrathecal injection to deliver AAV9 to the CNS and achieve favorable biodistribution and transgene expression profiles. In comparison to other AAV serotypes, AAV9 administration through lumbar intrathecal injection has been shown to result in superior transduction of multiple cells within the CNS.</w:t>
      </w:r>
    </w:p>
    <w:p>
      <w:pPr>
        <w:spacing w:after="0" w:line="180" w:lineRule="exact"/>
        <w:rPr>
          <w:sz w:val="20"/>
          <w:szCs w:val="20"/>
          <w:color w:val="auto"/>
        </w:rPr>
      </w:pPr>
    </w:p>
    <w:p>
      <w:pPr>
        <w:ind w:right="140" w:firstLine="562"/>
        <w:spacing w:after="0" w:line="239" w:lineRule="auto"/>
        <w:rPr>
          <w:sz w:val="20"/>
          <w:szCs w:val="20"/>
          <w:color w:val="auto"/>
        </w:rPr>
      </w:pPr>
      <w:r>
        <w:rPr>
          <w:rFonts w:ascii="Arial" w:cs="Arial" w:eastAsia="Arial" w:hAnsi="Arial"/>
          <w:sz w:val="18"/>
          <w:szCs w:val="18"/>
          <w:color w:val="auto"/>
        </w:rPr>
        <w:t xml:space="preserve">We believe that intrathecally delivered AAV9-based gene therapies are more likely to achieve clinical and regulatory success than alternative delivery approaches. A third party is conducting a clinical trial of 32 patients to evaluate the efficacy, safety and tolerability of a one-time intrathecal administration of AAV9 delivering a copy of the </w:t>
      </w:r>
      <w:r>
        <w:rPr>
          <w:rFonts w:ascii="Arial" w:cs="Arial" w:eastAsia="Arial" w:hAnsi="Arial"/>
          <w:sz w:val="18"/>
          <w:szCs w:val="18"/>
          <w:i w:val="1"/>
          <w:iCs w:val="1"/>
          <w:color w:val="auto"/>
        </w:rPr>
        <w:t>SMN1</w:t>
      </w:r>
      <w:r>
        <w:rPr>
          <w:rFonts w:ascii="Arial" w:cs="Arial" w:eastAsia="Arial" w:hAnsi="Arial"/>
          <w:sz w:val="18"/>
          <w:szCs w:val="18"/>
          <w:color w:val="auto"/>
        </w:rPr>
        <w:t xml:space="preserve"> gene for the treatment of SMA Type 2. As of December 2019, a similar tolerability and adverse event profile had been observed in the patients receiving intrathecal delivery as compared to patients receiving intravenous delivery. The same third party has dosed over 600 patients intrathecally or intravenously with this AAV9 therapy and has observed that it has been well tolerated, with durability of up to five years post-dosing. In a third-party clinical trial of patients with CLN6 Batten disease, 12 infant and pediatric patients were dosed with AAV9 delivering </w:t>
      </w:r>
      <w:r>
        <w:rPr>
          <w:rFonts w:ascii="Arial" w:cs="Arial" w:eastAsia="Arial" w:hAnsi="Arial"/>
          <w:sz w:val="18"/>
          <w:szCs w:val="18"/>
          <w:i w:val="1"/>
          <w:iCs w:val="1"/>
          <w:color w:val="auto"/>
        </w:rPr>
        <w:t>CLN6</w:t>
      </w:r>
      <w:r>
        <w:rPr>
          <w:rFonts w:ascii="Arial" w:cs="Arial" w:eastAsia="Arial" w:hAnsi="Arial"/>
          <w:sz w:val="18"/>
          <w:szCs w:val="18"/>
          <w:color w:val="auto"/>
        </w:rPr>
        <w:t xml:space="preserve"> via intrathecal administration. In this trial, the AAV9 product candidate was well tolerated, with no drug-related adverse events observed. The same third party is currently conducting a clinical trial of an AAV9 product candidate delivering </w:t>
      </w:r>
      <w:r>
        <w:rPr>
          <w:rFonts w:ascii="Arial" w:cs="Arial" w:eastAsia="Arial" w:hAnsi="Arial"/>
          <w:sz w:val="18"/>
          <w:szCs w:val="18"/>
          <w:i w:val="1"/>
          <w:iCs w:val="1"/>
          <w:color w:val="auto"/>
        </w:rPr>
        <w:t>CLN3</w:t>
      </w:r>
      <w:r>
        <w:rPr>
          <w:rFonts w:ascii="Arial" w:cs="Arial" w:eastAsia="Arial" w:hAnsi="Arial"/>
          <w:sz w:val="18"/>
          <w:szCs w:val="18"/>
          <w:color w:val="auto"/>
        </w:rPr>
        <w:t xml:space="preserve"> via intrathecal administration. Four patients have been dosed to date, with no serious adverse events observed.</w:t>
      </w:r>
    </w:p>
    <w:p>
      <w:pPr>
        <w:spacing w:after="0" w:line="180" w:lineRule="exact"/>
        <w:rPr>
          <w:sz w:val="20"/>
          <w:szCs w:val="20"/>
          <w:color w:val="auto"/>
        </w:rPr>
      </w:pPr>
    </w:p>
    <w:p>
      <w:pPr>
        <w:ind w:right="400" w:firstLine="562"/>
        <w:spacing w:after="0" w:line="245" w:lineRule="auto"/>
        <w:rPr>
          <w:sz w:val="20"/>
          <w:szCs w:val="20"/>
          <w:color w:val="auto"/>
        </w:rPr>
      </w:pPr>
      <w:r>
        <w:rPr>
          <w:rFonts w:ascii="Arial" w:cs="Arial" w:eastAsia="Arial" w:hAnsi="Arial"/>
          <w:sz w:val="18"/>
          <w:szCs w:val="18"/>
          <w:color w:val="auto"/>
        </w:rPr>
        <w:t>We use a scalable production process for our product candidates using a suspension cell culture process in which mammalian HEK293 cells are transiently transfected with plasmid DNA. Our production process, including all process development, product characterization, analytical capabilities and purification techniques, is designed to efficiently scale to support our clinical and commercial development needs. The utilization of the AAV9 capsid across our product portfolio allows us to manufacture each product with minimal changes expected to be required to our optimized upstream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455" w:right="3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downstream process, since each of our product candidates differ primarily by their therapeutic transgene.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Therapeutic Strategy</w:t>
      </w:r>
    </w:p>
    <w:p>
      <w:pPr>
        <w:spacing w:after="0" w:line="212"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We design our product candidates based on the underlying biology of the disease target and the characteristics that we believe will result in maximum therapeutic benefit for patients.</w:t>
      </w:r>
    </w:p>
    <w:p>
      <w:pPr>
        <w:spacing w:after="0" w:line="143" w:lineRule="exact"/>
        <w:rPr>
          <w:sz w:val="20"/>
          <w:szCs w:val="20"/>
          <w:color w:val="auto"/>
        </w:rPr>
      </w:pPr>
    </w:p>
    <w:p>
      <w:pPr>
        <w:ind w:right="440" w:firstLine="562"/>
        <w:spacing w:after="0" w:line="249" w:lineRule="auto"/>
        <w:rPr>
          <w:sz w:val="20"/>
          <w:szCs w:val="20"/>
          <w:color w:val="auto"/>
        </w:rPr>
      </w:pPr>
      <w:r>
        <w:rPr>
          <w:rFonts w:ascii="Arial" w:cs="Arial" w:eastAsia="Arial" w:hAnsi="Arial"/>
          <w:sz w:val="18"/>
          <w:szCs w:val="18"/>
          <w:b w:val="1"/>
          <w:bCs w:val="1"/>
          <w:color w:val="auto"/>
        </w:rPr>
        <w:t xml:space="preserve">Gene replacement therapies. </w:t>
      </w:r>
      <w:r>
        <w:rPr>
          <w:rFonts w:ascii="Arial" w:cs="Arial" w:eastAsia="Arial" w:hAnsi="Arial"/>
          <w:sz w:val="18"/>
          <w:szCs w:val="18"/>
          <w:color w:val="auto"/>
        </w:rPr>
        <w:t>To treat diseases or disorders caused by a missing gene or limited expression of a gene due to</w:t>
      </w:r>
      <w:r>
        <w:rPr>
          <w:rFonts w:ascii="Arial" w:cs="Arial" w:eastAsia="Arial" w:hAnsi="Arial"/>
          <w:sz w:val="18"/>
          <w:szCs w:val="18"/>
          <w:b w:val="1"/>
          <w:bCs w:val="1"/>
          <w:color w:val="auto"/>
        </w:rPr>
        <w:t xml:space="preserve"> </w:t>
      </w:r>
      <w:r>
        <w:rPr>
          <w:rFonts w:ascii="Arial" w:cs="Arial" w:eastAsia="Arial" w:hAnsi="Arial"/>
          <w:sz w:val="18"/>
          <w:szCs w:val="18"/>
          <w:color w:val="auto"/>
        </w:rPr>
        <w:t>loss-of-function mutations, we design our product candidates to replace the gene of interest. In general, these product candidates are comprised of a codon-optimized DNA transgene that encodes the wild type gene of interest, coupled with a promoter selected to ensure expression in the cell or tissue-type of interest.</w:t>
      </w:r>
    </w:p>
    <w:p>
      <w:pPr>
        <w:spacing w:after="0" w:line="167"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b w:val="1"/>
          <w:bCs w:val="1"/>
          <w:color w:val="auto"/>
        </w:rPr>
        <w:t xml:space="preserve">Regulated gene replacement therapies. </w:t>
      </w:r>
      <w:r>
        <w:rPr>
          <w:rFonts w:ascii="Arial" w:cs="Arial" w:eastAsia="Arial" w:hAnsi="Arial"/>
          <w:sz w:val="18"/>
          <w:szCs w:val="18"/>
          <w:color w:val="auto"/>
        </w:rPr>
        <w:t>In a number of disorders, including Rett syndrome and FOXG1 syndrome, the expression</w:t>
      </w:r>
      <w:r>
        <w:rPr>
          <w:rFonts w:ascii="Arial" w:cs="Arial" w:eastAsia="Arial" w:hAnsi="Arial"/>
          <w:sz w:val="18"/>
          <w:szCs w:val="18"/>
          <w:b w:val="1"/>
          <w:bCs w:val="1"/>
          <w:color w:val="auto"/>
        </w:rPr>
        <w:t xml:space="preserve"> </w:t>
      </w:r>
      <w:r>
        <w:rPr>
          <w:rFonts w:ascii="Arial" w:cs="Arial" w:eastAsia="Arial" w:hAnsi="Arial"/>
          <w:sz w:val="18"/>
          <w:szCs w:val="18"/>
          <w:color w:val="auto"/>
        </w:rPr>
        <w:t>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w:t>
      </w:r>
    </w:p>
    <w:p>
      <w:pPr>
        <w:spacing w:after="0" w:line="174" w:lineRule="exact"/>
        <w:rPr>
          <w:sz w:val="20"/>
          <w:szCs w:val="20"/>
          <w:color w:val="auto"/>
        </w:rPr>
      </w:pPr>
    </w:p>
    <w:p>
      <w:pPr>
        <w:ind w:right="60" w:firstLine="562"/>
        <w:spacing w:after="0" w:line="249" w:lineRule="auto"/>
        <w:rPr>
          <w:sz w:val="20"/>
          <w:szCs w:val="20"/>
          <w:color w:val="auto"/>
        </w:rPr>
      </w:pPr>
      <w:r>
        <w:rPr>
          <w:rFonts w:ascii="Arial" w:cs="Arial" w:eastAsia="Arial" w:hAnsi="Arial"/>
          <w:sz w:val="18"/>
          <w:szCs w:val="18"/>
          <w:b w:val="1"/>
          <w:bCs w:val="1"/>
          <w:color w:val="auto"/>
        </w:rPr>
        <w:t xml:space="preserve">Vectorized miRNA gene therapies. </w:t>
      </w:r>
      <w:r>
        <w:rPr>
          <w:rFonts w:ascii="Arial" w:cs="Arial" w:eastAsia="Arial" w:hAnsi="Arial"/>
          <w:sz w:val="18"/>
          <w:szCs w:val="18"/>
          <w:color w:val="auto"/>
        </w:rPr>
        <w:t>In certain diseases within our pipeline, including Lafora disease, adult polyglucosan body</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and tauopathies, the goal of our product candidates is to silence the expression of genes that are involved in or considered to be the root cause of disease onset and progression. To accomplish this, we design transgenes that express miRNA, which are small, non-coding sequences of RNA that result in silencing of gene expression.</w:t>
      </w:r>
    </w:p>
    <w:p>
      <w:pPr>
        <w:spacing w:after="0" w:line="167" w:lineRule="exact"/>
        <w:rPr>
          <w:sz w:val="20"/>
          <w:szCs w:val="20"/>
          <w:color w:val="auto"/>
        </w:rPr>
      </w:pPr>
    </w:p>
    <w:p>
      <w:pPr>
        <w:ind w:right="40" w:firstLine="562"/>
        <w:spacing w:after="0" w:line="249" w:lineRule="auto"/>
        <w:rPr>
          <w:sz w:val="20"/>
          <w:szCs w:val="20"/>
          <w:color w:val="auto"/>
        </w:rPr>
      </w:pPr>
      <w:r>
        <w:rPr>
          <w:rFonts w:ascii="Arial" w:cs="Arial" w:eastAsia="Arial" w:hAnsi="Arial"/>
          <w:sz w:val="18"/>
          <w:szCs w:val="18"/>
          <w:b w:val="1"/>
          <w:bCs w:val="1"/>
          <w:color w:val="auto"/>
        </w:rPr>
        <w:t xml:space="preserve">Vectorized shRNA gene therapies. </w:t>
      </w:r>
      <w:r>
        <w:rPr>
          <w:rFonts w:ascii="Arial" w:cs="Arial" w:eastAsia="Arial" w:hAnsi="Arial"/>
          <w:sz w:val="18"/>
          <w:szCs w:val="18"/>
          <w:color w:val="auto"/>
        </w:rPr>
        <w:t>In certain diseases such as Prader-Willi syndrome and Angelman syndrome, the goal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is to activate a constitutively silenced gene to generate a therapeutic effect under control of the endogenous promoters of the cell. We utilize transgenes that express short-hairpin RNA, or shRNA, which, upon binding to the target of interest, are designed to reactivate a silenced gene.</w:t>
      </w:r>
    </w:p>
    <w:p>
      <w:pPr>
        <w:spacing w:after="0" w:line="169"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design our preclinical studies to be highly translational into clinical trials, including to replicate the timing of dosing at points when the disease model has advanced and the phenotype is more pronounced, include relevant immunosuppressive regimes that are the standard of care for the disease target or commonly administered with gene therapies and use animal models that are reflective of the severity of the human disease. Our goal is to evaluate the safety, efficacy and biodistribution of our product candidates and generate dose-response data that inform our selection of the optimal doses for clinical translation. We believe that our stringent approach to evaluating efficacy in preclinical studies will translate into clinical trials and may be predictive of the clinical effect of our product candidates.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Next-Generation Platform Technologies</w:t>
      </w:r>
    </w:p>
    <w:p>
      <w:pPr>
        <w:spacing w:after="0" w:line="214"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In addition to our pipeline of AAV9 product candidates, we are building a suite of platforms to develop next-generation technologies that can optimize key components of an AAV-based gene therapy.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455" w:right="3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Route of Administration to Allow Redosing</w:t>
      </w:r>
    </w:p>
    <w:p>
      <w:pPr>
        <w:spacing w:after="0" w:line="10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We are advancing a novel AAV dosing platform with the potential to facilitate redosing by administering AAV-based gene therapies directly to the vagus nerve. In preclinical studies in adult rats, we observed that AAV9 delivery to the vagus nerve resulted in efficient targeting of the vagal neurons. In preclinical studies in dogs, AAV delivery to the vagus nerve was well tolerated at all doses. Post-mortem analysis showed that vagal nerve fibers and neurons were microscopically normal.</w:t>
      </w:r>
    </w:p>
    <w:p>
      <w:pPr>
        <w:spacing w:after="0" w:line="170"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We believe that direct administration of our AAV9 therapies to the vagus nerve could be useful to treat the peripheral and autonomic manifestations of the CNS diseases in our pipeline. We plan to further evaluate the safety and feasibility of this approach in non-human primates, or NHPs.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Transgene Expression Using miRARE</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Capsid Identification</w:t>
      </w:r>
    </w:p>
    <w:p>
      <w:pPr>
        <w:spacing w:after="0" w:line="104" w:lineRule="exact"/>
        <w:rPr>
          <w:sz w:val="20"/>
          <w:szCs w:val="20"/>
          <w:color w:val="auto"/>
        </w:rPr>
      </w:pPr>
    </w:p>
    <w:p>
      <w:pPr>
        <w:ind w:right="300" w:firstLine="562"/>
        <w:spacing w:after="0" w:line="248" w:lineRule="auto"/>
        <w:rPr>
          <w:sz w:val="20"/>
          <w:szCs w:val="20"/>
          <w:color w:val="auto"/>
        </w:rPr>
      </w:pPr>
      <w:r>
        <w:rPr>
          <w:rFonts w:ascii="Arial" w:cs="Arial" w:eastAsia="Arial" w:hAnsi="Arial"/>
          <w:sz w:val="18"/>
          <w:szCs w:val="18"/>
          <w:color w:val="auto"/>
        </w:rPr>
        <w:t>We are developing a novel AAV capsid platform that utilizes machine learning, capsid shuffling and directed evolution to improve targeted delivery. Our approach allows us to identify capsids with improved properties in mice and NHPs in parallel to maximize their translational relevance. We are utilizing single-molecule, real-time, or SMRT, sequencing analysis for high throughput characterization of these capsids.</w:t>
      </w:r>
    </w:p>
    <w:p>
      <w:pPr>
        <w:spacing w:after="0" w:line="170"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We believe that our approach will allow us to rapidly identify new capsids to drive new product candidates for CNS disorders with novel biodistribution and transduction profiles into our development pipeline.</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Product Pipeline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Neurodegenerative Diseases</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Our neurodegenerative disease programs target diseases that are characterized by the progressive degeneration of the structures and functions of the CNS. Degeneration and death of neuronal cells causes symptoms ranging from cognitive decline, functional impairment and, ultimately, death. Globally, neurodegenerative diseases represent an immense unmet medical need and disease management is complicated by a lack of effective symptomatic and disease-modifying therapies. Progressive neurodegeneration is a hallmark of numerous severe diseases each characterized by distinct etiology. Common neurodegenerative diseases include Alzheimer’s disease, Parkinson’s disease, amyotrophic lateral sclerosis, SMA and GM2 gangliosidosis.</w:t>
      </w:r>
    </w:p>
    <w:p>
      <w:pPr>
        <w:spacing w:after="0" w:line="174" w:lineRule="exact"/>
        <w:rPr>
          <w:sz w:val="20"/>
          <w:szCs w:val="20"/>
          <w:color w:val="auto"/>
        </w:rPr>
      </w:pPr>
    </w:p>
    <w:p>
      <w:pPr>
        <w:ind w:right="260" w:firstLine="562"/>
        <w:spacing w:after="0" w:line="255" w:lineRule="auto"/>
        <w:rPr>
          <w:sz w:val="20"/>
          <w:szCs w:val="20"/>
          <w:color w:val="auto"/>
        </w:rPr>
      </w:pPr>
      <w:r>
        <w:rPr>
          <w:rFonts w:ascii="Arial" w:cs="Arial" w:eastAsia="Arial" w:hAnsi="Arial"/>
          <w:sz w:val="18"/>
          <w:szCs w:val="18"/>
          <w:color w:val="auto"/>
        </w:rPr>
        <w:t>We are developing TSHA-101, a neurodegenerative product candidate, for the treatment of GM2 gangliosidosis, and we expect to initiate a Phase 1/2 trial by the end of 2020. We are also developing TSHA-118 for the treatment of CLN1 disease (or infantile Batten disease), for which we intend to conduct a Phase 1/2 clinical trial under a currently open IND, and TSHA-104 for the treatment of</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SURF1 deficiency. We are developing additional product candidates for the treatment of both prevalent neurodegenerative diseases, including Alzheimer’s disease, Parkinson’s disease and other tauopathies, and rare diseases such as adult polyglucosan body disease and Lafora disease.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TSHA-101 for the Treatment of GM2 Gangliosidosis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GM2 Gangliosidosis</w:t>
      </w:r>
    </w:p>
    <w:p>
      <w:pPr>
        <w:spacing w:after="0" w:line="102"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GM2 gangliosidosis, including Tay-Sachs disease and Sandhoff disease, refers to a group of lysosomal storage disorders caused by accumulation of the GM2 ganglioside in the lysosomes of cells within the CNS. Gangliosides are lipid components of cell membranes particularly abundant in the plasma membranes of neurons. Accumulation of GM2 ganglioside is caused by a deficiency in the ß-hexosaminidase A, or Hex A, enzyme, which is responsible for hydrolysis, or breakdown, of the GM2 ganglioside. This accumulation results in lysosomal rupture, leading to a poorly understood inflammatory cascade that leads to neuronal cell death and neurodegeneration. The global incidence of GM2 gangliosidosis is approximately one per 150,000 live births. Approximately 80% to 85% of patients are diagnosed with an infantile form of GM2 gangliosidosis, with the remainder diagnosed with a juvenile or early-adulthood form of the disease. There are no approved therapies for the treatment of GM2 gangliosidosis, and care is generally palliative. Children diagnosed with infantile GM2 gangliosidosis appear normal at birth but experience rapid neurodegeneration, culminating in death before the age of four, and patients with juvenile GM2 gangliosidosis rarely survive beyond their mid-teens.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2" w:lineRule="auto"/>
        <w:rPr>
          <w:sz w:val="20"/>
          <w:szCs w:val="20"/>
          <w:color w:val="auto"/>
        </w:rPr>
      </w:pPr>
      <w:r>
        <w:rPr>
          <w:rFonts w:ascii="Arial" w:cs="Arial" w:eastAsia="Arial" w:hAnsi="Arial"/>
          <w:sz w:val="18"/>
          <w:szCs w:val="18"/>
          <w:color w:val="auto"/>
        </w:rPr>
        <w:t xml:space="preserve">The Hex A enzyme is a heterodimer composed of two subunits: ß-hexosaminidase </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(encoded in humans by the </w:t>
      </w:r>
      <w:r>
        <w:rPr>
          <w:rFonts w:ascii="Arial" w:cs="Arial" w:eastAsia="Arial" w:hAnsi="Arial"/>
          <w:sz w:val="18"/>
          <w:szCs w:val="18"/>
          <w:i w:val="1"/>
          <w:iCs w:val="1"/>
          <w:color w:val="auto"/>
        </w:rPr>
        <w:t>HEXA</w:t>
      </w:r>
      <w:r>
        <w:rPr>
          <w:rFonts w:ascii="Arial" w:cs="Arial" w:eastAsia="Arial" w:hAnsi="Arial"/>
          <w:sz w:val="18"/>
          <w:szCs w:val="18"/>
          <w:color w:val="auto"/>
        </w:rPr>
        <w:t xml:space="preserve"> gene) and ß-hexosaminidase ß (encoded in humans by the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 GM2 gangliosidosis caused by a mutation of the </w:t>
      </w:r>
      <w:r>
        <w:rPr>
          <w:rFonts w:ascii="Arial" w:cs="Arial" w:eastAsia="Arial" w:hAnsi="Arial"/>
          <w:sz w:val="18"/>
          <w:szCs w:val="18"/>
          <w:i w:val="1"/>
          <w:iCs w:val="1"/>
          <w:color w:val="auto"/>
        </w:rPr>
        <w:t>HEXA</w:t>
      </w:r>
      <w:r>
        <w:rPr>
          <w:rFonts w:ascii="Arial" w:cs="Arial" w:eastAsia="Arial" w:hAnsi="Arial"/>
          <w:sz w:val="18"/>
          <w:szCs w:val="18"/>
          <w:color w:val="auto"/>
        </w:rPr>
        <w:t xml:space="preserve"> gene is termed Tay-Sachs disease, while Sandhoff disease is caused by a mutation of the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 Tay-Sachs disease and Sandhoff disease result in clinically indistinguishable phenotypes for which there is no effective treatment. As illustrated in the graphic below, in infantile GM2 gangliosidosis, its most common and severe form, the disease is characterized by a lack of Hex A enzyme activity, while juvenile GM2 gangliosidosis is characterized by Hex A enzyme activity that is 0.5% to less than 2% of normal activity. Adult-onset GM2 gangliosidosis patients have Hex A enzyme activity levels typically in the range of 2% to 4% of normal Hex A activity and may live a normal lifespan. We believe that the “critical threshold” for normal hydrolysis of GM2 ganglioside is estimated to be 5% to 10% of normal Hex A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 xml:space="preserve">We believe that successful gene therapy to treat Tay-Sachs disease or Sandhoff disease requires expression of the </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and ß subunits in a 1:1 ratio to ensure that Hex A expression confers a therapeutic benefit. An imbalanced expression of either subunit could result in the formation of a dysfunctional homodimer, or identical proteins, which would limit the efficacy of the therapy. Several therapeutic approaches utilize single vectors encoding either the </w:t>
      </w:r>
      <w:r>
        <w:rPr>
          <w:rFonts w:ascii="Times New Roman" w:cs="Times New Roman" w:eastAsia="Times New Roman" w:hAnsi="Times New Roman"/>
          <w:sz w:val="18"/>
          <w:szCs w:val="18"/>
          <w:color w:val="auto"/>
        </w:rPr>
        <w:t>a</w:t>
      </w:r>
      <w:r>
        <w:rPr>
          <w:rFonts w:ascii="Arial" w:cs="Arial" w:eastAsia="Arial" w:hAnsi="Arial"/>
          <w:sz w:val="18"/>
          <w:szCs w:val="18"/>
          <w:color w:val="auto"/>
        </w:rPr>
        <w:t xml:space="preserve"> or ß subunit, while other approaches have utilized multiple vectors carrying the </w:t>
      </w:r>
      <w:r>
        <w:rPr>
          <w:rFonts w:ascii="Arial" w:cs="Arial" w:eastAsia="Arial" w:hAnsi="Arial"/>
          <w:sz w:val="18"/>
          <w:szCs w:val="18"/>
          <w:i w:val="1"/>
          <w:iCs w:val="1"/>
          <w:color w:val="auto"/>
        </w:rPr>
        <w:t>HEXA</w:t>
      </w:r>
      <w:r>
        <w:rPr>
          <w:rFonts w:ascii="Arial" w:cs="Arial" w:eastAsia="Arial" w:hAnsi="Arial"/>
          <w:sz w:val="18"/>
          <w:szCs w:val="18"/>
          <w:color w:val="auto"/>
        </w:rPr>
        <w:t xml:space="preserve"> and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genes separately. However, these approaches either fail to deliver the Hex A subunits in the appropriate ratio or require the simultaneous transduction of cells to achieve efficacy.</w:t>
      </w:r>
    </w:p>
    <w:p>
      <w:pPr>
        <w:spacing w:after="0" w:line="173" w:lineRule="exact"/>
        <w:rPr>
          <w:sz w:val="20"/>
          <w:szCs w:val="20"/>
          <w:color w:val="auto"/>
        </w:rPr>
      </w:pPr>
    </w:p>
    <w:p>
      <w:pPr>
        <w:ind w:right="300" w:firstLine="562"/>
        <w:spacing w:after="0" w:line="245" w:lineRule="auto"/>
        <w:rPr>
          <w:sz w:val="20"/>
          <w:szCs w:val="20"/>
          <w:color w:val="auto"/>
        </w:rPr>
      </w:pPr>
      <w:r>
        <w:rPr>
          <w:rFonts w:ascii="Arial" w:cs="Arial" w:eastAsia="Arial" w:hAnsi="Arial"/>
          <w:sz w:val="18"/>
          <w:szCs w:val="18"/>
          <w:color w:val="auto"/>
        </w:rPr>
        <w:t>Similar to other lysosomal enzymes, Hex A is ubiquitously expressed and therefore concerns related to off-target effects or overexpression are limited. In addition, Hex A is secreted from transduced cells and can be taken up by neighboring cells to correct their phenotype, making it possible to cure these diseases without the need to transduce every cell, a process referred to as cross-correction. Studies suggest that restoring Hex A enzyme levels to approximately 10% of normal may result in complete phenotypic absence of the disease.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TSHA-101</w:t>
      </w:r>
    </w:p>
    <w:p>
      <w:pPr>
        <w:spacing w:after="0" w:line="102"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 xml:space="preserve">We are developing TSHA-101, a neurodegenerative product candidate, for the treatment of GM2 gangliosidosis. TSHA-101 is a bicistronic, or dual loci of transcription, </w:t>
      </w:r>
      <w:r>
        <w:rPr>
          <w:rFonts w:ascii="Arial" w:cs="Arial" w:eastAsia="Arial" w:hAnsi="Arial"/>
          <w:sz w:val="18"/>
          <w:szCs w:val="18"/>
          <w:i w:val="1"/>
          <w:iCs w:val="1"/>
          <w:color w:val="auto"/>
        </w:rPr>
        <w:t>HEXB</w:t>
      </w:r>
      <w:r>
        <w:rPr>
          <w:rFonts w:ascii="Arial" w:cs="Arial" w:eastAsia="Arial" w:hAnsi="Arial"/>
          <w:sz w:val="18"/>
          <w:szCs w:val="18"/>
          <w:color w:val="auto"/>
        </w:rPr>
        <w:t xml:space="preserve">P2A- </w:t>
      </w:r>
      <w:r>
        <w:rPr>
          <w:rFonts w:ascii="Arial" w:cs="Arial" w:eastAsia="Arial" w:hAnsi="Arial"/>
          <w:sz w:val="18"/>
          <w:szCs w:val="18"/>
          <w:i w:val="1"/>
          <w:iCs w:val="1"/>
          <w:color w:val="auto"/>
        </w:rPr>
        <w:t>HEXA</w:t>
      </w:r>
      <w:r>
        <w:rPr>
          <w:rFonts w:ascii="Arial" w:cs="Arial" w:eastAsia="Arial" w:hAnsi="Arial"/>
          <w:sz w:val="18"/>
          <w:szCs w:val="18"/>
          <w:color w:val="auto"/>
        </w:rPr>
        <w:t xml:space="preserve"> transgene packaged into an AAV9 vector under the control of the CAG promoter. We have designed TSHA-101 to link the human </w:t>
      </w:r>
      <w:r>
        <w:rPr>
          <w:rFonts w:ascii="Arial" w:cs="Arial" w:eastAsia="Arial" w:hAnsi="Arial"/>
          <w:sz w:val="18"/>
          <w:szCs w:val="18"/>
          <w:i w:val="1"/>
          <w:iCs w:val="1"/>
          <w:color w:val="auto"/>
        </w:rPr>
        <w:t>HEXA</w:t>
      </w:r>
      <w:r>
        <w:rPr>
          <w:rFonts w:ascii="Arial" w:cs="Arial" w:eastAsia="Arial" w:hAnsi="Arial"/>
          <w:sz w:val="18"/>
          <w:szCs w:val="18"/>
          <w:color w:val="auto"/>
        </w:rPr>
        <w:t xml:space="preserve"> and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genes, utilizing a cleavable peptide linker, to ensure that the expression of each the subunit occurs simultaneously at the appropriate 1:1 ratio. This approach is designed to maximize the expression of Hex A enzyme while minimizing the required therapeutic dosage.</w:t>
      </w:r>
    </w:p>
    <w:p>
      <w:pPr>
        <w:spacing w:after="0" w:line="17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Because GM2 gangliosidosis is clinically well defined, we believe we can leverage that knowledge to develop TSHA-101 with a higher probability of clinical and regulatory success. If approved, we believe that TSHA-101 could have a transformational impact on these severely underserved patients and their families. As TSHA-101 is designed to secrete the Hex A enzyme from transduced cells, uptake of the enzyme by neighboring cells via cross-correction has the potential to result in therapeutic benefit independent of their transduction status. In addition, we believe Hex A enzyme activity in the serum and CSF can serve as a potential biomarker to detect and help verify treatment effects on GM2 gangliosidosis during the early stages of clinical development.</w:t>
      </w:r>
    </w:p>
    <w:p>
      <w:pPr>
        <w:spacing w:after="0" w:line="174"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We have received orphan drug designation and rare pediatric disease designation from the FDA for TSHA-101 for the treatment of GM2 gangliosidosis.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132080</wp:posOffset>
            </wp:positionV>
            <wp:extent cx="5186045" cy="1705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604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02" w:lineRule="exact"/>
        <w:rPr>
          <w:sz w:val="20"/>
          <w:szCs w:val="20"/>
          <w:color w:val="auto"/>
        </w:rPr>
      </w:pPr>
    </w:p>
    <w:p>
      <w:pPr>
        <w:ind w:right="60" w:firstLine="562"/>
        <w:spacing w:after="0" w:line="258" w:lineRule="auto"/>
        <w:rPr>
          <w:sz w:val="20"/>
          <w:szCs w:val="20"/>
          <w:color w:val="auto"/>
        </w:rPr>
      </w:pPr>
      <w:r>
        <w:rPr>
          <w:rFonts w:ascii="Arial" w:cs="Arial" w:eastAsia="Arial" w:hAnsi="Arial"/>
          <w:sz w:val="17"/>
          <w:szCs w:val="17"/>
          <w:color w:val="auto"/>
        </w:rPr>
        <w:t>In preclinical studies, we observed evidence of improvements in behavioral assays and GM2 ganglioside accumulation across all dose levels of TSHA-101, which we believe supports continued development of TSHA-101. In these studies, TSHA-101 was administered at three dose levels via intrathecal lumbar puncture to a mouse model of Sandhoff disease, selected for its ability to recapitulate the severity of the human disease: a high dose of 2.5 x 10</w:t>
      </w:r>
      <w:r>
        <w:rPr>
          <w:rFonts w:ascii="Arial" w:cs="Arial" w:eastAsia="Arial" w:hAnsi="Arial"/>
          <w:sz w:val="14"/>
          <w:szCs w:val="14"/>
          <w:color w:val="auto"/>
        </w:rPr>
        <w:t>11</w:t>
      </w:r>
      <w:r>
        <w:rPr>
          <w:rFonts w:ascii="Arial" w:cs="Arial" w:eastAsia="Arial" w:hAnsi="Arial"/>
          <w:sz w:val="17"/>
          <w:szCs w:val="17"/>
          <w:color w:val="auto"/>
        </w:rPr>
        <w:t xml:space="preserve"> vg/mouse, a medium dose of 1.25 x 10</w:t>
      </w:r>
      <w:r>
        <w:rPr>
          <w:rFonts w:ascii="Arial" w:cs="Arial" w:eastAsia="Arial" w:hAnsi="Arial"/>
          <w:sz w:val="14"/>
          <w:szCs w:val="14"/>
          <w:color w:val="auto"/>
        </w:rPr>
        <w:t>11</w:t>
      </w:r>
      <w:r>
        <w:rPr>
          <w:rFonts w:ascii="Arial" w:cs="Arial" w:eastAsia="Arial" w:hAnsi="Arial"/>
          <w:sz w:val="17"/>
          <w:szCs w:val="17"/>
          <w:color w:val="auto"/>
        </w:rPr>
        <w:t xml:space="preserve"> vg/mouse and a low dose of 0.625 x 10</w:t>
      </w:r>
      <w:r>
        <w:rPr>
          <w:rFonts w:ascii="Arial" w:cs="Arial" w:eastAsia="Arial" w:hAnsi="Arial"/>
          <w:sz w:val="14"/>
          <w:szCs w:val="14"/>
          <w:color w:val="auto"/>
        </w:rPr>
        <w:t>11</w:t>
      </w:r>
      <w:r>
        <w:rPr>
          <w:rFonts w:ascii="Arial" w:cs="Arial" w:eastAsia="Arial" w:hAnsi="Arial"/>
          <w:sz w:val="17"/>
          <w:szCs w:val="17"/>
          <w:color w:val="auto"/>
        </w:rPr>
        <w:t xml:space="preserve"> vg/mouse. Mice were dosed at six weeks of age and subjected to a battery of behavioral tests when they reached eight weeks of age. At 16 weeks, a cohort of mice were euthanized, at which time GM2 ganglioside accumulation, Hex A enzyme levels and vector biodistribution were evaluated. An additional cohort was followed to a humane long-term endpoint defined as 15% body weight loss or an absent righting reflex.</w:t>
      </w:r>
    </w:p>
    <w:p>
      <w:pPr>
        <w:spacing w:after="0" w:line="163" w:lineRule="exact"/>
        <w:rPr>
          <w:sz w:val="20"/>
          <w:szCs w:val="20"/>
          <w:color w:val="auto"/>
        </w:rPr>
      </w:pPr>
    </w:p>
    <w:p>
      <w:pPr>
        <w:jc w:val="both"/>
        <w:ind w:right="20" w:firstLine="562"/>
        <w:spacing w:after="0" w:line="255" w:lineRule="auto"/>
        <w:rPr>
          <w:sz w:val="20"/>
          <w:szCs w:val="20"/>
          <w:color w:val="auto"/>
        </w:rPr>
      </w:pPr>
      <w:r>
        <w:rPr>
          <w:rFonts w:ascii="Arial" w:cs="Arial" w:eastAsia="Arial" w:hAnsi="Arial"/>
          <w:sz w:val="18"/>
          <w:szCs w:val="18"/>
          <w:color w:val="auto"/>
        </w:rPr>
        <w:t>Across all dose levels, we observed a significant improvement in survival in mice treated with TSHA-101 as compared to mice treated with vehicle alone, as illustrated below. A clear dose-response relationship was observed, with the high dose, medium dose and low dose of TSHA-101 shown to increase survival by 3.4-, 2.3- and 1.5-fold relative to vehicle control, respectively.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320" w:top="455" w:right="3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6155055" cy="30092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55055"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 result is considered to be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162" w:lineRule="exact"/>
        <w:rPr>
          <w:sz w:val="20"/>
          <w:szCs w:val="20"/>
          <w:color w:val="auto"/>
        </w:rPr>
      </w:pPr>
    </w:p>
    <w:p>
      <w:pPr>
        <w:jc w:val="both"/>
        <w:ind w:firstLine="562"/>
        <w:spacing w:after="0" w:line="276" w:lineRule="auto"/>
        <w:rPr>
          <w:sz w:val="20"/>
          <w:szCs w:val="20"/>
          <w:color w:val="auto"/>
        </w:rPr>
      </w:pPr>
      <w:r>
        <w:rPr>
          <w:rFonts w:ascii="Arial" w:cs="Arial" w:eastAsia="Arial" w:hAnsi="Arial"/>
          <w:sz w:val="18"/>
          <w:szCs w:val="18"/>
          <w:color w:val="auto"/>
        </w:rPr>
        <w:t>We observed similar dose-dependent responses in our behavioral assessments of mice in the open field test and rotarod assays, both of which are commonly used tests to evaluate motor coordination in mice,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25114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455" w:right="3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At 16 weeks, we performed a GM2 ganglioside assay on the middle section of the brain of mice in all treatment groups. We observed a dose-dependent decrease in ganglioside accumulation, as illustrated below, suggesting a restoration of Hex A enzyme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132080</wp:posOffset>
            </wp:positionV>
            <wp:extent cx="5186045" cy="2700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604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In preclinical studies designed to evaluate safety, no adverse findings or evidence of toxicity attributable to TSHA-101 were observed. To characterize the safety profile of TSHA-101, wild type mice were intrathecally administered a low dose of TSHA-101 of 2.5 x 10</w:t>
      </w:r>
      <w:r>
        <w:rPr>
          <w:rFonts w:ascii="Arial" w:cs="Arial" w:eastAsia="Arial" w:hAnsi="Arial"/>
          <w:sz w:val="15"/>
          <w:szCs w:val="15"/>
          <w:color w:val="auto"/>
        </w:rPr>
        <w:t>11</w:t>
      </w:r>
      <w:r>
        <w:rPr>
          <w:rFonts w:ascii="Arial" w:cs="Arial" w:eastAsia="Arial" w:hAnsi="Arial"/>
          <w:sz w:val="18"/>
          <w:szCs w:val="18"/>
          <w:color w:val="auto"/>
        </w:rPr>
        <w:t xml:space="preserve"> vg/mouse or a high dose of 5 x 10</w:t>
      </w:r>
      <w:r>
        <w:rPr>
          <w:rFonts w:ascii="Arial" w:cs="Arial" w:eastAsia="Arial" w:hAnsi="Arial"/>
          <w:sz w:val="15"/>
          <w:szCs w:val="15"/>
          <w:color w:val="auto"/>
        </w:rPr>
        <w:t>11</w:t>
      </w:r>
      <w:r>
        <w:rPr>
          <w:rFonts w:ascii="Arial" w:cs="Arial" w:eastAsia="Arial" w:hAnsi="Arial"/>
          <w:sz w:val="18"/>
          <w:szCs w:val="18"/>
          <w:color w:val="auto"/>
        </w:rPr>
        <w:t xml:space="preserve"> vg/mouse. The effect of immunosuppressants were also investigated. Mice received daily administration of prednisone and rapamycin, two immunosuppressants commonly used in combination with gene therapies.</w:t>
      </w:r>
    </w:p>
    <w:p>
      <w:pPr>
        <w:spacing w:after="0" w:line="170" w:lineRule="exact"/>
        <w:rPr>
          <w:sz w:val="20"/>
          <w:szCs w:val="20"/>
          <w:color w:val="auto"/>
        </w:rPr>
      </w:pPr>
    </w:p>
    <w:p>
      <w:pPr>
        <w:ind w:right="280" w:firstLine="562"/>
        <w:spacing w:after="0" w:line="243" w:lineRule="auto"/>
        <w:rPr>
          <w:sz w:val="20"/>
          <w:szCs w:val="20"/>
          <w:color w:val="auto"/>
        </w:rPr>
      </w:pPr>
      <w:r>
        <w:rPr>
          <w:rFonts w:ascii="Arial" w:cs="Arial" w:eastAsia="Arial" w:hAnsi="Arial"/>
          <w:sz w:val="18"/>
          <w:szCs w:val="18"/>
          <w:color w:val="auto"/>
        </w:rPr>
        <w:t>At five weeks of age, a cohort of nine mice were euthanized as baseline controls. These mice did not receive gene therapy or immunosuppression. The experimental mice began receiving daily dosages of either 24 µg prednisone and 100 µg rapamycin or a vehicle gavage that continued for the remainder of the study. At six weeks, the experimental mice were administered either a vehicle treatment or TSHA-101 at either the low dose or high dose. Mice continued daily gavaging until their pre-assigned endpoint. Five male and five female mice from the first, second and third cohorts were euthanized at one week, four weeks and three months post-gene therapy injections, respectively. All mice from the fourth cohort were euthanized at four weeks post-gene therapy administration.</w:t>
      </w:r>
    </w:p>
    <w:p>
      <w:pPr>
        <w:spacing w:after="0" w:line="17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Complete blood cell count and biochemistry analyses were performed on whole blood and serum samples. Enzyme-linked immunospot assays were performed on the mice euthanized at four weeks and three months post-injection to assess the immune response of the mice. The biodistribution of the virus was also determined through quantitative polymerase chain reaction.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02"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We plan to submit a CTA to Health Canada for TSHA-101 and initiate an open-label, single center Phase 1/2 clinical trial in patients with a confirmed diagnosis of GM2 gangliosidosis by the end of 2020. As currently planned, patients will be evaluated over one year, followed by a longer-term extension period to monitor ongoing safety, developmental progression, select efficacy measures 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biomarkers, consistent with other pediatric gene therapy trials. An independent data safety monitoring board will review data from each patient on an ongoing basis to ensure that stopping criteria are not met and monitor the well-being of the patients in the trial. Patients will receive TSHA-101 in a total dose of 5x10</w:t>
      </w:r>
      <w:r>
        <w:rPr>
          <w:rFonts w:ascii="Arial" w:cs="Arial" w:eastAsia="Arial" w:hAnsi="Arial"/>
          <w:sz w:val="15"/>
          <w:szCs w:val="15"/>
          <w:color w:val="auto"/>
        </w:rPr>
        <w:t>14</w:t>
      </w:r>
      <w:r>
        <w:rPr>
          <w:rFonts w:ascii="Arial" w:cs="Arial" w:eastAsia="Arial" w:hAnsi="Arial"/>
          <w:sz w:val="18"/>
          <w:szCs w:val="18"/>
          <w:color w:val="auto"/>
        </w:rPr>
        <w:t xml:space="preserve"> vg (modified dependent on age) via intrathecal administration. We expect that the trial will measure safety as the primary endpoint, with key secondary endpoints including measures of efficacy and biomarkers. Efficacy will be evaluated by motor function scales, prevention of developmental regression, control of seizure activity and prevention of loss of milestones, as measured by validated scales. Additional measures of efficacy are expected to include plasma and CSF Hex A enzyme activity, GM2 ganglioside reduction and magnetic resonance imaging. We also intend to measure patient quality of life and caretaker burden using appropriate and accepted scales and observer-reported outcomes. Following preliminary results from our Phase 1/2 clinical trial, we plan to submit an IND to the FDA by the end of 2021 to commence a clinical trial for TSHA-101 in the United States, which we believe could serve as a pivotal trial to support registration subject to discussions with the FDA.</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TSHA-118 (Formerly ABO-202) for the Treatment of CLN1 Disease</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CLN1 Disease</w:t>
      </w:r>
    </w:p>
    <w:p>
      <w:pPr>
        <w:spacing w:after="0" w:line="102"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 xml:space="preserve">CLN1 disease (or infantile Batten disease), a lysosomal storage disorder, is a progressive, fatal neurodegenerative disease with early childhood onset that has an estimated incidence of approximately 1 in 138,000 live births worldwide. CLN1 disease is caused by loss-of-function mutations in the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that encodes the enzyme palmitoyl-protein thioesterase-1, or PPT1, a small glycoprotein involved in the degradation of certain lipid-modified proteins. Loss of function mutations in the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causes accumulation of these lipid-modified proteins in cells, eventually leading to aggregation, neuronal cellular dysfunction and, ultimately neuronal cell death.</w:t>
      </w:r>
    </w:p>
    <w:p>
      <w:pPr>
        <w:spacing w:after="0" w:line="172"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179"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or NCL, diseases that involve mutations in soluble enzymes, in part, due to cross-correction of neighboring non-transduced cells.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TSHA-118</w:t>
      </w:r>
    </w:p>
    <w:p>
      <w:pPr>
        <w:spacing w:after="0" w:line="102" w:lineRule="exact"/>
        <w:rPr>
          <w:sz w:val="20"/>
          <w:szCs w:val="20"/>
          <w:color w:val="auto"/>
        </w:rPr>
      </w:pPr>
    </w:p>
    <w:p>
      <w:pPr>
        <w:ind w:right="220" w:firstLine="562"/>
        <w:spacing w:after="0" w:line="245" w:lineRule="auto"/>
        <w:rPr>
          <w:sz w:val="20"/>
          <w:szCs w:val="20"/>
          <w:color w:val="auto"/>
        </w:rPr>
      </w:pPr>
      <w:r>
        <w:rPr>
          <w:rFonts w:ascii="Arial" w:cs="Arial" w:eastAsia="Arial" w:hAnsi="Arial"/>
          <w:sz w:val="18"/>
          <w:szCs w:val="18"/>
          <w:color w:val="auto"/>
        </w:rPr>
        <w:t xml:space="preserve">We believe that the introduction of a functional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using an AAV9 vector delivered intrathecally to the CNS exposure offers the potential of a disease-modifying therapeutic approach for this disease. TSHA-118 is a self-complementary AAV9 viral vector that expresses human codon-optimized </w:t>
      </w:r>
      <w:r>
        <w:rPr>
          <w:rFonts w:ascii="Arial" w:cs="Arial" w:eastAsia="Arial" w:hAnsi="Arial"/>
          <w:sz w:val="18"/>
          <w:szCs w:val="18"/>
          <w:i w:val="1"/>
          <w:iCs w:val="1"/>
          <w:color w:val="auto"/>
        </w:rPr>
        <w:t>CLN1</w:t>
      </w:r>
      <w:r>
        <w:rPr>
          <w:rFonts w:ascii="Arial" w:cs="Arial" w:eastAsia="Arial" w:hAnsi="Arial"/>
          <w:sz w:val="18"/>
          <w:szCs w:val="18"/>
          <w:color w:val="auto"/>
        </w:rPr>
        <w:t xml:space="preserve"> complementary deoxyribonucleic acid under control of the chicken ß-actin hybrid promoter. We acquired exclusive worldwide rights to TSHA-118 (formerly ABO-202) in August 2020 pursuant to a license agreement with Abeona Therapeutics Inc., or Abeona.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5" w:right="3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TSHA-118 has been granted orphan drug designation, rare pediatric disease designation and fast track designation from the FDA and orphan drug designation from the EMA for the treatment of CLN1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1706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02"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In third-party preclinical studies, evidence of improvements in behavioral outcomes, survival and restoration of PPT1 enzymatic activity was observed, which we believe supports continued development of TSHA-118. In these studies, TSHA-118 was administered at a dose of 7.0 x 10</w:t>
      </w:r>
      <w:r>
        <w:rPr>
          <w:rFonts w:ascii="Arial" w:cs="Arial" w:eastAsia="Arial" w:hAnsi="Arial"/>
          <w:sz w:val="15"/>
          <w:szCs w:val="15"/>
          <w:color w:val="auto"/>
        </w:rPr>
        <w:t>11</w:t>
      </w:r>
      <w:r>
        <w:rPr>
          <w:rFonts w:ascii="Arial" w:cs="Arial" w:eastAsia="Arial" w:hAnsi="Arial"/>
          <w:sz w:val="18"/>
          <w:szCs w:val="18"/>
          <w:color w:val="auto"/>
        </w:rPr>
        <w:t xml:space="preserve"> vg/mouse via intrathecal lumbar puncture to a mouse model of CLN1 disease, selected for its ability to recapitulate the severity of the human disease. The results from this study showed that intrathecal treatment with TSHA-118 significantly extended survival of CLN1 knockout mice, with enhanced survival and behavioral outcomes correlating with treatment at younger ages and higher doses.</w:t>
      </w:r>
    </w:p>
    <w:p>
      <w:pPr>
        <w:spacing w:after="0" w:line="172"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As illustrated in the figure below, mice treated with TSHA-118 at four weeks or twelve weeks of age had a mean survival of 18.7 or 16.7 months, respectively, compared to approximately 8 months survival for untreated CLN1 knockout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2425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PPT1 enzyme activity in serum was measured at selected timepoints following TSHA-118 delivery by intrathecal administration at four, twenty or twenty-six weeks of age. Serum was collected either at four months post-treatment or at the humane endpoint.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As shown in the figure below, heterozygous mice had roughly 30% of normal serum PPT1 activity compared to wild-type mice. In contrast, treatment of CLN1 knockout mice with TSHA-118 resulted in supraphysiological levels of active PPT1 in the serum in comparison to wild-type and heterozygous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25203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02" w:lineRule="exact"/>
        <w:rPr>
          <w:sz w:val="20"/>
          <w:szCs w:val="20"/>
          <w:color w:val="auto"/>
        </w:rPr>
      </w:pPr>
    </w:p>
    <w:p>
      <w:pPr>
        <w:ind w:right="160" w:firstLine="562"/>
        <w:spacing w:after="0" w:line="239" w:lineRule="auto"/>
        <w:rPr>
          <w:sz w:val="20"/>
          <w:szCs w:val="20"/>
          <w:color w:val="auto"/>
        </w:rPr>
      </w:pPr>
      <w:r>
        <w:rPr>
          <w:rFonts w:ascii="Arial" w:cs="Arial" w:eastAsia="Arial" w:hAnsi="Arial"/>
          <w:sz w:val="18"/>
          <w:szCs w:val="18"/>
          <w:color w:val="auto"/>
        </w:rPr>
        <w:t>We plan to conduct a clinical proof-of-concept, dose-escalation Phase 1/2 trial in the United States and European Union, subject to feedback from the FDA and the EMA. The trial is expected to enroll approximately 12 patients, including patients with classic infantile onset and late infantile onset forms of CLN1 disease. We will conduct the trial in the United States under a currently open IND that Abeona is transferring to us. Patients will be enrolled in three cohorts of four patients each; within each cohort, three patients will be randomized to receive TSHA-118, and one patient will be randomized to receive delayed treatment as a concurrent control. We anticipate that the dose for the first cohort will be 5 x 10</w:t>
      </w:r>
      <w:r>
        <w:rPr>
          <w:rFonts w:ascii="Arial" w:cs="Arial" w:eastAsia="Arial" w:hAnsi="Arial"/>
          <w:sz w:val="15"/>
          <w:szCs w:val="15"/>
          <w:color w:val="auto"/>
        </w:rPr>
        <w:t>14</w:t>
      </w:r>
      <w:r>
        <w:rPr>
          <w:rFonts w:ascii="Arial" w:cs="Arial" w:eastAsia="Arial" w:hAnsi="Arial"/>
          <w:sz w:val="18"/>
          <w:szCs w:val="18"/>
          <w:color w:val="auto"/>
        </w:rPr>
        <w:t xml:space="preserve"> total vg administered intrathecally, with an escalation in doses in the second and third cohorts to be decided based on PPT1 enzyme levels in CSF and serum, clinical improvement and safety outcomes in the first cohort, as discussed with and reviewed by an independent data safety monitoring board. The data safety monitoring board will also review the safety information from the first patient dosed in each cohort before the second participant within that cohort can be dosed and will be involved in overall safety review and safety management in the trial.</w:t>
      </w:r>
    </w:p>
    <w:p>
      <w:pPr>
        <w:spacing w:after="0" w:line="18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expect that the primary endpoints in the trial will include: safety and tolerability; developmental milestones; PPT1 enzyme activity in the serum and CSF; change in clinical progression as measured by the Unified Batten Disease Rating Scale; changes in a number of other developmental scales, including the Vineland Adaptive Behavior Scales-Third Edition, Bayley Scales of Infant and Toddler Development; seizure frequency, type and medication; ophthalmological assessment; quality of life and caregiver burden; and changes in MRI, including volumetric changes of the brain.</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Neurodegenerative Programs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TSHA-104 for SURF1 Deficiency</w:t>
      </w:r>
    </w:p>
    <w:p>
      <w:pPr>
        <w:spacing w:after="0" w:line="102" w:lineRule="exact"/>
        <w:rPr>
          <w:sz w:val="20"/>
          <w:szCs w:val="20"/>
          <w:color w:val="auto"/>
        </w:rPr>
      </w:pPr>
    </w:p>
    <w:p>
      <w:pPr>
        <w:ind w:right="460" w:firstLine="562"/>
        <w:spacing w:after="0" w:line="276" w:lineRule="auto"/>
        <w:rPr>
          <w:sz w:val="20"/>
          <w:szCs w:val="20"/>
          <w:color w:val="auto"/>
        </w:rPr>
      </w:pPr>
      <w:r>
        <w:rPr>
          <w:rFonts w:ascii="Arial" w:cs="Arial" w:eastAsia="Arial" w:hAnsi="Arial"/>
          <w:sz w:val="18"/>
          <w:szCs w:val="18"/>
          <w:color w:val="auto"/>
        </w:rPr>
        <w:t xml:space="preserve">We are developing TSHA-104, a neurodegenerative product candidate, for the treatment of SURF1 deficiency. The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encodes the SURF1 protein, which plays a critical role in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5"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 xml:space="preserve">mitochondrial translation and is involved in the assembly of the cytochrome c oxidase complex. Mutations in </w:t>
      </w:r>
      <w:r>
        <w:rPr>
          <w:rFonts w:ascii="Arial" w:cs="Arial" w:eastAsia="Arial" w:hAnsi="Arial"/>
          <w:sz w:val="18"/>
          <w:szCs w:val="18"/>
          <w:i w:val="1"/>
          <w:iCs w:val="1"/>
          <w:color w:val="auto"/>
        </w:rPr>
        <w:t>SURF1</w:t>
      </w:r>
      <w:r>
        <w:rPr>
          <w:rFonts w:ascii="Arial" w:cs="Arial" w:eastAsia="Arial" w:hAnsi="Arial"/>
          <w:sz w:val="18"/>
          <w:szCs w:val="18"/>
          <w:color w:val="auto"/>
        </w:rPr>
        <w:t xml:space="preserve"> lead to SURF1 deficiency, a recessively inherited mitochondrial disease, and are the most frequent cause of Leigh syndrome, a rapidly progressive neurological condition characterized by the degeneration of the CNS. To date over 100 </w:t>
      </w:r>
      <w:r>
        <w:rPr>
          <w:rFonts w:ascii="Arial" w:cs="Arial" w:eastAsia="Arial" w:hAnsi="Arial"/>
          <w:sz w:val="18"/>
          <w:szCs w:val="18"/>
          <w:i w:val="1"/>
          <w:iCs w:val="1"/>
          <w:color w:val="auto"/>
        </w:rPr>
        <w:t>SURF1</w:t>
      </w:r>
      <w:r>
        <w:rPr>
          <w:rFonts w:ascii="Arial" w:cs="Arial" w:eastAsia="Arial" w:hAnsi="Arial"/>
          <w:sz w:val="18"/>
          <w:szCs w:val="18"/>
          <w:color w:val="auto"/>
        </w:rPr>
        <w:t xml:space="preserve"> mutations, including non-sense, frame shift and missense variants have been described in literature. The incidence of SURF1 deficiency is estimated to be approximately 1 in 100,000 live births.</w:t>
      </w:r>
    </w:p>
    <w:p>
      <w:pPr>
        <w:spacing w:after="0" w:line="17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SURF1 deficiency can lead to difficulty swallowing in infancy, with subsequent failure to thrive. Severely diseased muscle tone leading to respiratory failure, movement disorders and balance abnormalities are common. According to the literature, only a few patients have been reported to survive beyond 10 years of age. In the majority of SURF1-deficient patients, serum lactate is elevated, and elevated levels of serum lactate have been reported in the CSF as well, indicative of mitochondrial dysfunction. We are pursuing a gene replacement strategy with the goal of restoring mitochondrial function in patients with SURF1 deficiency caused by loss-of-function mutations.</w:t>
      </w:r>
    </w:p>
    <w:p>
      <w:pPr>
        <w:spacing w:after="0" w:line="172"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 xml:space="preserve">We are constructing TSHA-104 from a codon-optimized version of the human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packaged within a self-complementary AAV9 viral vector under the control of a CBh promoter. We plan to submit an IND for TSHA-104 to the FDA and initiate a clinical trial by the end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697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TSHA-112 for Adult Polyglucosan Body Disease</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are developing TSHA-112 for the treatment of adult polyglucosan body disease, or APBD. APBD is caused by reduced glycogen branching enzyme, or GBE1, activity. GBE1 is responsible for the creation of branches during glycogen synthesis and reduced GBE1 activity results in elongated glycogen changes that form poorly soluble aggregates (polyglucosan bodies) in the liver, muscle and CNS. Symptoms of APBD include sensory loss in the legs, progressive muscle weakness, gait disturbances, urinary difficulties and mild cognitive impairment. APBD is a late onset, prime of life disease with an age of onset between 40 to 50 years. The prevalence of APBD is unknown, but estimates range from 2,700 to 12,000 patients in the United States.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developing TSHA-112 as a gene replacement therapy to deliver wild type GBE1 packaged within a self-complementary AAV9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vector.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320" w:top="455" w:right="3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362585</wp:posOffset>
            </wp:positionV>
            <wp:extent cx="5186045" cy="1697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TSHA-111 for Lafora Disease</w:t>
      </w:r>
    </w:p>
    <w:p>
      <w:pPr>
        <w:spacing w:after="0" w:line="102"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We are developing TSHA-111 for the treatment of Lafora disease, a fatal glycogen storage disorder. Lafora disease starts in healthy adolescents, usually with myoclonus, or involuntary muscle jerks, that rapidly evolve into progressive dementia, refractory epilepsy, cerebellar ataxia and respiratory failure, and generally results in death within about a decade. The epidemiology of Lafora disease is unknown although estimates suggests a prevalence of approximately 1 in 250,000 individuals worldwide. Currently, there is no treatment available for Lafora disease.</w:t>
      </w:r>
    </w:p>
    <w:p>
      <w:pPr>
        <w:spacing w:after="0" w:line="172" w:lineRule="exact"/>
        <w:rPr>
          <w:sz w:val="20"/>
          <w:szCs w:val="20"/>
          <w:color w:val="auto"/>
        </w:rPr>
      </w:pPr>
    </w:p>
    <w:p>
      <w:pPr>
        <w:jc w:val="both"/>
        <w:ind w:right="40" w:firstLine="562"/>
        <w:spacing w:after="0" w:line="248" w:lineRule="auto"/>
        <w:rPr>
          <w:sz w:val="20"/>
          <w:szCs w:val="20"/>
          <w:color w:val="auto"/>
        </w:rPr>
      </w:pPr>
      <w:r>
        <w:rPr>
          <w:rFonts w:ascii="Arial" w:cs="Arial" w:eastAsia="Arial" w:hAnsi="Arial"/>
          <w:sz w:val="18"/>
          <w:szCs w:val="18"/>
          <w:color w:val="auto"/>
        </w:rPr>
        <w:t xml:space="preserve">Lafora disease is caused by loss of function mutations in </w:t>
      </w:r>
      <w:r>
        <w:rPr>
          <w:rFonts w:ascii="Arial" w:cs="Arial" w:eastAsia="Arial" w:hAnsi="Arial"/>
          <w:sz w:val="18"/>
          <w:szCs w:val="18"/>
          <w:i w:val="1"/>
          <w:iCs w:val="1"/>
          <w:color w:val="auto"/>
        </w:rPr>
        <w:t>EPM2A</w:t>
      </w:r>
      <w:r>
        <w:rPr>
          <w:rFonts w:ascii="Arial" w:cs="Arial" w:eastAsia="Arial" w:hAnsi="Arial"/>
          <w:sz w:val="18"/>
          <w:szCs w:val="18"/>
          <w:color w:val="auto"/>
        </w:rPr>
        <w:t xml:space="preserve"> or </w:t>
      </w:r>
      <w:r>
        <w:rPr>
          <w:rFonts w:ascii="Arial" w:cs="Arial" w:eastAsia="Arial" w:hAnsi="Arial"/>
          <w:sz w:val="18"/>
          <w:szCs w:val="18"/>
          <w:i w:val="1"/>
          <w:iCs w:val="1"/>
          <w:color w:val="auto"/>
        </w:rPr>
        <w:t>EPM2B</w:t>
      </w:r>
      <w:r>
        <w:rPr>
          <w:rFonts w:ascii="Arial" w:cs="Arial" w:eastAsia="Arial" w:hAnsi="Arial"/>
          <w:sz w:val="18"/>
          <w:szCs w:val="18"/>
          <w:color w:val="auto"/>
        </w:rPr>
        <w:t xml:space="preserve"> genes, which encode the glycogen phosphatase laforin or the E3 ubiquitin ligase malin, respectively. Both laforin and malin are involved in the formation of regulating glycogen metabolism and the absence of either protein results in poorly branched cytoplasmic inclusions, known as Lafora bodies. Studies indicate that these inclusions are the primary of driver and neurodegeneration and other brain abnormalities associated with Lafora disease.</w:t>
      </w:r>
    </w:p>
    <w:p>
      <w:pPr>
        <w:spacing w:after="0" w:line="170" w:lineRule="exact"/>
        <w:rPr>
          <w:sz w:val="20"/>
          <w:szCs w:val="20"/>
          <w:color w:val="auto"/>
        </w:rPr>
      </w:pPr>
    </w:p>
    <w:p>
      <w:pPr>
        <w:jc w:val="both"/>
        <w:ind w:right="60" w:firstLine="562"/>
        <w:spacing w:after="0" w:line="276" w:lineRule="auto"/>
        <w:rPr>
          <w:sz w:val="20"/>
          <w:szCs w:val="20"/>
          <w:color w:val="auto"/>
        </w:rPr>
      </w:pPr>
      <w:r>
        <w:rPr>
          <w:rFonts w:ascii="Arial" w:cs="Arial" w:eastAsia="Arial" w:hAnsi="Arial"/>
          <w:sz w:val="18"/>
          <w:szCs w:val="18"/>
          <w:color w:val="auto"/>
        </w:rPr>
        <w:t>We are developing TSHA-111 as a gene replacement therapy that packages wild type laforin or malin in a self-complementary AAV9 vector for single-dose intrathecal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132080</wp:posOffset>
            </wp:positionV>
            <wp:extent cx="5186045" cy="16973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TSHA-113 for Tauopathies</w:t>
      </w:r>
    </w:p>
    <w:p>
      <w:pPr>
        <w:spacing w:after="0" w:line="10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We are developing TSHA-113 for the treatment of tauopathies. Tau accumulation predicts neurodegeneration in Alzheimer’s disease, and the propagation of tau aggregates is thought to mediate the progression of several neurodegenerative diseases, including progressive supranuclear palsy, corticobasal degeneration, behavioral variant frontotemporal degeneration, chronic traumatic encephalopathy, frontotemporal dementia and parkinsonism linked to chromosome 17.</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firstLine="562"/>
        <w:spacing w:after="0" w:line="268" w:lineRule="auto"/>
        <w:rPr>
          <w:sz w:val="20"/>
          <w:szCs w:val="20"/>
          <w:color w:val="auto"/>
        </w:rPr>
      </w:pPr>
      <w:r>
        <w:rPr>
          <w:rFonts w:ascii="Arial" w:cs="Arial" w:eastAsia="Arial" w:hAnsi="Arial"/>
          <w:sz w:val="17"/>
          <w:szCs w:val="17"/>
          <w:color w:val="auto"/>
        </w:rPr>
        <w:t>As a result, multiple strategies are currently being tested to reduce tau and ameliorate the effects of these diseases. Preclinical studies testing tau anti-sense oligonucleotides, or ASOs, in the PS19 tauopathy mouse model prevented neuronal loss and showed a reversal of pathological tau deposition and seeding. This treatment in being tested in clinical trials. While promising, ASOs only reduced tau protein levels by approximately 50% in mice, and they required repeated, life-long intrathecal administration to reach this maximum effect.</w:t>
      </w:r>
    </w:p>
    <w:p>
      <w:pPr>
        <w:spacing w:after="0" w:line="153"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We are developing TSHA-113 to utilize AAV-mediated gene silencing to deliver life-long reduction of tau protein levels in neurons following administration of a single dose. We are developing tau-specific miRNA shuttles that have been designed to target mRNA for all six isoforms of tau found in the human brain and/or mouse brain. Our preliminary data in cells has shown that our tau miRNA selectively reduced some human and mouse tau expression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we have packaged our miRNA shuttles in AAV9 capsids for further evaluation in mouse models of human tauopathies.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149225</wp:posOffset>
            </wp:positionV>
            <wp:extent cx="5186045" cy="17399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TSHA-115 for Glycogen Storage Diseases</w:t>
      </w:r>
    </w:p>
    <w:p>
      <w:pPr>
        <w:spacing w:after="0" w:line="102"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We are developing TSHA-115 for the treatment of glycogen storage diseases. TSHA-115 is designed to utilize a miRNA approach to knockdown GYS1, thereby inhibiting glycogen synthase in the brain. We believe this approach will provide therapeutic utility in not only Lafora Disease or APBD, but potentially other glycogen storage diseases as well.</w:t>
      </w:r>
    </w:p>
    <w:p>
      <w:pPr>
        <w:spacing w:after="0" w:line="164" w:lineRule="exact"/>
        <w:rPr>
          <w:sz w:val="20"/>
          <w:szCs w:val="20"/>
          <w:color w:val="auto"/>
        </w:rPr>
      </w:pPr>
    </w:p>
    <w:p>
      <w:pPr>
        <w:ind w:right="560" w:firstLine="562"/>
        <w:spacing w:after="0" w:line="276" w:lineRule="auto"/>
        <w:rPr>
          <w:sz w:val="20"/>
          <w:szCs w:val="20"/>
          <w:color w:val="auto"/>
        </w:rPr>
      </w:pPr>
      <w:r>
        <w:rPr>
          <w:rFonts w:ascii="Arial" w:cs="Arial" w:eastAsia="Arial" w:hAnsi="Arial"/>
          <w:sz w:val="18"/>
          <w:szCs w:val="18"/>
          <w:color w:val="auto"/>
        </w:rPr>
        <w:t>Our preliminary data show that RNA interference-mediated silencing of GYS1 messenger RNA, or mRNA, provides therapeutic benefit in low dose mouse models by decreasing abnormal glycogen formation in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1688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455"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Neurodevelopmental Disorders</w:t>
      </w:r>
    </w:p>
    <w:p>
      <w:pPr>
        <w:spacing w:after="0" w:line="104" w:lineRule="exact"/>
        <w:rPr>
          <w:sz w:val="20"/>
          <w:szCs w:val="20"/>
          <w:color w:val="auto"/>
        </w:rPr>
      </w:pPr>
    </w:p>
    <w:p>
      <w:pPr>
        <w:ind w:right="280" w:firstLine="562"/>
        <w:spacing w:after="0" w:line="245" w:lineRule="auto"/>
        <w:rPr>
          <w:sz w:val="20"/>
          <w:szCs w:val="20"/>
          <w:color w:val="auto"/>
        </w:rPr>
      </w:pPr>
      <w:r>
        <w:rPr>
          <w:rFonts w:ascii="Arial" w:cs="Arial" w:eastAsia="Arial" w:hAnsi="Arial"/>
          <w:sz w:val="18"/>
          <w:szCs w:val="18"/>
          <w:color w:val="auto"/>
        </w:rPr>
        <w:t>Neurodevelopmental disorders are a group of conditions whose age of onset occurs during the time when the brain is developing, typically between infancy and adolescence. Neurodevelopmental disorders can manifest as difficulties with language, speech and communication, motor skills, behavior, memory, learning and other neurological functions. The range of developmental deficits varies from very specific limitations of learning or control of executive functions to severe global impairments of social skills, intelligence and motor functioning.</w:t>
      </w:r>
    </w:p>
    <w:p>
      <w:pPr>
        <w:spacing w:after="0" w:line="172"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The treatment of neurodevelopmental disorders is tailored towards symptom management and administered by an interdisciplinary team of neurologists, clinical psychologists, cognitive therapists, speech and language experts, behavioral therapists, and other specialists. Pharmacological interventions include but are not limited to typical and atypical antipsychotics, antiepileptic drugs, antidepressants and anti-anxiety medications.</w:t>
      </w:r>
    </w:p>
    <w:p>
      <w:pPr>
        <w:spacing w:after="0" w:line="170" w:lineRule="exact"/>
        <w:rPr>
          <w:sz w:val="20"/>
          <w:szCs w:val="20"/>
          <w:color w:val="auto"/>
        </w:rPr>
      </w:pPr>
    </w:p>
    <w:p>
      <w:pPr>
        <w:jc w:val="both"/>
        <w:ind w:right="20" w:firstLine="562"/>
        <w:spacing w:after="0" w:line="255" w:lineRule="auto"/>
        <w:rPr>
          <w:sz w:val="20"/>
          <w:szCs w:val="20"/>
          <w:color w:val="auto"/>
        </w:rPr>
      </w:pPr>
      <w:r>
        <w:rPr>
          <w:rFonts w:ascii="Arial" w:cs="Arial" w:eastAsia="Arial" w:hAnsi="Arial"/>
          <w:sz w:val="18"/>
          <w:szCs w:val="18"/>
          <w:color w:val="auto"/>
        </w:rPr>
        <w:t>We are developing TSHA-102, a neurodevelopmental product candidate, for the treatment of Rett syndrome. We are also developing product candidates for the treatment of other neurodevelopmental disorders, including Angelman syndrome, Fragile X syndrome, Prader-Willi syndrome and FOXG1 syndrome.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TSHA-102 for the Treatment of Rett Syndrome</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Rett Syndrome</w:t>
      </w:r>
    </w:p>
    <w:p>
      <w:pPr>
        <w:spacing w:after="0" w:line="102" w:lineRule="exact"/>
        <w:rPr>
          <w:sz w:val="20"/>
          <w:szCs w:val="20"/>
          <w:color w:val="auto"/>
        </w:rPr>
      </w:pPr>
    </w:p>
    <w:p>
      <w:pPr>
        <w:ind w:right="180" w:firstLine="562"/>
        <w:spacing w:after="0" w:line="243" w:lineRule="auto"/>
        <w:rPr>
          <w:sz w:val="20"/>
          <w:szCs w:val="20"/>
          <w:color w:val="auto"/>
        </w:rPr>
      </w:pPr>
      <w:r>
        <w:rPr>
          <w:rFonts w:ascii="Arial" w:cs="Arial" w:eastAsia="Arial" w:hAnsi="Arial"/>
          <w:sz w:val="18"/>
          <w:szCs w:val="18"/>
          <w:color w:val="auto"/>
        </w:rPr>
        <w:t xml:space="preserve">Rett syndrome is one of the most common genetic causes of severe intellectual disability worldwide with an incidence rate of one in every 10,000 live female births. After a period of normal development, girls with Rett syndrome experience rapid developmental regression characterized by a loss of speech and motor control. Cognitive and intellectual disabilities are common, as is dysfunction of the autonomic nervous system resulting in breathing, cardiovascular, and gastrointestinal abnormalities. Approximately 95% of Rett syndrome patients are females carrying heterozygous loss-of-function mutations in </w:t>
      </w:r>
      <w:r>
        <w:rPr>
          <w:rFonts w:ascii="Arial" w:cs="Arial" w:eastAsia="Arial" w:hAnsi="Arial"/>
          <w:sz w:val="18"/>
          <w:szCs w:val="18"/>
          <w:i w:val="1"/>
          <w:iCs w:val="1"/>
          <w:color w:val="auto"/>
        </w:rPr>
        <w:t>MECP2</w:t>
      </w:r>
      <w:r>
        <w:rPr>
          <w:rFonts w:ascii="Arial" w:cs="Arial" w:eastAsia="Arial" w:hAnsi="Arial"/>
          <w:sz w:val="18"/>
          <w:szCs w:val="18"/>
          <w:color w:val="auto"/>
        </w:rPr>
        <w:t>, a gene encoding methyl CpG-binding protein that is essential for neuronal and synaptic function in the brain.</w:t>
      </w:r>
    </w:p>
    <w:p>
      <w:pPr>
        <w:spacing w:after="0" w:line="174" w:lineRule="exact"/>
        <w:rPr>
          <w:sz w:val="20"/>
          <w:szCs w:val="20"/>
          <w:color w:val="auto"/>
        </w:rPr>
      </w:pPr>
    </w:p>
    <w:p>
      <w:pPr>
        <w:ind w:right="280" w:firstLine="562"/>
        <w:spacing w:after="0" w:line="245" w:lineRule="auto"/>
        <w:rPr>
          <w:sz w:val="20"/>
          <w:szCs w:val="20"/>
          <w:color w:val="auto"/>
        </w:rPr>
      </w:pPr>
      <w:r>
        <w:rPr>
          <w:rFonts w:ascii="Arial" w:cs="Arial" w:eastAsia="Arial" w:hAnsi="Arial"/>
          <w:sz w:val="18"/>
          <w:szCs w:val="18"/>
          <w:color w:val="auto"/>
        </w:rPr>
        <w:t>Currently, there is no cure for Rett syndrome and available treatments for Rett syndrome are mainly to address symptoms. The primary focus of symptomatic therapy is ensuring that patients have access to the appropriate care specialists along with access to occupational therapy, speech therapy and physiotherapy. Sodium valproate, lamotrigine, levetiracetam, carbamazepine and clobazam are commonly prescribed to control seizures. There is a sudden death rate of 26% in Rett syndrome and patients mainly perish due to cardiac complications, respiratory infection and respiratory failure.</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 xml:space="preserve">In February 2007, Sir Adrian Bird, Ph.D., a Professor of Genetics at the University of Edinburgh, published a seminal paper demonstrating the reversibility of symptoms associated with Rett syndrome in mice. This work suggested for the first time that neurological damage caused by the absence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may be reversible in children and adults with Rett syndrome. To demonstrate the ability to reverse the onset of Rett syndrome, researchers in the Bird lab generated mouse models in which </w:t>
      </w:r>
      <w:r>
        <w:rPr>
          <w:rFonts w:ascii="Arial" w:cs="Arial" w:eastAsia="Arial" w:hAnsi="Arial"/>
          <w:sz w:val="18"/>
          <w:szCs w:val="18"/>
          <w:i w:val="1"/>
          <w:iCs w:val="1"/>
          <w:color w:val="auto"/>
        </w:rPr>
        <w:t>MECP2</w:t>
      </w:r>
      <w:r>
        <w:rPr>
          <w:rFonts w:ascii="Arial" w:cs="Arial" w:eastAsia="Arial" w:hAnsi="Arial"/>
          <w:sz w:val="18"/>
          <w:szCs w:val="18"/>
          <w:color w:val="auto"/>
        </w:rPr>
        <w:t xml:space="preserve"> expression was conditionally silenced, which resulted in neurological and behavioral deficits that mirrored those seen in patients diagnosed with Rett syndrome. Upon reactivation of the </w:t>
      </w:r>
      <w:r>
        <w:rPr>
          <w:rFonts w:ascii="Arial" w:cs="Arial" w:eastAsia="Arial" w:hAnsi="Arial"/>
          <w:sz w:val="18"/>
          <w:szCs w:val="18"/>
          <w:i w:val="1"/>
          <w:iCs w:val="1"/>
          <w:color w:val="auto"/>
        </w:rPr>
        <w:t>MECP2</w:t>
      </w:r>
      <w:r>
        <w:rPr>
          <w:rFonts w:ascii="Arial" w:cs="Arial" w:eastAsia="Arial" w:hAnsi="Arial"/>
          <w:sz w:val="18"/>
          <w:szCs w:val="18"/>
          <w:color w:val="auto"/>
        </w:rPr>
        <w:t xml:space="preserve"> gene, behavioral deficits were restored, and electrophysiological function was also returned to levels seen in wild type mice. These findings represented a landmark moment for the field and provided evidence that it may be possible to not only halt the symptoms of Rett syndrome, but to potentially reverse the course of the disease.</w:t>
      </w:r>
    </w:p>
    <w:p>
      <w:pPr>
        <w:spacing w:after="0" w:line="180"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Several peer-reviewed publications have subsequently explored the safety and efficacy of AAV-based gene therapy for the treatment of Rett syndrome, including in preclinical studies that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5"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showed that delivery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and, more recently,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extended the survival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knockout mice, a commonly used mouse model that recapitulates the symptoms of Rett syndrome. However, AAV delivery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or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resulted in dose-dependent toxicity in wild type and </w:t>
      </w:r>
      <w:r>
        <w:rPr>
          <w:rFonts w:ascii="Arial" w:cs="Arial" w:eastAsia="Arial" w:hAnsi="Arial"/>
          <w:sz w:val="18"/>
          <w:szCs w:val="18"/>
          <w:i w:val="1"/>
          <w:iCs w:val="1"/>
          <w:color w:val="auto"/>
        </w:rPr>
        <w:t>MECP2</w:t>
      </w:r>
      <w:r>
        <w:rPr>
          <w:rFonts w:ascii="Arial" w:cs="Arial" w:eastAsia="Arial" w:hAnsi="Arial"/>
          <w:sz w:val="18"/>
          <w:szCs w:val="18"/>
          <w:color w:val="auto"/>
        </w:rPr>
        <w:t xml:space="preserve"> knock out mice. Given the underlying biology of the disease, there is consensus among researchers that toxicity in these models is most likely linked to unregulated 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or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This overexpression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is seen in the clinic in patients with a condition known as Rett duplication syndrome, where elevated levels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result in a clinical phenotype similar to Rett syndrome both in terms of symptoms and severity.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TSHA-102</w:t>
      </w:r>
    </w:p>
    <w:p>
      <w:pPr>
        <w:spacing w:after="0" w:line="102"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 xml:space="preserve">We are developing TSHA-102, a neurodevelopmental product candidate, for the treatment of Rett syndrome. In order to develop an effective therapy for Rett syndrome, </w:t>
      </w:r>
      <w:r>
        <w:rPr>
          <w:rFonts w:ascii="Arial" w:cs="Arial" w:eastAsia="Arial" w:hAnsi="Arial"/>
          <w:sz w:val="18"/>
          <w:szCs w:val="18"/>
          <w:i w:val="1"/>
          <w:iCs w:val="1"/>
          <w:color w:val="auto"/>
        </w:rPr>
        <w:t>MECP2</w:t>
      </w:r>
      <w:r>
        <w:rPr>
          <w:rFonts w:ascii="Arial" w:cs="Arial" w:eastAsia="Arial" w:hAnsi="Arial"/>
          <w:sz w:val="18"/>
          <w:szCs w:val="18"/>
          <w:color w:val="auto"/>
        </w:rPr>
        <w:t xml:space="preserve"> expression needs to be titrated to correct the </w:t>
      </w:r>
      <w:r>
        <w:rPr>
          <w:rFonts w:ascii="Arial" w:cs="Arial" w:eastAsia="Arial" w:hAnsi="Arial"/>
          <w:sz w:val="18"/>
          <w:szCs w:val="18"/>
          <w:i w:val="1"/>
          <w:iCs w:val="1"/>
          <w:color w:val="auto"/>
        </w:rPr>
        <w:t>MECP2</w:t>
      </w:r>
      <w:r>
        <w:rPr>
          <w:rFonts w:ascii="Arial" w:cs="Arial" w:eastAsia="Arial" w:hAnsi="Arial"/>
          <w:sz w:val="18"/>
          <w:szCs w:val="18"/>
          <w:color w:val="auto"/>
        </w:rPr>
        <w:t xml:space="preserve"> deficiency while avoiding side effects associated with toxic overexpression.</w:t>
      </w:r>
    </w:p>
    <w:p>
      <w:pPr>
        <w:spacing w:after="0" w:line="16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i w:val="1"/>
          <w:iCs w:val="1"/>
          <w:color w:val="auto"/>
        </w:rPr>
        <w:t xml:space="preserve">MECP2 </w:t>
      </w:r>
      <w:r>
        <w:rPr>
          <w:rFonts w:ascii="Arial" w:cs="Arial" w:eastAsia="Arial" w:hAnsi="Arial"/>
          <w:sz w:val="18"/>
          <w:szCs w:val="18"/>
          <w:color w:val="auto"/>
        </w:rPr>
        <w:t>is a transcription factor within the cell that regulates many other genes involved in neurodevelopmental function. Levels of</w:t>
      </w:r>
      <w:r>
        <w:rPr>
          <w:rFonts w:ascii="Arial" w:cs="Arial" w:eastAsia="Arial" w:hAnsi="Arial"/>
          <w:sz w:val="18"/>
          <w:szCs w:val="18"/>
          <w:i w:val="1"/>
          <w:iCs w:val="1"/>
          <w:color w:val="auto"/>
        </w:rPr>
        <w:t xml:space="preserve"> MECP2 </w:t>
      </w:r>
      <w:r>
        <w:rPr>
          <w:rFonts w:ascii="Arial" w:cs="Arial" w:eastAsia="Arial" w:hAnsi="Arial"/>
          <w:sz w:val="18"/>
          <w:szCs w:val="18"/>
          <w:color w:val="auto"/>
        </w:rPr>
        <w:t>are regulated within the cell endogenously by a number of different miRNAs. We utilized this natural regulatory phenomenon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develop miRARE, our miRNA target panel. miRARE binds those endogenous miRNA species whose expression levels are upregulated as a result of exogenous </w:t>
      </w:r>
      <w:r>
        <w:rPr>
          <w:rFonts w:ascii="Arial" w:cs="Arial" w:eastAsia="Arial" w:hAnsi="Arial"/>
          <w:sz w:val="18"/>
          <w:szCs w:val="18"/>
          <w:i w:val="1"/>
          <w:iCs w:val="1"/>
          <w:color w:val="auto"/>
        </w:rPr>
        <w:t>MECP2</w:t>
      </w:r>
      <w:r>
        <w:rPr>
          <w:rFonts w:ascii="Arial" w:cs="Arial" w:eastAsia="Arial" w:hAnsi="Arial"/>
          <w:sz w:val="18"/>
          <w:szCs w:val="18"/>
          <w:color w:val="auto"/>
        </w:rPr>
        <w:t xml:space="preserve"> protein expression. When miRARE is incorporated into the 3’ untranslated region of our expression cassette, it functions as a mechanism to permit therapeutic 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while buffering against toxic overexpression,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141605</wp:posOffset>
            </wp:positionV>
            <wp:extent cx="5194935" cy="3326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94935"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 xml:space="preserve">TSHA-102 is constructed from a neuronal specific promoter, MeP426, coupled with the </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transgene and our miRARE panel packaged in self-complementary AAV9.</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received rare pediatric disease designation from the FDA for TSHA-102 for the treatment of Rett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1697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Preclinical Studies</w:t>
      </w:r>
    </w:p>
    <w:p>
      <w:pPr>
        <w:spacing w:after="0" w:line="10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In preclinical studies, we observed that TSHA-102 had a favorable tolerability profile and increased survival in a wild type mice model. In these studies, wild type mice were treated with low doses of 1 x 10</w:t>
      </w:r>
      <w:r>
        <w:rPr>
          <w:rFonts w:ascii="Arial" w:cs="Arial" w:eastAsia="Arial" w:hAnsi="Arial"/>
          <w:sz w:val="15"/>
          <w:szCs w:val="15"/>
          <w:color w:val="auto"/>
        </w:rPr>
        <w:t>11</w:t>
      </w:r>
      <w:r>
        <w:rPr>
          <w:rFonts w:ascii="Arial" w:cs="Arial" w:eastAsia="Arial" w:hAnsi="Arial"/>
          <w:sz w:val="18"/>
          <w:szCs w:val="18"/>
          <w:color w:val="auto"/>
        </w:rPr>
        <w:t xml:space="preserve"> vg or high doses of 1 x 10</w:t>
      </w:r>
      <w:r>
        <w:rPr>
          <w:rFonts w:ascii="Arial" w:cs="Arial" w:eastAsia="Arial" w:hAnsi="Arial"/>
          <w:sz w:val="15"/>
          <w:szCs w:val="15"/>
          <w:color w:val="auto"/>
        </w:rPr>
        <w:t>12</w:t>
      </w:r>
      <w:r>
        <w:rPr>
          <w:rFonts w:ascii="Arial" w:cs="Arial" w:eastAsia="Arial" w:hAnsi="Arial"/>
          <w:sz w:val="18"/>
          <w:szCs w:val="18"/>
          <w:color w:val="auto"/>
        </w:rPr>
        <w:t xml:space="preserve"> doses of either unregulated AAV9/</w:t>
      </w:r>
      <w:r>
        <w:rPr>
          <w:rFonts w:ascii="Arial" w:cs="Arial" w:eastAsia="Arial" w:hAnsi="Arial"/>
          <w:sz w:val="18"/>
          <w:szCs w:val="18"/>
          <w:i w:val="1"/>
          <w:iCs w:val="1"/>
          <w:color w:val="auto"/>
        </w:rPr>
        <w:t>MECP2</w:t>
      </w:r>
      <w:r>
        <w:rPr>
          <w:rFonts w:ascii="Arial" w:cs="Arial" w:eastAsia="Arial" w:hAnsi="Arial"/>
          <w:sz w:val="18"/>
          <w:szCs w:val="18"/>
          <w:color w:val="auto"/>
        </w:rPr>
        <w:t>, unregulated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or TSHA-102 at four to five weeks of age. Mice treated with the high dose of unregulated constructs experienced early lethality, while the low dose unregulated constructs were similar to vehicle. Mice treated with TSHA-102 had no deaths associated with treatment,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7946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604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i w:val="1"/>
          <w:iCs w:val="1"/>
          <w:color w:val="auto"/>
        </w:rPr>
        <w:t xml:space="preserve">MECP2 </w:t>
      </w:r>
      <w:r>
        <w:rPr>
          <w:rFonts w:ascii="Arial" w:cs="Arial" w:eastAsia="Arial" w:hAnsi="Arial"/>
          <w:sz w:val="18"/>
          <w:szCs w:val="18"/>
          <w:color w:val="auto"/>
        </w:rPr>
        <w:t>dose-dependent side effects, leading to an increase in the aggregate score of a well-recognized, validated Rett behavioral</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tool used in mice, were observed in the cohorts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455" w:right="3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treated with unregulated AAV9/</w:t>
      </w:r>
      <w:r>
        <w:rPr>
          <w:rFonts w:ascii="Arial" w:cs="Arial" w:eastAsia="Arial" w:hAnsi="Arial"/>
          <w:sz w:val="18"/>
          <w:szCs w:val="18"/>
          <w:i w:val="1"/>
          <w:iCs w:val="1"/>
          <w:color w:val="auto"/>
        </w:rPr>
        <w:t>MECP2</w:t>
      </w:r>
      <w:r>
        <w:rPr>
          <w:rFonts w:ascii="Arial" w:cs="Arial" w:eastAsia="Arial" w:hAnsi="Arial"/>
          <w:sz w:val="18"/>
          <w:szCs w:val="18"/>
          <w:color w:val="auto"/>
        </w:rPr>
        <w:t xml:space="preserve"> or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as shown in the figure below. This increase in aggregate score is a reflection of overexpression of </w:t>
      </w:r>
      <w:r>
        <w:rPr>
          <w:rFonts w:ascii="Arial" w:cs="Arial" w:eastAsia="Arial" w:hAnsi="Arial"/>
          <w:sz w:val="18"/>
          <w:szCs w:val="18"/>
          <w:i w:val="1"/>
          <w:iCs w:val="1"/>
          <w:color w:val="auto"/>
        </w:rPr>
        <w:t>MECP2</w:t>
      </w:r>
      <w:r>
        <w:rPr>
          <w:rFonts w:ascii="Arial" w:cs="Arial" w:eastAsia="Arial" w:hAnsi="Arial"/>
          <w:sz w:val="18"/>
          <w:szCs w:val="18"/>
          <w:color w:val="auto"/>
        </w:rPr>
        <w:t xml:space="preserve"> causing Rett-like symptoms in these mice, as is seen in Rett duplication syndrome. In contrast, TSHA-102 was well tolerated and aggregate scores were similar to those of mice treated with vehicle only. This aggregate scale includes six sub-scales for abnormal mobility, abnormal gait, hindlimb clasping, tremors, abnormal breathing and abnormal general appearance. Sub-scales were each assessed on a scale of 0 to 12, with 12 being the maximum aggregate score attainable. Scorers were blind to treatment and genotype, and lower scores indicate better tolerability.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141605</wp:posOffset>
            </wp:positionV>
            <wp:extent cx="5186045" cy="18262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86045"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MECP2</w:t>
      </w:r>
      <w:r>
        <w:rPr>
          <w:rFonts w:ascii="Arial" w:cs="Arial" w:eastAsia="Arial" w:hAnsi="Arial"/>
          <w:sz w:val="18"/>
          <w:szCs w:val="18"/>
          <w:color w:val="auto"/>
        </w:rPr>
        <w:t xml:space="preserve"> knockout mice, unregulated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failed to extend survival at either dose tested. In contrast, TSHA-102 dosed at 1x10</w:t>
      </w:r>
      <w:r>
        <w:rPr>
          <w:rFonts w:ascii="Arial" w:cs="Arial" w:eastAsia="Arial" w:hAnsi="Arial"/>
          <w:sz w:val="15"/>
          <w:szCs w:val="15"/>
          <w:color w:val="auto"/>
        </w:rPr>
        <w:t>12</w:t>
      </w:r>
      <w:r>
        <w:rPr>
          <w:rFonts w:ascii="Arial" w:cs="Arial" w:eastAsia="Arial" w:hAnsi="Arial"/>
          <w:sz w:val="18"/>
          <w:szCs w:val="18"/>
          <w:color w:val="auto"/>
        </w:rPr>
        <w:t xml:space="preserve"> vg/mouse extended survival by 56%. Importantly, although there is a strong trend toward increased survival in mice treated with AAV9/</w:t>
      </w:r>
      <w:r>
        <w:rPr>
          <w:rFonts w:ascii="Arial" w:cs="Arial" w:eastAsia="Arial" w:hAnsi="Arial"/>
          <w:sz w:val="18"/>
          <w:szCs w:val="18"/>
          <w:i w:val="1"/>
          <w:iCs w:val="1"/>
          <w:color w:val="auto"/>
        </w:rPr>
        <w:t>MECP2</w:t>
      </w:r>
      <w:r>
        <w:rPr>
          <w:rFonts w:ascii="Arial" w:cs="Arial" w:eastAsia="Arial" w:hAnsi="Arial"/>
          <w:sz w:val="18"/>
          <w:szCs w:val="18"/>
          <w:color w:val="auto"/>
        </w:rPr>
        <w:t>, studies in wild type mice showed unacceptable toxicity with this vector design at this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9716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604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60" w:firstLine="562"/>
        <w:spacing w:after="0" w:line="245" w:lineRule="auto"/>
        <w:rPr>
          <w:sz w:val="20"/>
          <w:szCs w:val="20"/>
          <w:color w:val="auto"/>
        </w:rPr>
      </w:pPr>
      <w:r>
        <w:rPr>
          <w:rFonts w:ascii="Arial" w:cs="Arial" w:eastAsia="Arial" w:hAnsi="Arial"/>
          <w:sz w:val="18"/>
          <w:szCs w:val="18"/>
          <w:color w:val="auto"/>
        </w:rPr>
        <w:t xml:space="preserve">We observed TSHA-102 to be well tolerated, with no behavioral abnormalities or other side effects associated with </w:t>
      </w:r>
      <w:r>
        <w:rPr>
          <w:rFonts w:ascii="Arial" w:cs="Arial" w:eastAsia="Arial" w:hAnsi="Arial"/>
          <w:sz w:val="18"/>
          <w:szCs w:val="18"/>
          <w:i w:val="1"/>
          <w:iCs w:val="1"/>
          <w:color w:val="auto"/>
        </w:rPr>
        <w:t>MECP2</w:t>
      </w:r>
      <w:r>
        <w:rPr>
          <w:rFonts w:ascii="Arial" w:cs="Arial" w:eastAsia="Arial" w:hAnsi="Arial"/>
          <w:sz w:val="18"/>
          <w:szCs w:val="18"/>
          <w:color w:val="auto"/>
        </w:rPr>
        <w:t xml:space="preserve"> overexpression. We evaluated the safety of TSHA-102 in wild type mice following intrathecal administration. While AAV9/</w:t>
      </w:r>
      <w:r>
        <w:rPr>
          <w:rFonts w:ascii="Arial" w:cs="Arial" w:eastAsia="Arial" w:hAnsi="Arial"/>
          <w:sz w:val="18"/>
          <w:szCs w:val="18"/>
          <w:i w:val="1"/>
          <w:iCs w:val="1"/>
          <w:color w:val="auto"/>
        </w:rPr>
        <w:t>MECP2</w:t>
      </w:r>
      <w:r>
        <w:rPr>
          <w:rFonts w:ascii="Arial" w:cs="Arial" w:eastAsia="Arial" w:hAnsi="Arial"/>
          <w:sz w:val="18"/>
          <w:szCs w:val="18"/>
          <w:color w:val="auto"/>
        </w:rPr>
        <w:t xml:space="preserve"> and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caused dose-responsive reductions in weight, weight reduction was not observed in mice treated with TSHA-102. In addition, no tail lesions were observed among mice treated with TSHA-102. In contrast, lesions were observed in 8% to 17% of wild type mice treated with unregulated AAV9/</w:t>
      </w:r>
      <w:r>
        <w:rPr>
          <w:rFonts w:ascii="Arial" w:cs="Arial" w:eastAsia="Arial" w:hAnsi="Arial"/>
          <w:sz w:val="18"/>
          <w:szCs w:val="18"/>
          <w:i w:val="1"/>
          <w:iCs w:val="1"/>
          <w:color w:val="auto"/>
        </w:rPr>
        <w:t>miniMECP2</w:t>
      </w:r>
      <w:r>
        <w:rPr>
          <w:rFonts w:ascii="Arial" w:cs="Arial" w:eastAsia="Arial" w:hAnsi="Arial"/>
          <w:sz w:val="18"/>
          <w:szCs w:val="18"/>
          <w:color w:val="auto"/>
        </w:rPr>
        <w:t xml:space="preserve"> and 8% of mice treated with unregulated AAV9/</w:t>
      </w:r>
      <w:r>
        <w:rPr>
          <w:rFonts w:ascii="Arial" w:cs="Arial" w:eastAsia="Arial" w:hAnsi="Arial"/>
          <w:sz w:val="18"/>
          <w:szCs w:val="18"/>
          <w:i w:val="1"/>
          <w:iCs w:val="1"/>
          <w:color w:val="auto"/>
        </w:rPr>
        <w:t>MECP2</w:t>
      </w:r>
      <w:r>
        <w:rPr>
          <w:rFonts w:ascii="Arial" w:cs="Arial" w:eastAsia="Arial" w:hAnsi="Arial"/>
          <w:sz w:val="18"/>
          <w:szCs w:val="18"/>
          <w:color w:val="auto"/>
        </w:rPr>
        <w: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455" w:right="37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Development</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Following the completion of Good Laboratory Practice, or GLP,-toxicology studies in NHPs and the completion of additional preclinical studies, we intend to submit an IND to the FDA by the end of 2021. In clinical trials, we intend to evaluate safety, tolerability and efficacy utilizing multiple clinical scales and biomarkers. Breathing disorders are reported in over 66% of patients with Rett syndrome, often leading to sleep disorders. Patients hyperventilate, hold their breath and have apneic episodes, leading to poor sleep quality. Accordingly, we plan to measure both sleep quality and breathing in our clinical trials. In addition, epilepsy is reported in over 60% of patients with Rett syndrome and likely will serve as a secondary efficacy endpoint in our trials.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Neurodevelopmental Programs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TSHA-106 for Angelman Syndrome</w:t>
      </w:r>
    </w:p>
    <w:p>
      <w:pPr>
        <w:spacing w:after="0" w:line="102"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 xml:space="preserve">We are developing TSHA-106 for the treatment of Angelman syndrome, a neurodevelopmental disorder caused by a maternal deficiency of the </w:t>
      </w:r>
      <w:r>
        <w:rPr>
          <w:rFonts w:ascii="Arial" w:cs="Arial" w:eastAsia="Arial" w:hAnsi="Arial"/>
          <w:sz w:val="18"/>
          <w:szCs w:val="18"/>
          <w:i w:val="1"/>
          <w:iCs w:val="1"/>
          <w:color w:val="auto"/>
        </w:rPr>
        <w:t>UBE3A</w:t>
      </w:r>
      <w:r>
        <w:rPr>
          <w:rFonts w:ascii="Arial" w:cs="Arial" w:eastAsia="Arial" w:hAnsi="Arial"/>
          <w:sz w:val="18"/>
          <w:szCs w:val="18"/>
          <w:color w:val="auto"/>
        </w:rPr>
        <w:t xml:space="preserve"> gene. Angelman syndrome is characterized by profound developmental delay, ataxia and gait disturbance, sleep disorder, seizures, heightened anxiety and aggression and severe speech impairments. Angelman syndrome affects approximately one per 12,000 to 20,000 patients worldwide.</w:t>
      </w:r>
    </w:p>
    <w:p>
      <w:pPr>
        <w:spacing w:after="0" w:line="170" w:lineRule="exact"/>
        <w:rPr>
          <w:sz w:val="20"/>
          <w:szCs w:val="20"/>
          <w:color w:val="auto"/>
        </w:rPr>
      </w:pPr>
    </w:p>
    <w:p>
      <w:pPr>
        <w:ind w:right="380" w:firstLine="562"/>
        <w:spacing w:after="0" w:line="255" w:lineRule="auto"/>
        <w:rPr>
          <w:sz w:val="20"/>
          <w:szCs w:val="20"/>
          <w:color w:val="auto"/>
        </w:rPr>
      </w:pPr>
      <w:r>
        <w:rPr>
          <w:rFonts w:ascii="Arial" w:cs="Arial" w:eastAsia="Arial" w:hAnsi="Arial"/>
          <w:sz w:val="18"/>
          <w:szCs w:val="18"/>
          <w:color w:val="auto"/>
        </w:rPr>
        <w:t xml:space="preserve">Angelman syndrome is an imprinting disorder in which the maternal gene is deficient and the paternal copy of </w:t>
      </w:r>
      <w:r>
        <w:rPr>
          <w:rFonts w:ascii="Arial" w:cs="Arial" w:eastAsia="Arial" w:hAnsi="Arial"/>
          <w:sz w:val="18"/>
          <w:szCs w:val="18"/>
          <w:i w:val="1"/>
          <w:iCs w:val="1"/>
          <w:color w:val="auto"/>
        </w:rPr>
        <w:t>UBE3A</w:t>
      </w:r>
      <w:r>
        <w:rPr>
          <w:rFonts w:ascii="Arial" w:cs="Arial" w:eastAsia="Arial" w:hAnsi="Arial"/>
          <w:sz w:val="18"/>
          <w:szCs w:val="18"/>
          <w:color w:val="auto"/>
        </w:rPr>
        <w:t xml:space="preserve"> is intact but silenced by a long non-coding RNA, </w:t>
      </w:r>
      <w:r>
        <w:rPr>
          <w:rFonts w:ascii="Arial" w:cs="Arial" w:eastAsia="Arial" w:hAnsi="Arial"/>
          <w:sz w:val="18"/>
          <w:szCs w:val="18"/>
          <w:i w:val="1"/>
          <w:iCs w:val="1"/>
          <w:color w:val="auto"/>
        </w:rPr>
        <w:t>UBE3A</w:t>
      </w:r>
      <w:r>
        <w:rPr>
          <w:rFonts w:ascii="Arial" w:cs="Arial" w:eastAsia="Arial" w:hAnsi="Arial"/>
          <w:sz w:val="18"/>
          <w:szCs w:val="18"/>
          <w:color w:val="auto"/>
        </w:rPr>
        <w:t xml:space="preserve"> antisense transcript, or </w:t>
      </w:r>
      <w:r>
        <w:rPr>
          <w:rFonts w:ascii="Arial" w:cs="Arial" w:eastAsia="Arial" w:hAnsi="Arial"/>
          <w:sz w:val="18"/>
          <w:szCs w:val="18"/>
          <w:i w:val="1"/>
          <w:iCs w:val="1"/>
          <w:color w:val="auto"/>
        </w:rPr>
        <w:t>UBE3A</w:t>
      </w:r>
      <w:r>
        <w:rPr>
          <w:rFonts w:ascii="Arial" w:cs="Arial" w:eastAsia="Arial" w:hAnsi="Arial"/>
          <w:sz w:val="18"/>
          <w:szCs w:val="18"/>
          <w:color w:val="auto"/>
        </w:rPr>
        <w:t>-ATS. Delivery of an ASO targeting UBE3A-ATS showed promising results in ameliorating Angelman syndrome symptoms in a transgenic mouse model.</w:t>
      </w:r>
    </w:p>
    <w:p>
      <w:pPr>
        <w:spacing w:after="0" w:line="164"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 xml:space="preserve">We are developing TSHA-106 to target the </w:t>
      </w:r>
      <w:r>
        <w:rPr>
          <w:rFonts w:ascii="Arial" w:cs="Arial" w:eastAsia="Arial" w:hAnsi="Arial"/>
          <w:sz w:val="18"/>
          <w:szCs w:val="18"/>
          <w:i w:val="1"/>
          <w:iCs w:val="1"/>
          <w:color w:val="auto"/>
        </w:rPr>
        <w:t>UBE3A</w:t>
      </w:r>
      <w:r>
        <w:rPr>
          <w:rFonts w:ascii="Arial" w:cs="Arial" w:eastAsia="Arial" w:hAnsi="Arial"/>
          <w:sz w:val="18"/>
          <w:szCs w:val="18"/>
          <w:color w:val="auto"/>
        </w:rPr>
        <w:t>-ATS transcript through shRNA knock-down with an AAV-based strategy in order to achieve broad distribution of the shRNA expression cassette across the entire CNS following a single intrathecal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17145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8604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TSHA-114 for Fragile X Syndrome</w:t>
      </w:r>
    </w:p>
    <w:p>
      <w:pPr>
        <w:spacing w:after="0" w:line="102"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spacing w:after="0" w:line="164" w:lineRule="exact"/>
        <w:rPr>
          <w:sz w:val="20"/>
          <w:szCs w:val="20"/>
          <w:color w:val="auto"/>
        </w:rPr>
      </w:pPr>
    </w:p>
    <w:p>
      <w:pPr>
        <w:ind w:right="360" w:firstLine="562"/>
        <w:spacing w:after="0" w:line="276" w:lineRule="auto"/>
        <w:rPr>
          <w:sz w:val="20"/>
          <w:szCs w:val="20"/>
          <w:color w:val="auto"/>
        </w:rPr>
      </w:pPr>
      <w:r>
        <w:rPr>
          <w:rFonts w:ascii="Arial" w:cs="Arial" w:eastAsia="Arial" w:hAnsi="Arial"/>
          <w:sz w:val="18"/>
          <w:szCs w:val="18"/>
          <w:color w:val="auto"/>
        </w:rPr>
        <w:t xml:space="preserve">Fragile X syndrome is caused by a pathological expansion of a CGG triplet repeat in the 5’ untranslated region of the </w:t>
      </w:r>
      <w:r>
        <w:rPr>
          <w:rFonts w:ascii="Arial" w:cs="Arial" w:eastAsia="Arial" w:hAnsi="Arial"/>
          <w:sz w:val="18"/>
          <w:szCs w:val="18"/>
          <w:i w:val="1"/>
          <w:iCs w:val="1"/>
          <w:color w:val="auto"/>
        </w:rPr>
        <w:t>FMR1</w:t>
      </w:r>
      <w:r>
        <w:rPr>
          <w:rFonts w:ascii="Arial" w:cs="Arial" w:eastAsia="Arial" w:hAnsi="Arial"/>
          <w:sz w:val="18"/>
          <w:szCs w:val="18"/>
          <w:color w:val="auto"/>
        </w:rPr>
        <w:t xml:space="preserve"> gene. Expansion of the triplet above the normal 5–55 repeats to 200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5"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spacing w:after="0" w:line="172"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We are developing TSHA-114 using truncated promoters that mimic the natural developmental expression of FMRP. In addition, we have selected to express a human FMRP isoform to ensure that FMRP expression is appropriately localized to the cytosol, axon, nerve terminals, and nucleus in the proper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697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TSHA-116 for Prader-Willi Syndrome</w:t>
      </w:r>
    </w:p>
    <w:p>
      <w:pPr>
        <w:spacing w:after="0" w:line="10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We are developing TSHA-116 for the treatment of Prader-Willi syndrome, a genetic disorder caused by paternal loss-of-function of genes along 15q11-q13 chromosomal region, or </w:t>
      </w:r>
      <w:r>
        <w:rPr>
          <w:rFonts w:ascii="Arial" w:cs="Arial" w:eastAsia="Arial" w:hAnsi="Arial"/>
          <w:sz w:val="18"/>
          <w:szCs w:val="18"/>
          <w:i w:val="1"/>
          <w:iCs w:val="1"/>
          <w:color w:val="auto"/>
        </w:rPr>
        <w:t>PWS</w:t>
      </w:r>
      <w:r>
        <w:rPr>
          <w:rFonts w:ascii="Arial" w:cs="Arial" w:eastAsia="Arial" w:hAnsi="Arial"/>
          <w:sz w:val="18"/>
          <w:szCs w:val="18"/>
          <w:color w:val="auto"/>
        </w:rPr>
        <w:t xml:space="preserve"> genes, due to an imprinting defect. The prevalence of Prader-Willi syndrome is estimated to be approximately one per 10,000 to 30,000 persons. During infancy, patients with Prader-Willi syndrome have feeding difficulties, poor growth and weak muscle tone. As the patient begins to age, their appetite becomes insatiable, resulting in obesity and type 2 diabetes. In addition, patients typically have mild to moderate intellectual disabilities, behavioral issues and sleep abnormalities.</w:t>
      </w:r>
    </w:p>
    <w:p>
      <w:pPr>
        <w:spacing w:after="0" w:line="172"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 xml:space="preserve">In patients, with Prader-Willi syndrome, the maternal genes are intact but silenced by epigenetic regulation, or the modulation of gene expression. Epigenetic regulation is accomplished by the euchromatic histone lysine N-methyltransferase-2, or </w:t>
      </w:r>
      <w:r>
        <w:rPr>
          <w:rFonts w:ascii="Arial" w:cs="Arial" w:eastAsia="Arial" w:hAnsi="Arial"/>
          <w:sz w:val="18"/>
          <w:szCs w:val="18"/>
          <w:i w:val="1"/>
          <w:iCs w:val="1"/>
          <w:color w:val="auto"/>
        </w:rPr>
        <w:t>EHMT2</w:t>
      </w:r>
      <w:r>
        <w:rPr>
          <w:rFonts w:ascii="Arial" w:cs="Arial" w:eastAsia="Arial" w:hAnsi="Arial"/>
          <w:sz w:val="18"/>
          <w:szCs w:val="18"/>
          <w:color w:val="auto"/>
        </w:rPr>
        <w:t>, gene.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455" w:right="3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 xml:space="preserve">We are developing TSHA-116 to restore gene function through reactivation of the silenced maternal genes. To accomplish this, we are designing vectors to target </w:t>
      </w:r>
      <w:r>
        <w:rPr>
          <w:rFonts w:ascii="Arial" w:cs="Arial" w:eastAsia="Arial" w:hAnsi="Arial"/>
          <w:sz w:val="18"/>
          <w:szCs w:val="18"/>
          <w:i w:val="1"/>
          <w:iCs w:val="1"/>
          <w:color w:val="auto"/>
        </w:rPr>
        <w:t>EHMT2</w:t>
      </w:r>
      <w:r>
        <w:rPr>
          <w:rFonts w:ascii="Arial" w:cs="Arial" w:eastAsia="Arial" w:hAnsi="Arial"/>
          <w:sz w:val="18"/>
          <w:szCs w:val="18"/>
          <w:color w:val="auto"/>
        </w:rPr>
        <w:t xml:space="preserve"> through shRNA knock-down and reduced levels of </w:t>
      </w:r>
      <w:r>
        <w:rPr>
          <w:rFonts w:ascii="Arial" w:cs="Arial" w:eastAsia="Arial" w:hAnsi="Arial"/>
          <w:sz w:val="18"/>
          <w:szCs w:val="18"/>
          <w:i w:val="1"/>
          <w:iCs w:val="1"/>
          <w:color w:val="auto"/>
        </w:rPr>
        <w:t>EHMT2</w:t>
      </w:r>
      <w:r>
        <w:rPr>
          <w:rFonts w:ascii="Arial" w:cs="Arial" w:eastAsia="Arial" w:hAnsi="Arial"/>
          <w:sz w:val="18"/>
          <w:szCs w:val="18"/>
          <w:color w:val="auto"/>
        </w:rPr>
        <w:t xml:space="preserve">, which would in turn activate the silenced </w:t>
      </w:r>
      <w:r>
        <w:rPr>
          <w:rFonts w:ascii="Arial" w:cs="Arial" w:eastAsia="Arial" w:hAnsi="Arial"/>
          <w:sz w:val="18"/>
          <w:szCs w:val="18"/>
          <w:i w:val="1"/>
          <w:iCs w:val="1"/>
          <w:color w:val="auto"/>
        </w:rPr>
        <w:t xml:space="preserve">PWS </w:t>
      </w:r>
      <w:r>
        <w:rPr>
          <w:rFonts w:ascii="Arial" w:cs="Arial" w:eastAsia="Arial" w:hAnsi="Arial"/>
          <w:sz w:val="18"/>
          <w:szCs w:val="18"/>
          <w:color w:val="auto"/>
        </w:rPr>
        <w:t>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706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8604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TSHA-117 for FOXG1 Syndrome</w:t>
      </w:r>
    </w:p>
    <w:p>
      <w:pPr>
        <w:spacing w:after="0" w:line="102"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 xml:space="preserve">We are developing TSHA-117 for the treatment of FOXG1 syndrome. FOXG1 syndrome is a neurodevelopmental disorder caused by pathogenic mutations in the </w:t>
      </w:r>
      <w:r>
        <w:rPr>
          <w:rFonts w:ascii="Arial" w:cs="Arial" w:eastAsia="Arial" w:hAnsi="Arial"/>
          <w:sz w:val="18"/>
          <w:szCs w:val="18"/>
          <w:i w:val="1"/>
          <w:iCs w:val="1"/>
          <w:color w:val="auto"/>
        </w:rPr>
        <w:t>FOXG1</w:t>
      </w:r>
      <w:r>
        <w:rPr>
          <w:rFonts w:ascii="Arial" w:cs="Arial" w:eastAsia="Arial" w:hAnsi="Arial"/>
          <w:sz w:val="18"/>
          <w:szCs w:val="18"/>
          <w:color w:val="auto"/>
        </w:rPr>
        <w:t xml:space="preserve"> gene. The symptoms of FOXG1 syndrome include severe developmental and intellectual disabilities, growth restriction with microcephaly, epilepsy and hyperkinetic-dyskinetic movement disorder. Approximately 700 patients with FOXG1 syndrome have been identified worldwide to date and the incidence rate is estimated to be one per 30,000 live births. The number of identified patients is expected to steadily increase as more children are tested for Autism Spectrum Disorder and other genetic disorders. Currently, there are no specific therapies for FOXG1 syndrome and medical management of the disease is largely focused on symptomatic relief.</w:t>
      </w:r>
    </w:p>
    <w:p>
      <w:pPr>
        <w:spacing w:after="0" w:line="179"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 xml:space="preserve">The literature suggests that dosage of the </w:t>
      </w:r>
      <w:r>
        <w:rPr>
          <w:rFonts w:ascii="Arial" w:cs="Arial" w:eastAsia="Arial" w:hAnsi="Arial"/>
          <w:sz w:val="18"/>
          <w:szCs w:val="18"/>
          <w:i w:val="1"/>
          <w:iCs w:val="1"/>
          <w:color w:val="auto"/>
        </w:rPr>
        <w:t>FOXG1</w:t>
      </w:r>
      <w:r>
        <w:rPr>
          <w:rFonts w:ascii="Arial" w:cs="Arial" w:eastAsia="Arial" w:hAnsi="Arial"/>
          <w:sz w:val="18"/>
          <w:szCs w:val="18"/>
          <w:color w:val="auto"/>
        </w:rPr>
        <w:t xml:space="preserve"> gene needs to be regulated to avoid off-target expression or overexpression of </w:t>
      </w:r>
      <w:r>
        <w:rPr>
          <w:rFonts w:ascii="Arial" w:cs="Arial" w:eastAsia="Arial" w:hAnsi="Arial"/>
          <w:sz w:val="18"/>
          <w:szCs w:val="18"/>
          <w:i w:val="1"/>
          <w:iCs w:val="1"/>
          <w:color w:val="auto"/>
        </w:rPr>
        <w:t>FOXG1</w:t>
      </w:r>
      <w:r>
        <w:rPr>
          <w:rFonts w:ascii="Arial" w:cs="Arial" w:eastAsia="Arial" w:hAnsi="Arial"/>
          <w:sz w:val="18"/>
          <w:szCs w:val="18"/>
          <w:color w:val="auto"/>
        </w:rPr>
        <w:t>.</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We are developing TSHA-117 using our miRARE panel to regulate </w:t>
      </w:r>
      <w:r>
        <w:rPr>
          <w:rFonts w:ascii="Arial" w:cs="Arial" w:eastAsia="Arial" w:hAnsi="Arial"/>
          <w:sz w:val="18"/>
          <w:szCs w:val="18"/>
          <w:i w:val="1"/>
          <w:iCs w:val="1"/>
          <w:color w:val="auto"/>
        </w:rPr>
        <w:t>FOXG1</w:t>
      </w:r>
      <w:r>
        <w:rPr>
          <w:rFonts w:ascii="Arial" w:cs="Arial" w:eastAsia="Arial" w:hAnsi="Arial"/>
          <w:sz w:val="18"/>
          <w:szCs w:val="18"/>
          <w:color w:val="auto"/>
        </w:rPr>
        <w:t xml:space="preserve"> expression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1697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 w:right="200"/>
        <w:spacing w:after="0" w:line="274" w:lineRule="auto"/>
        <w:rPr>
          <w:sz w:val="20"/>
          <w:szCs w:val="20"/>
          <w:color w:val="auto"/>
        </w:rPr>
      </w:pPr>
      <w:r>
        <w:rPr>
          <w:rFonts w:ascii="Arial" w:cs="Arial" w:eastAsia="Arial" w:hAnsi="Arial"/>
          <w:sz w:val="18"/>
          <w:szCs w:val="18"/>
          <w:i w:val="1"/>
          <w:iCs w:val="1"/>
          <w:color w:val="auto"/>
        </w:rPr>
        <w:t>TSHA-107 for an Autism Spectrum Disorder, TSHA-108 for an Inborn Error of Metabolism and TSHA-109 for an Inherited Metabolic Disorder</w:t>
      </w:r>
    </w:p>
    <w:p>
      <w:pPr>
        <w:spacing w:after="0" w:line="38"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We are also developing the following product candidates for the treatment of neurodevelopmental disorders. We are developing TSHA-107 for the treatment of an autism spectrum disorder associated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455" w:right="3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with an increased risk of epilepsy, for which there is currently no therapeutic option. We are developing TSHA-108 for the treatment of an inborn error of metabolism associated with intellectual disability, prominent speech and language delay, autistic behaviors and seizures. We are developing TSHA-109 for a rare, inherited metabolic disorder that, if untreated, results in speech deficits, ataxia, learning disabilities and other neurological complications. We are constructing each of these product candidates from a codon-optimized version of the applicable gene packaged within a self-complementary AAV9 viral vector.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Epilepsies</w:t>
      </w:r>
    </w:p>
    <w:p>
      <w:pPr>
        <w:spacing w:after="0" w:line="104"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Our genetic epilepsy category targets disorders with recurrent seizures associated with abnormal development of the brain. In children with early-onset epilepsy, the detrimental effects of uncontrolled seizures are often associated with, and may be responsible for, the neurodevelopmental disabilities that often appear subsequent to the onset of seizures. A number of childhood-onset epilepsies are caused by mutations in a single gene and represent a compelling target for gene therapy. The goal of our product candidates is to target the underlying cause of the disease to simultaneously control seizures and treat any associated developmental comorbidities.</w:t>
      </w:r>
    </w:p>
    <w:p>
      <w:pPr>
        <w:spacing w:after="0" w:line="172"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We are developing TSHA-103, a genetic epilepsy product candidate, for the treatment of SLC6A1 haploinsufficiency disorder. We are also developing product candidates for the treatment of other disorders, including SLC13A5 disorder and KCNQ2-related disorders.</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TSHA-103 for SLC6A1 Haploinsufficiency Disorder</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Overview of SLC6A1 Haploinsufficiency Disorder</w:t>
      </w:r>
    </w:p>
    <w:p>
      <w:pPr>
        <w:spacing w:after="0" w:line="102" w:lineRule="exact"/>
        <w:rPr>
          <w:sz w:val="20"/>
          <w:szCs w:val="20"/>
          <w:color w:val="auto"/>
        </w:rPr>
      </w:pPr>
    </w:p>
    <w:p>
      <w:pPr>
        <w:jc w:val="both"/>
        <w:ind w:right="240" w:firstLine="562"/>
        <w:spacing w:after="0" w:line="255" w:lineRule="auto"/>
        <w:rPr>
          <w:sz w:val="20"/>
          <w:szCs w:val="20"/>
          <w:color w:val="auto"/>
        </w:rPr>
      </w:pPr>
      <w:r>
        <w:rPr>
          <w:rFonts w:ascii="Arial" w:cs="Arial" w:eastAsia="Arial" w:hAnsi="Arial"/>
          <w:sz w:val="18"/>
          <w:szCs w:val="18"/>
          <w:color w:val="auto"/>
        </w:rPr>
        <w:t xml:space="preserve">SLC6A1 haploinsufficiency disorder is caused by loss-of-function mutations in 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Loss of-function mutations in the </w:t>
      </w:r>
      <w:r>
        <w:rPr>
          <w:rFonts w:ascii="Arial" w:cs="Arial" w:eastAsia="Arial" w:hAnsi="Arial"/>
          <w:sz w:val="18"/>
          <w:szCs w:val="18"/>
          <w:i w:val="1"/>
          <w:iCs w:val="1"/>
          <w:color w:val="auto"/>
        </w:rPr>
        <w:t xml:space="preserve">SLC6A1 </w:t>
      </w:r>
      <w:r>
        <w:rPr>
          <w:rFonts w:ascii="Arial" w:cs="Arial" w:eastAsia="Arial" w:hAnsi="Arial"/>
          <w:sz w:val="18"/>
          <w:szCs w:val="18"/>
          <w:color w:val="auto"/>
        </w:rPr>
        <w:t>gene have been identified as one of the most common monogenic causes of epilepsy with myoclonic atonic seizures, or brief and</w:t>
      </w:r>
      <w:r>
        <w:rPr>
          <w:rFonts w:ascii="Arial" w:cs="Arial" w:eastAsia="Arial" w:hAnsi="Arial"/>
          <w:sz w:val="18"/>
          <w:szCs w:val="18"/>
          <w:i w:val="1"/>
          <w:iCs w:val="1"/>
          <w:color w:val="auto"/>
        </w:rPr>
        <w:t xml:space="preserve"> </w:t>
      </w:r>
      <w:r>
        <w:rPr>
          <w:rFonts w:ascii="Arial" w:cs="Arial" w:eastAsia="Arial" w:hAnsi="Arial"/>
          <w:sz w:val="18"/>
          <w:szCs w:val="18"/>
          <w:color w:val="auto"/>
        </w:rPr>
        <w:t>abrupt seizures followed by loss of muscle strength, as well as autism spectrum disorder and intellectual disability.</w:t>
      </w:r>
    </w:p>
    <w:p>
      <w:pPr>
        <w:spacing w:after="0" w:line="16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Patients diagnosed with SLC6A1 haploinsufficiency disorder typically present with developmental delay, varying degrees of intellectual disability, seizures and abnormal EEG characterized by generalized spike-wave discharges. Most patients are refractory to pharmacological seizure control although a portion of patients become seizure free during the course of disease progression. Importantly, seizure control is not associated with improved cognitive outcomes, which highlights the complexity of the disease as well as the need for novel therapies directed at its underlying pathology.</w:t>
      </w:r>
    </w:p>
    <w:p>
      <w:pPr>
        <w:spacing w:after="0" w:line="172" w:lineRule="exact"/>
        <w:rPr>
          <w:sz w:val="20"/>
          <w:szCs w:val="20"/>
          <w:color w:val="auto"/>
        </w:rPr>
      </w:pPr>
    </w:p>
    <w:p>
      <w:pPr>
        <w:ind w:right="260" w:firstLine="562"/>
        <w:spacing w:after="0" w:line="245" w:lineRule="auto"/>
        <w:rPr>
          <w:sz w:val="20"/>
          <w:szCs w:val="20"/>
          <w:color w:val="auto"/>
        </w:rPr>
      </w:pPr>
      <w:r>
        <w:rPr>
          <w:rFonts w:ascii="Arial" w:cs="Arial" w:eastAsia="Arial" w:hAnsi="Arial"/>
          <w:sz w:val="18"/>
          <w:szCs w:val="18"/>
          <w:color w:val="auto"/>
        </w:rPr>
        <w:t>Approximately 81% of patients with SLC6A1 haploinsufficiency disorder have epilepsy, with typical absence seizures, which are abrupt and followed by lack of awareness, being the predominant form observed. In addition, 91% of individuals exhibit developmental delays, with more than 80% characterized as mild or moderate intellectual disability. Ataxia, or tremors, is present in approximately 29% of individuals, while autism or autistic features are observed in approximately 24% of individuals diagnosed with SLC6A1 haploinsufficiency disorder.</w:t>
      </w:r>
    </w:p>
    <w:p>
      <w:pPr>
        <w:spacing w:after="0" w:line="17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encodes the gamma-aminobutyric acid, or GABA, transporter 1, or GAT1. GAT1 is a voltage-dependent transporter responsible for the reuptake of GABA, a non-protein amino acid that is well characterized for its role as a major inhibitory neurotransmitter within the mammalian CNS. GAT1 plays a critical role in the reuptake of GABA from neuronal synapses and extracellular spaces and as a result, a critical role in balancing neuronal excitations. When GABA transport is disrupted, brain development is negatively impacted resulting in deficits in attention and cognition as well as seizures.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5" w:right="3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exact incidence and prevalence of SLC6A1 haploinsufficiency disorder is unknown. According to recently published data, the incidence of SLC6A1 haploinsufficiency disorder is approximately 1 in 36,000 live births. We believe that SLC6A1 haploinsufficiency disorder is underdiagnosed as the underlying biology was only recently elucidated and the gene had not been not part of commercially available genetic epilepsy screening panels. Clinician education and expanded use of genetic screening panels that include SLC6A1 will likely lead to increased identification of individuals with these mutations.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Our Solution: TSHA-103</w:t>
      </w:r>
    </w:p>
    <w:p>
      <w:pPr>
        <w:spacing w:after="0" w:line="102"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 xml:space="preserve">We are developing TSHA-103, a genetic epilepsy product candidate, for the treatment of SLC6A1 haploinsufficiency disorder. TSHA-103 is a gene replacement therapy constructed from a codon-optimized version of the human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packaged within a self-complementary AAV9 viral vector under the control of a JeT promoter. We are currently conducting preclinical studies of TSHA-103 and plan to submit an IND for TSHA-103 to the FDA and initiate a clinical trial by the end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139700</wp:posOffset>
            </wp:positionV>
            <wp:extent cx="5186045" cy="17056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604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Additional Genetic Epilepsy Programs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TSHA-105 for SLC13A5</w:t>
      </w:r>
    </w:p>
    <w:p>
      <w:pPr>
        <w:spacing w:after="0" w:line="10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We are developing TSHA-105 for the treatment of SLC13A5 deficiency, a rare autosomal recessive epileptic encephalopathy characterized by the onset of seizures within the first few days of life. Affected children have impairments in gross motor function and speech production with relative preservation of fine motor skills and receptive speech. SLC13A5 deficiency is caused by bi-allelic loss-of function mutations in the </w:t>
      </w:r>
      <w:r>
        <w:rPr>
          <w:rFonts w:ascii="Arial" w:cs="Arial" w:eastAsia="Arial" w:hAnsi="Arial"/>
          <w:sz w:val="18"/>
          <w:szCs w:val="18"/>
          <w:i w:val="1"/>
          <w:iCs w:val="1"/>
          <w:color w:val="auto"/>
        </w:rPr>
        <w:t>SLC13A5</w:t>
      </w:r>
      <w:r>
        <w:rPr>
          <w:rFonts w:ascii="Arial" w:cs="Arial" w:eastAsia="Arial" w:hAnsi="Arial"/>
          <w:sz w:val="18"/>
          <w:szCs w:val="18"/>
          <w:color w:val="auto"/>
        </w:rPr>
        <w:t xml:space="preserve"> gene, which codes for a sodium dependent citrate transporter, or NaCT, that is largely expressed in the brain and liver. To date, all tested mutations result in no or a greatly reduced amount of the citrate in the cells.</w:t>
      </w:r>
    </w:p>
    <w:p>
      <w:pPr>
        <w:spacing w:after="0" w:line="172"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Diminished NaCT function leads to loss of neuronal uptake of citrate and other metabolites such as succinate that are critical to brain energy metabolism and function. Currently, there are no approved therapies for SLC13A5 deficiency, and treatment is largely to address symptoms.</w:t>
      </w:r>
    </w:p>
    <w:p>
      <w:pPr>
        <w:spacing w:after="0" w:line="164"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 xml:space="preserve">We are developing TSHA-105 as a gene replacement therapy for SLC13A5 deficiency. TSHA-105 is constructed from a codon-optimized human </w:t>
      </w:r>
      <w:r>
        <w:rPr>
          <w:rFonts w:ascii="Arial" w:cs="Arial" w:eastAsia="Arial" w:hAnsi="Arial"/>
          <w:sz w:val="18"/>
          <w:szCs w:val="18"/>
          <w:i w:val="1"/>
          <w:iCs w:val="1"/>
          <w:color w:val="auto"/>
        </w:rPr>
        <w:t>SLC13A5</w:t>
      </w:r>
      <w:r>
        <w:rPr>
          <w:rFonts w:ascii="Arial" w:cs="Arial" w:eastAsia="Arial" w:hAnsi="Arial"/>
          <w:sz w:val="18"/>
          <w:szCs w:val="18"/>
          <w:color w:val="auto"/>
        </w:rPr>
        <w:t xml:space="preserve"> gene packaged in a self-complementary AAV9 capsid.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320" w:top="455" w:right="39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17056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604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TSHA-110 for KNCQ2 Developmental &amp; Epileptic Encephalopathy</w:t>
      </w:r>
    </w:p>
    <w:p>
      <w:pPr>
        <w:spacing w:after="0" w:line="10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 xml:space="preserve">We have an exclusive option from UT Southwestern to develop TSHA-110 for the treatment of </w:t>
      </w:r>
      <w:r>
        <w:rPr>
          <w:rFonts w:ascii="Arial" w:cs="Arial" w:eastAsia="Arial" w:hAnsi="Arial"/>
          <w:sz w:val="18"/>
          <w:szCs w:val="18"/>
          <w:i w:val="1"/>
          <w:iCs w:val="1"/>
          <w:color w:val="auto"/>
        </w:rPr>
        <w:t>KCNQ2</w:t>
      </w:r>
      <w:r>
        <w:rPr>
          <w:rFonts w:ascii="Arial" w:cs="Arial" w:eastAsia="Arial" w:hAnsi="Arial"/>
          <w:sz w:val="18"/>
          <w:szCs w:val="18"/>
          <w:color w:val="auto"/>
        </w:rPr>
        <w:t xml:space="preserve"> Developmental and Epileptic Encephalopathy, or KCNQ2. Patients with KCNQ2 typically present with seizures in the first week of life. Seizures appear as tonic, or with stiffening of the body, often associated with jerking and changes in breathing or heart rate. These seizures often resolve within months to years but children have some degree of developmental impairment involving one or more domains (motor, social, language, cognition). There is wide variability in the symptoms of patients with a KCNQ2 diagnosis. Some have very limited, or no noticeable seizure activity and the developmental impairment can range from mild to severe, depending on a number of different factors. Some children may also have autistic features or other comorbidities. The incidence of KCNQ2 is approximately 1 in 35,000 live births.</w:t>
      </w:r>
    </w:p>
    <w:p>
      <w:pPr>
        <w:spacing w:after="0" w:line="179"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 xml:space="preserve">We plan to exercise the option to acquire rights to TSHA-110 from UT Southwestern, following which we expect to develop TSHA-110 as a </w:t>
      </w:r>
      <w:r>
        <w:rPr>
          <w:rFonts w:ascii="Arial" w:cs="Arial" w:eastAsia="Arial" w:hAnsi="Arial"/>
          <w:sz w:val="18"/>
          <w:szCs w:val="18"/>
          <w:i w:val="1"/>
          <w:iCs w:val="1"/>
          <w:color w:val="auto"/>
        </w:rPr>
        <w:t>KCNQ2</w:t>
      </w:r>
      <w:r>
        <w:rPr>
          <w:rFonts w:ascii="Arial" w:cs="Arial" w:eastAsia="Arial" w:hAnsi="Arial"/>
          <w:sz w:val="18"/>
          <w:szCs w:val="18"/>
          <w:color w:val="auto"/>
        </w:rPr>
        <w:t xml:space="preserve"> transgene packaged within an AAV9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17056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86045"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Next-Generation Platform Technologies</w:t>
      </w:r>
    </w:p>
    <w:p>
      <w:pPr>
        <w:spacing w:after="0" w:line="21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In addition to our AAV9 candidates, we are building a suite of platforms to develop next-generation technologies that can optimize key components of an AAV-based gene therapy as part of our strategy to develop a sustainable pipeline of product candidates and a consistent stream of new commercial product launches.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5" w:right="3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Route of Administration to Allow Redosing</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are advancing a novel AAV dosing platform with the potential to facilitate redosing by administering AAV-based gene therapies directly to the vagus nerve. The development of AAV-neutralizing antibodies after administration of an initial dose has historically presented a challenge in the ability to redose patients with gene therapies. In preclinical studies in adult rats, we observed that AAV9 delivery to the vagus nerve resulted in efficient targeting of the vagal neurons in the autonomic nervous system, or the ANS. We subsequently performed experiments to assess the feasibility of targeting genes to ANS neurons in rats already treated with an intrathecal injection of AAV9. Rats were immunized with AAV9 by an intrathecal injection of AAV9/GAN and then received a direct vagus nerve injection with AAV9/GFP either four or fourteen weeks after the intrathecal injection. AAV9-immunized rats had efficient green fluorescent protein, or GFP, transduction in vagal nerve fibers and neurons. There was no evidence of neuroinflammation or significant chronic inflammatory infiltrates.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146050</wp:posOffset>
            </wp:positionV>
            <wp:extent cx="5186045" cy="32061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8604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455"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 preclinical studies in dogs, adult hounds received a direct vagus nerve injection of increasing volumes of vehicle and were allowed to recover for two weeks. AAV delivery to the vagus nerve was well tolerated at all doses. Vocalization, weight, eating and fecal output were monitored pre- and post-surgery, and post-mortem analysis showed that vagal nerve fibers and neurons were microscopically 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plan to further evaluate the safety and feasibility of this approach in NHPs.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Transgene Expression Using miRARE</w:t>
      </w:r>
    </w:p>
    <w:p>
      <w:pPr>
        <w:spacing w:after="0" w:line="104"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microRNA, or miRNA, profiling and genome mining to create miRNA-Responsive Auto-Regulatory Element, or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 Instead, the miRARE system utilizes endogenous transgene-responsive miRNA to downregulate transgene expression in the event that overexpression occurs. While our initial intent is to utilize our miRARE panel to develop gene replacement therapies for Rett syndrome and FOXG1 syndrome, we believe the system may be applicable to a number of other dose-sensitive 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143510</wp:posOffset>
            </wp:positionV>
            <wp:extent cx="5186045" cy="34201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8604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Capsid Identification</w:t>
      </w:r>
    </w:p>
    <w:p>
      <w:pPr>
        <w:spacing w:after="0" w:line="10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Successful clinical translation of gene therapies depends upon efficient transgene delivery and expression across the entire CNS. Directed evolution is a powerful and proven method to develop novel AAV vector capsids that exhibit properties distinct from naturally occurring serotypes. However, to date, most novel capsids have been derived in rodents or in vitro models whose properties may or may not translate to other species, in particular primates.</w:t>
      </w:r>
    </w:p>
    <w:p>
      <w:pPr>
        <w:spacing w:after="0" w:line="170"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We have developed a new approach that utilizes AAV whole capsid shuffling and directed evolution, combined with machine learning techniques, to develop novel AAV capsids in mice and non-human primates in parallel. We are utilizing SMRT sequencing analysis for a high throughput evaluation of recovered whole AAV capsid genes. SMRT sequencing has the advantage of sequencing</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320" w:top="455" w:right="39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entire capsid gene in a single read with high accuracy, enabling sequencing the entire shuffled capsid rather than only an insert region or barcode.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123825</wp:posOffset>
            </wp:positionV>
            <wp:extent cx="5186045" cy="17741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8604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We believe that our approach will allow us to rapidly identify new capsids for the treatment of CNS disorders and drive new product candidates with novel biodistribution and transduction profiles into our development pipeline.</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biotechnology and pharmaceutical industries are characterized by rapidly changing technologies, significant competition and a strong emphasis on intellectual property. This is also true for the development and commercialization of treatments for neurodegenerative diseases, neurodevelopmental disorders and genetic epilepsies, and broadly across gene therapies. While we believe that our focus, strength of team, expertise in gene therapy, scientific knowledge and intellectual property provide us with competitive advantages, we face competition from several different sources, including large and small biopharmaceutical companies, academic research institutions, government agencies and public and private research institutions. Not only must we compete with other companies that are focused on gene transfer technology, but any product candidates that we successfully develop and commercialize will compete with existing therapies and new therapies that may become available in the future.</w:t>
      </w:r>
    </w:p>
    <w:p>
      <w:pPr>
        <w:spacing w:after="0" w:line="180"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Many of our competitors have significantly greater financial resources and expertise in research and development, manufacturing, preclinical testing, clinical trials, regulatory approvals and product marketing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179"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The majority of our programs face limited competition as there are no approved disease-modifying therapies for the treatment of the GM2 gangliosidosis, CLN1 disease, Rett syndrome, SLC6A1 haploinsufficiency disorder, SURF1 deficiency, SLC13A5 disorder, Fragile X syndrome, Angelman syndrome or the other development programs in our pipeline.</w:t>
      </w:r>
    </w:p>
    <w:p>
      <w:pPr>
        <w:spacing w:after="0" w:line="164"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 xml:space="preserve">Axovant is developing AXO-AAV-GM2 for the treatment of GM2 gangliosidosis. AXO-AAV-GM2 delivers two AAVrh8 vectors, each encoding either </w:t>
      </w:r>
      <w:r>
        <w:rPr>
          <w:rFonts w:ascii="Arial" w:cs="Arial" w:eastAsia="Arial" w:hAnsi="Arial"/>
          <w:sz w:val="18"/>
          <w:szCs w:val="18"/>
          <w:i w:val="1"/>
          <w:iCs w:val="1"/>
          <w:color w:val="auto"/>
        </w:rPr>
        <w:t>HEXA</w:t>
      </w:r>
      <w:r>
        <w:rPr>
          <w:rFonts w:ascii="Arial" w:cs="Arial" w:eastAsia="Arial" w:hAnsi="Arial"/>
          <w:sz w:val="18"/>
          <w:szCs w:val="18"/>
          <w:color w:val="auto"/>
        </w:rPr>
        <w:t xml:space="preserve"> or </w:t>
      </w:r>
      <w:r>
        <w:rPr>
          <w:rFonts w:ascii="Arial" w:cs="Arial" w:eastAsia="Arial" w:hAnsi="Arial"/>
          <w:sz w:val="18"/>
          <w:szCs w:val="18"/>
          <w:i w:val="1"/>
          <w:iCs w:val="1"/>
          <w:color w:val="auto"/>
        </w:rPr>
        <w:t>HEXB</w:t>
      </w:r>
      <w:r>
        <w:rPr>
          <w:rFonts w:ascii="Arial" w:cs="Arial" w:eastAsia="Arial" w:hAnsi="Arial"/>
          <w:sz w:val="18"/>
          <w:szCs w:val="18"/>
          <w:color w:val="auto"/>
        </w:rPr>
        <w:t xml:space="preserve"> genes, directly to the CNS with the intention of producing functioning ß-hexosaminidase.</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320" w:top="455" w:right="3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700" w:firstLine="562"/>
        <w:spacing w:after="0" w:line="276" w:lineRule="auto"/>
        <w:rPr>
          <w:sz w:val="20"/>
          <w:szCs w:val="20"/>
          <w:color w:val="auto"/>
        </w:rPr>
      </w:pPr>
      <w:r>
        <w:rPr>
          <w:rFonts w:ascii="Arial" w:cs="Arial" w:eastAsia="Arial" w:hAnsi="Arial"/>
          <w:sz w:val="18"/>
          <w:szCs w:val="18"/>
          <w:color w:val="auto"/>
        </w:rPr>
        <w:t>Amicus, in collaboration with Nationwide Children’s Hospital, is developing a gene therapy candidate for CLN1 disease that is currently in discovery stage.</w:t>
      </w:r>
    </w:p>
    <w:p>
      <w:pPr>
        <w:spacing w:after="0" w:line="145" w:lineRule="exact"/>
        <w:rPr>
          <w:sz w:val="20"/>
          <w:szCs w:val="20"/>
          <w:color w:val="auto"/>
        </w:rPr>
      </w:pPr>
    </w:p>
    <w:p>
      <w:pPr>
        <w:ind w:right="200" w:firstLine="562"/>
        <w:spacing w:after="0" w:line="248" w:lineRule="auto"/>
        <w:rPr>
          <w:sz w:val="20"/>
          <w:szCs w:val="20"/>
          <w:color w:val="auto"/>
        </w:rPr>
      </w:pPr>
      <w:r>
        <w:rPr>
          <w:rFonts w:ascii="Arial" w:cs="Arial" w:eastAsia="Arial" w:hAnsi="Arial"/>
          <w:sz w:val="18"/>
          <w:szCs w:val="18"/>
          <w:color w:val="auto"/>
        </w:rPr>
        <w:t xml:space="preserve">Novartis, through its acquisition of AveXis, is developing a product candidate for the treatment of Rett syndrome, AVXS-201, a preclinical AAV9 capsid vector that carries AAV ITR sequences and a minimal </w:t>
      </w:r>
      <w:r>
        <w:rPr>
          <w:rFonts w:ascii="Arial" w:cs="Arial" w:eastAsia="Arial" w:hAnsi="Arial"/>
          <w:sz w:val="18"/>
          <w:szCs w:val="18"/>
          <w:i w:val="1"/>
          <w:iCs w:val="1"/>
          <w:color w:val="auto"/>
        </w:rPr>
        <w:t>MECP2</w:t>
      </w:r>
      <w:r>
        <w:rPr>
          <w:rFonts w:ascii="Arial" w:cs="Arial" w:eastAsia="Arial" w:hAnsi="Arial"/>
          <w:sz w:val="18"/>
          <w:szCs w:val="18"/>
          <w:color w:val="auto"/>
        </w:rPr>
        <w:t xml:space="preserve"> promoter that is designed to be active in the CNS in an unregulated manner. In addition, the Rett Syndrome Research Trust, Amicus Therapeutics and Sarepta have disclosed the existence of discovery-stage gene therapy programs although the development status of these programs is unclear.</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Manufacturing</w:t>
      </w:r>
    </w:p>
    <w:p>
      <w:pPr>
        <w:spacing w:after="0" w:line="214" w:lineRule="exact"/>
        <w:rPr>
          <w:sz w:val="20"/>
          <w:szCs w:val="20"/>
          <w:color w:val="auto"/>
        </w:rPr>
      </w:pPr>
    </w:p>
    <w:p>
      <w:pPr>
        <w:ind w:right="360" w:firstLine="562"/>
        <w:spacing w:after="0" w:line="255" w:lineRule="auto"/>
        <w:rPr>
          <w:sz w:val="20"/>
          <w:szCs w:val="20"/>
          <w:color w:val="auto"/>
        </w:rPr>
      </w:pPr>
      <w:r>
        <w:rPr>
          <w:rFonts w:ascii="Arial" w:cs="Arial" w:eastAsia="Arial" w:hAnsi="Arial"/>
          <w:sz w:val="18"/>
          <w:szCs w:val="18"/>
          <w:color w:val="auto"/>
        </w:rPr>
        <w:t>Through our collaboration with the UT Southwestern Gene Therapy Program, we have access to a new, state-of-the-art AAV production facility which includes approximately 2,000 square feet of laboratory space for process development and research-grade AAV vector production, as well as a 1,000 square foot ISO7 cleanroom facility dedicated solely for cGMP AAV vector manufacture.</w:t>
      </w:r>
    </w:p>
    <w:p>
      <w:pPr>
        <w:spacing w:after="0" w:line="16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This facility is outfitted with new equipment purchased in 2018 and 2019 for research-grade and GMP-grade AAV vector production. The process development lab is equipped with two Sartorius Biostat B Controller Stations with four 10 liter glass bioreactors and four 2 liter glass bioreactors, a Sartorius Biostat STR 50 liter bioreactor with controller and a Sartorius AMBR 250 process development bioreactor. Our strategic partnership with UT Southwestern provides us with access to this facility to allow for process development for development programs.</w:t>
      </w:r>
    </w:p>
    <w:p>
      <w:pPr>
        <w:spacing w:after="0" w:line="17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The UT Southwestern GMP facility is equipped with a Sartorius Biostat STR 50 liter bioreactor with controller, a Sartorius Biostat STR 500 liter bioreactor with controller, Sartoflow Smart tangential flow filtration unit, a Sartorius FlexAct UD, two bioprocessing workstations and an automated dispenser to support our AAV9 manufacturing needs for early clinical trials. We believe this capacity will be sufficient to meet the clinical demand for our full pipeline of product candidates.</w:t>
      </w:r>
    </w:p>
    <w:p>
      <w:pPr>
        <w:spacing w:after="0" w:line="170" w:lineRule="exact"/>
        <w:rPr>
          <w:sz w:val="20"/>
          <w:szCs w:val="20"/>
          <w:color w:val="auto"/>
        </w:rPr>
      </w:pPr>
    </w:p>
    <w:p>
      <w:pPr>
        <w:jc w:val="both"/>
        <w:ind w:right="100" w:firstLine="562"/>
        <w:spacing w:after="0" w:line="248" w:lineRule="auto"/>
        <w:rPr>
          <w:sz w:val="20"/>
          <w:szCs w:val="20"/>
          <w:color w:val="auto"/>
        </w:rPr>
      </w:pPr>
      <w:r>
        <w:rPr>
          <w:rFonts w:ascii="Arial" w:cs="Arial" w:eastAsia="Arial" w:hAnsi="Arial"/>
          <w:sz w:val="18"/>
          <w:szCs w:val="18"/>
          <w:color w:val="auto"/>
        </w:rPr>
        <w:t>In addition to our manufacturing capabilities provided by UT Southwestern, we are currently engaged with an external consulting firm to aid us with the development of a comprehensive facility build strategy including pipeline and capacity planning assessment, site selection assessment, benchmarking, quality systems and programs, and other strategic efforts related to the design and build out of a new facility to support commercial scale manufacturing of our pipeline programs.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University of Texas Southwestern Medical Center</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In November 2019, we entered into a research, collaboration and license agreement, or the UT Southwestern Agreement, with The Board of Regents of the University of Texas System on behalf of UT Southwestern, as amended in April 2020. Under the UT Southwestern Agreement, UT Southwestern is primarily responsible for preclinical development activities with respect to licensed products for use in certain specified indications (up to IND-enabling studies), and we are responsible for all subsequent clinical development and commercialization activities with respect to licensed products. UT Southwestern will conduct such preclinical activities for a two-year period under mutually agreed upon sponsored research agreements that are funded by us. During the initial research phase, we have the right to expand the scope of specified indications under the UT Southwestern Agreement. We currently have 15 product candidates pursuant to the UT Southwestern Agreement, option rights with respect to KCNQ2 and options for an additional four indications. The research program activities will be overseen by a joint steering committee.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5" w:right="3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at no cost. We are required to use commercially reasonable efforts to develop, obtain regulatory approval for, and commercialize at least one licensed product.</w:t>
      </w:r>
    </w:p>
    <w:p>
      <w:pPr>
        <w:spacing w:after="0" w:line="179" w:lineRule="exact"/>
        <w:rPr>
          <w:sz w:val="20"/>
          <w:szCs w:val="20"/>
          <w:color w:val="auto"/>
        </w:rPr>
      </w:pPr>
    </w:p>
    <w:p>
      <w:pPr>
        <w:ind w:right="440" w:firstLine="562"/>
        <w:spacing w:after="0" w:line="255" w:lineRule="auto"/>
        <w:rPr>
          <w:sz w:val="20"/>
          <w:szCs w:val="20"/>
          <w:color w:val="auto"/>
        </w:rPr>
      </w:pPr>
      <w:r>
        <w:rPr>
          <w:rFonts w:ascii="Arial" w:cs="Arial" w:eastAsia="Arial" w:hAnsi="Arial"/>
          <w:sz w:val="18"/>
          <w:szCs w:val="18"/>
          <w:color w:val="auto"/>
        </w:rPr>
        <w:t>In connection with the license grant, we issued to UT Southwestern 2,179,000 shares of our common stock. We do not have any future milestone or royalty obligations to UT Southwestern under the UT Southwestern Agreement, other than costs related to the maintenance of patents.</w:t>
      </w:r>
    </w:p>
    <w:p>
      <w:pPr>
        <w:spacing w:after="0" w:line="16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Queen’s University at Kingston</w:t>
      </w:r>
    </w:p>
    <w:p>
      <w:pPr>
        <w:spacing w:after="0" w:line="104"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In February 2020, we entered into a license agreement, or the Queen’s University Agreement, with Queen’s University at Kingston, or Queen’s University. In connection with the Queen’s University Agreement, we obtained an exclusive, perpetual, worldwide, royalty-bearing license, with the right to grant sublicenses through multiple tiers, under certain patent rights and know-how related to bicistronic vectors, including with respect to TSHA-101, of Queen’s University, including certain improvements to such patent rights and know-how, to develop products in any field which use one or more valid claims of the patents licensed under the Queen’s University Agreement, or the Licensed Patents, or the technology, information and intellectual property related to the patents licensed under the Queen’s University Agreement, or the Licensed Technology and together with the Licensed Patents, the Licensed Products, and to make, have made, use, sell, offer for sale, import and export Licensed Products and otherwise exploit such patents and know-how for use in certain specified indications. We also obtained an exclusive right of first negotiation to license certain next-generation technology and improvements of Queen’s University that do not constitute an already-licensed improvement to the Licensed Technology. The Licensed Patent will expire in 2037, absent any patent term adjustment or extension.</w:t>
      </w:r>
    </w:p>
    <w:p>
      <w:pPr>
        <w:spacing w:after="0" w:line="176" w:lineRule="exact"/>
        <w:rPr>
          <w:sz w:val="20"/>
          <w:szCs w:val="20"/>
          <w:color w:val="auto"/>
        </w:rPr>
      </w:pPr>
    </w:p>
    <w:p>
      <w:pPr>
        <w:jc w:val="both"/>
        <w:ind w:right="500" w:firstLine="562"/>
        <w:spacing w:after="0" w:line="255" w:lineRule="auto"/>
        <w:rPr>
          <w:sz w:val="20"/>
          <w:szCs w:val="20"/>
          <w:color w:val="auto"/>
        </w:rPr>
      </w:pPr>
      <w:r>
        <w:rPr>
          <w:rFonts w:ascii="Arial" w:cs="Arial" w:eastAsia="Arial" w:hAnsi="Arial"/>
          <w:sz w:val="18"/>
          <w:szCs w:val="18"/>
          <w:color w:val="auto"/>
        </w:rPr>
        <w:t>We are required to use commercially reasonable efforts to exploit the Licensed Technology in countries where it is commercially reasonable to develop Licensed Products, including by meeting certain diligence milestones within certain specified periods of time. In addition, we have final decision-making authority on the filing, prosecution or maintenance of Licensed Patents.</w:t>
      </w:r>
    </w:p>
    <w:p>
      <w:pPr>
        <w:spacing w:after="0" w:line="164" w:lineRule="exact"/>
        <w:rPr>
          <w:sz w:val="20"/>
          <w:szCs w:val="20"/>
          <w:color w:val="auto"/>
        </w:rPr>
      </w:pPr>
    </w:p>
    <w:p>
      <w:pPr>
        <w:ind w:right="180" w:firstLine="562"/>
        <w:spacing w:after="0" w:line="247" w:lineRule="auto"/>
        <w:rPr>
          <w:sz w:val="20"/>
          <w:szCs w:val="20"/>
          <w:color w:val="auto"/>
        </w:rPr>
      </w:pPr>
      <w:r>
        <w:rPr>
          <w:rFonts w:ascii="Arial" w:cs="Arial" w:eastAsia="Arial" w:hAnsi="Arial"/>
          <w:sz w:val="18"/>
          <w:szCs w:val="18"/>
          <w:color w:val="auto"/>
        </w:rPr>
        <w:t>In connection with the Queen’s University Agreement, we paid Queen’s University a one-time fee of $3 million as an upfront fee and $221,300 to reimburse Queen’s University for certain plasmid production costs. We are obligated to pay Queen’s University up to</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$10.0 million in the aggregate upon achievement of certain regulatory milestones, up to $10.0 million in the aggregate upon achievement of commercial milestones, a low single digit royalty on net sales of Licensed 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455" w:right="3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such country and the expiration of any regulatory exclusivity for such Licensed Product in such country. Additionally, we are obligated to pay Queen’s University a low double-digit portion of any amounts received by us in connection with the sale of a priority review voucher related to a Licensed Product, not to exceed a low eight-figure amount.</w:t>
      </w:r>
    </w:p>
    <w:p>
      <w:pPr>
        <w:spacing w:after="0" w:line="16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The Queen’s University Agreement expires upon the expiration of the last royalty term of a Licensed Product. Either party may terminate the agreement upon an uncured material breach of the agreement or insolvency of the other party. We may elect to terminate the agreement upon specified prior written notice to Queen’s University.</w:t>
      </w:r>
    </w:p>
    <w:p>
      <w:pPr>
        <w:spacing w:after="0" w:line="164"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We are also obligated under the terms of a separate research grant agreement to reimburse Queen’s University for certain clinical manufacturing production costs of approximately $3.8 million.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Therapeutics Inc.</w:t>
      </w:r>
    </w:p>
    <w:p>
      <w:pPr>
        <w:spacing w:after="0" w:line="104" w:lineRule="exact"/>
        <w:rPr>
          <w:sz w:val="20"/>
          <w:szCs w:val="20"/>
          <w:color w:val="auto"/>
        </w:rPr>
      </w:pPr>
    </w:p>
    <w:p>
      <w:pPr>
        <w:ind w:right="220" w:firstLine="562"/>
        <w:spacing w:after="0" w:line="245" w:lineRule="auto"/>
        <w:rPr>
          <w:sz w:val="20"/>
          <w:szCs w:val="20"/>
          <w:color w:val="auto"/>
        </w:rPr>
      </w:pPr>
      <w:r>
        <w:rPr>
          <w:rFonts w:ascii="Arial" w:cs="Arial" w:eastAsia="Arial" w:hAnsi="Arial"/>
          <w:sz w:val="18"/>
          <w:szCs w:val="18"/>
          <w:color w:val="auto"/>
        </w:rPr>
        <w:t>In August 2020, we entered into a license agreement, or the Abeona Agreement, with Abeona Therapeutics Inc., or Abeona. In connection with the Abeona Agreement, we obtained an exclusive, worldwide, royalty-bearing license, with the right to grant sublicenses under certain patents, know-how and materials originally developed by University of North Carolina at Chapel Hill and Abeona to research, develop, manufacture, have manufactured, use, and commercialize licensed products for gene therapy for the prevention, treatment, or diagnosis of CLN1 disease in humans.</w:t>
      </w:r>
    </w:p>
    <w:p>
      <w:pPr>
        <w:spacing w:after="0" w:line="172" w:lineRule="exact"/>
        <w:rPr>
          <w:sz w:val="20"/>
          <w:szCs w:val="20"/>
          <w:color w:val="auto"/>
        </w:rPr>
      </w:pPr>
    </w:p>
    <w:p>
      <w:pPr>
        <w:jc w:val="center"/>
        <w:ind w:right="2440"/>
        <w:spacing w:after="0"/>
        <w:rPr>
          <w:sz w:val="20"/>
          <w:szCs w:val="20"/>
          <w:color w:val="auto"/>
        </w:rPr>
      </w:pPr>
      <w:r>
        <w:rPr>
          <w:rFonts w:ascii="Arial" w:cs="Arial" w:eastAsia="Arial" w:hAnsi="Arial"/>
          <w:sz w:val="18"/>
          <w:szCs w:val="18"/>
          <w:color w:val="auto"/>
        </w:rPr>
        <w:t>Subject to certain obligations of Abeona, we are required to use commercially reasonable efforts</w:t>
      </w:r>
    </w:p>
    <w:p>
      <w:pPr>
        <w:spacing w:after="0" w:line="18" w:lineRule="exact"/>
        <w:rPr>
          <w:sz w:val="20"/>
          <w:szCs w:val="20"/>
          <w:color w:val="auto"/>
        </w:rPr>
      </w:pPr>
    </w:p>
    <w:p>
      <w:pPr>
        <w:jc w:val="center"/>
        <w:ind w:right="2480"/>
        <w:spacing w:after="0"/>
        <w:rPr>
          <w:sz w:val="20"/>
          <w:szCs w:val="20"/>
          <w:color w:val="auto"/>
        </w:rPr>
      </w:pPr>
      <w:r>
        <w:rPr>
          <w:rFonts w:ascii="Arial" w:cs="Arial" w:eastAsia="Arial" w:hAnsi="Arial"/>
          <w:sz w:val="18"/>
          <w:szCs w:val="18"/>
          <w:color w:val="auto"/>
        </w:rPr>
        <w:t>to develop at least one licensed product and commercialize at least one licensed product in the United States.</w:t>
      </w:r>
    </w:p>
    <w:p>
      <w:pPr>
        <w:spacing w:after="0" w:line="190"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In connection with the license grant, we will pay Abeona a one-time upfront license fee of $3.0 million.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Agreement we entered into a purchase and reimbursement agreement with Abeona, pursuant to which we will purchase specified inventory from Abeona for total consideration of $4.0 million.</w:t>
      </w:r>
    </w:p>
    <w:p>
      <w:pPr>
        <w:spacing w:after="0" w:line="180" w:lineRule="exact"/>
        <w:rPr>
          <w:sz w:val="20"/>
          <w:szCs w:val="20"/>
          <w:color w:val="auto"/>
        </w:rPr>
      </w:pPr>
    </w:p>
    <w:p>
      <w:pPr>
        <w:ind w:right="280" w:firstLine="562"/>
        <w:spacing w:after="0" w:line="255" w:lineRule="auto"/>
        <w:rPr>
          <w:sz w:val="20"/>
          <w:szCs w:val="20"/>
          <w:color w:val="auto"/>
        </w:rPr>
      </w:pPr>
      <w:r>
        <w:rPr>
          <w:rFonts w:ascii="Arial" w:cs="Arial" w:eastAsia="Arial" w:hAnsi="Arial"/>
          <w:sz w:val="18"/>
          <w:szCs w:val="18"/>
          <w:color w:val="auto"/>
        </w:rPr>
        <w:t>The Abeona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21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We actively seek to protect our proprietary technology, inventions, and other intellectual property that is commercially important to the development of our business by a variety of means, for example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gene therapy that may be important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5" w:right="3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the development of our business. We also intend to seek patent protection or rely upon trade secret rights to protect other technologies that may be used to discover and validate targets, and that may be used to manufacture and develop novel gene therapy products. We are a party to license agreements that give us rights to use specific technologies in our gene therapy products and in manufacturing our products. Additional regulatory protection may also be afforded through data exclusivity, market exclusivity and patent term extensions where available.</w:t>
      </w:r>
    </w:p>
    <w:p>
      <w:pPr>
        <w:spacing w:after="0" w:line="153" w:lineRule="exact"/>
        <w:rPr>
          <w:sz w:val="20"/>
          <w:szCs w:val="20"/>
          <w:color w:val="auto"/>
        </w:rPr>
      </w:pPr>
    </w:p>
    <w:p>
      <w:pPr>
        <w:ind w:right="260" w:firstLine="562"/>
        <w:spacing w:after="0" w:line="245" w:lineRule="auto"/>
        <w:rPr>
          <w:sz w:val="20"/>
          <w:szCs w:val="20"/>
          <w:color w:val="auto"/>
        </w:rPr>
      </w:pPr>
      <w:r>
        <w:rPr>
          <w:rFonts w:ascii="Arial" w:cs="Arial" w:eastAsia="Arial" w:hAnsi="Arial"/>
          <w:sz w:val="18"/>
          <w:szCs w:val="18"/>
          <w:color w:val="auto"/>
        </w:rPr>
        <w:t>As of the date of this prospectus, we in-license one Patent Cooperation Treaty application, 14 pending foreign patent applications, 14 patent applications pending in the United States, of which two are United States utility patent applications, both of which, if issued, are expected to expire in 2037, and 12 are United States provisional patent applications, where patent applications claiming priority to these provisional patent applications, if issued, are expected to expire between 2040 and 2041. Our policy is to file patent applications to protect technology, inventions and improvements to inventions that may be commercially important to the development of our business.</w:t>
      </w:r>
    </w:p>
    <w:p>
      <w:pPr>
        <w:spacing w:after="0" w:line="172" w:lineRule="exact"/>
        <w:rPr>
          <w:sz w:val="20"/>
          <w:szCs w:val="20"/>
          <w:color w:val="auto"/>
        </w:rPr>
      </w:pPr>
    </w:p>
    <w:p>
      <w:pPr>
        <w:ind w:right="320" w:firstLine="562"/>
        <w:spacing w:after="0" w:line="243" w:lineRule="auto"/>
        <w:rPr>
          <w:sz w:val="20"/>
          <w:szCs w:val="20"/>
          <w:color w:val="auto"/>
        </w:rPr>
      </w:pPr>
      <w:r>
        <w:rPr>
          <w:rFonts w:ascii="Arial" w:cs="Arial" w:eastAsia="Arial" w:hAnsi="Arial"/>
          <w:sz w:val="18"/>
          <w:szCs w:val="18"/>
          <w:color w:val="auto"/>
        </w:rPr>
        <w:t>We in-license one United States provisional patent application that relates to our TSHA-103 SLCA61 program, where a patent application claiming priority to this provisional patent application, if issued, is expected to expire in 2040, without taking into account any possible patent term adjustment. We in-license one United States provisional patent application that relates to our TSHA-104 SURF1 program, where a patent application claiming priority to this provisional patent application, if issued, is expected to expire in 2040, without taking into account any possible patent term adjustment. Patent applications directed to our most advanced product candidates are summarized below:</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TSHA-101</w:t>
      </w:r>
    </w:p>
    <w:p>
      <w:pPr>
        <w:spacing w:after="0" w:line="102" w:lineRule="exact"/>
        <w:rPr>
          <w:sz w:val="20"/>
          <w:szCs w:val="20"/>
          <w:color w:val="auto"/>
        </w:rPr>
      </w:pPr>
    </w:p>
    <w:p>
      <w:pPr>
        <w:jc w:val="both"/>
        <w:ind w:right="300" w:firstLine="562"/>
        <w:spacing w:after="0" w:line="277" w:lineRule="auto"/>
        <w:rPr>
          <w:sz w:val="20"/>
          <w:szCs w:val="20"/>
          <w:color w:val="auto"/>
        </w:rPr>
      </w:pPr>
      <w:r>
        <w:rPr>
          <w:rFonts w:ascii="Arial" w:cs="Arial" w:eastAsia="Arial" w:hAnsi="Arial"/>
          <w:sz w:val="17"/>
          <w:szCs w:val="17"/>
          <w:color w:val="auto"/>
        </w:rPr>
        <w:t xml:space="preserve">We in-license a United States utility patent application directed to a bicistronic </w:t>
      </w:r>
      <w:r>
        <w:rPr>
          <w:rFonts w:ascii="Arial" w:cs="Arial" w:eastAsia="Arial" w:hAnsi="Arial"/>
          <w:sz w:val="17"/>
          <w:szCs w:val="17"/>
          <w:i w:val="1"/>
          <w:iCs w:val="1"/>
          <w:color w:val="auto"/>
        </w:rPr>
        <w:t>HEXB</w:t>
      </w:r>
      <w:r>
        <w:rPr>
          <w:rFonts w:ascii="Arial" w:cs="Arial" w:eastAsia="Arial" w:hAnsi="Arial"/>
          <w:sz w:val="17"/>
          <w:szCs w:val="17"/>
          <w:color w:val="auto"/>
        </w:rPr>
        <w:t>P2A</w:t>
      </w:r>
      <w:r>
        <w:rPr>
          <w:rFonts w:ascii="Arial" w:cs="Arial" w:eastAsia="Arial" w:hAnsi="Arial"/>
          <w:sz w:val="17"/>
          <w:szCs w:val="17"/>
          <w:i w:val="1"/>
          <w:iCs w:val="1"/>
          <w:color w:val="auto"/>
        </w:rPr>
        <w:t>-HEXA</w:t>
      </w:r>
      <w:r>
        <w:rPr>
          <w:rFonts w:ascii="Arial" w:cs="Arial" w:eastAsia="Arial" w:hAnsi="Arial"/>
          <w:sz w:val="17"/>
          <w:szCs w:val="17"/>
          <w:color w:val="auto"/>
        </w:rPr>
        <w:t xml:space="preserve"> transgene packaged into an AAV vector, and methods of using that vector to treat GM2 gangliosidosis, such as Tay-Sachs disease or Sandhoff disease, which, if issued, is expected to expire in 2037, without taking into account any possible patent term adjustment. This application has no foreign counterparts.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TSHA-118</w:t>
      </w:r>
    </w:p>
    <w:p>
      <w:pPr>
        <w:spacing w:after="0" w:line="102"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We in-license certain patent rights directed to a palmitoyl-protein thioesterase 1 transgene packaged into an AAV vector, and methods of using that vector to treat CLN1 disease (also known as infantile Batten disease). Specifically, pursuant to our license agreement with Abeona we have in-licensed one PCT patent application assigned to Abeona. Patent applications based on this application, if issued, are expected to expire in 2040, without taking into account any possible patent term adjustment. In addition, pursuant to the Abeona agreement, we have sublicensed 15 pending patent applications worldwide assigned to the University of North Carolina at Chapel Hill. These patent applications, if issued, are expected to expire in 2037.</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TSHA-102</w:t>
      </w:r>
    </w:p>
    <w:p>
      <w:pPr>
        <w:spacing w:after="0" w:line="102"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 xml:space="preserve">We in-license four United States provisional patent applications directed to a minigene encoding </w:t>
      </w:r>
      <w:r>
        <w:rPr>
          <w:rFonts w:ascii="Arial" w:cs="Arial" w:eastAsia="Arial" w:hAnsi="Arial"/>
          <w:sz w:val="18"/>
          <w:szCs w:val="18"/>
          <w:i w:val="1"/>
          <w:iCs w:val="1"/>
          <w:color w:val="auto"/>
        </w:rPr>
        <w:t>MECP2</w:t>
      </w:r>
      <w:r>
        <w:rPr>
          <w:rFonts w:ascii="Arial" w:cs="Arial" w:eastAsia="Arial" w:hAnsi="Arial"/>
          <w:sz w:val="18"/>
          <w:szCs w:val="18"/>
          <w:color w:val="auto"/>
        </w:rPr>
        <w:t xml:space="preserve"> packaged into an AAV vector, and methods of using that vector to treat Rett syndrome. Patent applications claiming priority to these provisional patent applications, if issued, are expected to expire between 2040 and 2041, without taking into account any possible patent term adjustment.</w:t>
      </w:r>
    </w:p>
    <w:p>
      <w:pPr>
        <w:spacing w:after="0" w:line="164"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455" w:right="3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our proprietary technology and processes,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We also seek to preserve the integrity and confidentiality of our data and trade secrets by maintaining physical security of our premises and physical and electronic security of our information technology systems.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1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170" w:lineRule="exact"/>
        <w:rPr>
          <w:sz w:val="20"/>
          <w:szCs w:val="20"/>
          <w:color w:val="auto"/>
        </w:rPr>
      </w:pPr>
    </w:p>
    <w:p>
      <w:pPr>
        <w:jc w:val="both"/>
        <w:ind w:right="80" w:firstLine="562"/>
        <w:spacing w:after="0" w:line="248" w:lineRule="auto"/>
        <w:rPr>
          <w:sz w:val="20"/>
          <w:szCs w:val="20"/>
          <w:color w:val="auto"/>
        </w:rPr>
      </w:pPr>
      <w:r>
        <w:rPr>
          <w:rFonts w:ascii="Arial" w:cs="Arial" w:eastAsia="Arial" w:hAnsi="Arial"/>
          <w:sz w:val="18"/>
          <w:szCs w:val="18"/>
          <w:color w:val="auto"/>
        </w:rPr>
        <w:t>Biological products are subject to regulation under the Food, Drug, and Cosmetic Act, or FDCA, and the Public Health Service Act, or PHSA,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104"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The process required by the FDA before biological product candidates may be marketed in the United States generally involves the following:</w:t>
      </w:r>
    </w:p>
    <w:p>
      <w:pPr>
        <w:spacing w:after="0" w:line="50" w:lineRule="exact"/>
        <w:rPr>
          <w:sz w:val="20"/>
          <w:szCs w:val="20"/>
          <w:color w:val="auto"/>
        </w:rPr>
      </w:pPr>
    </w:p>
    <w:p>
      <w:pPr>
        <w:ind w:left="780" w:right="660" w:hanging="219"/>
        <w:spacing w:after="0" w:line="27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performed in accordance with applicable regulations, including the GLP regulations;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117" w:lineRule="exact"/>
        <w:rPr>
          <w:rFonts w:ascii="Arial" w:cs="Arial" w:eastAsia="Arial" w:hAnsi="Arial"/>
          <w:sz w:val="18"/>
          <w:szCs w:val="18"/>
          <w:color w:val="auto"/>
        </w:rPr>
      </w:pPr>
    </w:p>
    <w:p>
      <w:pPr>
        <w:ind w:left="780" w:right="1000" w:hanging="219"/>
        <w:spacing w:after="0" w:line="27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commenced;</w:t>
      </w:r>
    </w:p>
    <w:p>
      <w:pPr>
        <w:spacing w:after="0" w:line="50" w:lineRule="exact"/>
        <w:rPr>
          <w:rFonts w:ascii="Arial" w:cs="Arial" w:eastAsia="Arial" w:hAnsi="Arial"/>
          <w:sz w:val="18"/>
          <w:szCs w:val="18"/>
          <w:color w:val="auto"/>
        </w:rPr>
      </w:pPr>
    </w:p>
    <w:p>
      <w:pPr>
        <w:ind w:left="780" w:right="640" w:hanging="219"/>
        <w:spacing w:after="0" w:line="27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biological product candidate for its intended purpose;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780" w:hanging="219"/>
        <w:spacing w:after="0" w:line="248"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 requirements, or cGMPs, and to assure that the facilities, methods and controls are adequate to preserve the biological product’s continued safety, purity and potency, and of selected clinical investigation sites to assess compliance with the FDA’s good clinical practices, or GCPs;</w:t>
      </w:r>
    </w:p>
    <w:p>
      <w:pPr>
        <w:spacing w:after="0" w:line="75" w:lineRule="exact"/>
        <w:rPr>
          <w:rFonts w:ascii="Arial" w:cs="Arial" w:eastAsia="Arial" w:hAnsi="Arial"/>
          <w:sz w:val="18"/>
          <w:szCs w:val="18"/>
          <w:color w:val="auto"/>
        </w:rPr>
      </w:pPr>
    </w:p>
    <w:p>
      <w:pPr>
        <w:ind w:left="780" w:hanging="219"/>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 and</w:t>
      </w:r>
    </w:p>
    <w:p>
      <w:pPr>
        <w:spacing w:after="0" w:line="117" w:lineRule="exact"/>
        <w:rPr>
          <w:rFonts w:ascii="Arial" w:cs="Arial" w:eastAsia="Arial" w:hAnsi="Arial"/>
          <w:sz w:val="18"/>
          <w:szCs w:val="18"/>
          <w:color w:val="auto"/>
        </w:rPr>
      </w:pPr>
    </w:p>
    <w:p>
      <w:pPr>
        <w:ind w:left="780" w:right="180" w:hanging="219"/>
        <w:spacing w:after="0" w:line="27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FDA review and approval, or licensure, of a BLA to permit commercial marketing of the product for particular indications for use in the United States.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5"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104"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30 -day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In addition to the submission of an IND to the FDA before initiation of a clinical trial in the United States, certain human clinical trials involving recombinant or synthetic nucleic acid molecules are subject to oversight at the local level as set forth in the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80"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177"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For purposes of BLA approval of a product candidate, human clinical trials are typically conducted in three sequential phases that may overlap or be combined:</w:t>
      </w:r>
    </w:p>
    <w:p>
      <w:pPr>
        <w:spacing w:after="0" w:line="50" w:lineRule="exact"/>
        <w:rPr>
          <w:sz w:val="20"/>
          <w:szCs w:val="20"/>
          <w:color w:val="auto"/>
        </w:rPr>
      </w:pPr>
    </w:p>
    <w:p>
      <w:pPr>
        <w:jc w:val="both"/>
        <w:ind w:left="780" w:right="440" w:hanging="219"/>
        <w:spacing w:after="0" w:line="255"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For gene therapies, the investigational product is initially introduced into patients with the target disease or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These studies are designed to test the safety, dosage tolerance, absorption, metabolism and distribution of the investigational product in humans,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5" w:right="3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side effects associated with increasing doses, and, if possible, to gain early evidence on effectiveness.</w:t>
      </w:r>
    </w:p>
    <w:p>
      <w:pPr>
        <w:spacing w:after="0" w:line="117" w:lineRule="exact"/>
        <w:rPr>
          <w:sz w:val="20"/>
          <w:szCs w:val="20"/>
          <w:color w:val="auto"/>
        </w:rPr>
      </w:pPr>
    </w:p>
    <w:p>
      <w:pPr>
        <w:ind w:left="780" w:right="420" w:hanging="219"/>
        <w:spacing w:after="0" w:line="27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investigational product is administered to a limited patient population to evaluate the preliminary efficacy, optimal</w:t>
      </w:r>
      <w:r>
        <w:rPr>
          <w:rFonts w:ascii="Arial" w:cs="Arial" w:eastAsia="Arial" w:hAnsi="Arial"/>
          <w:sz w:val="18"/>
          <w:szCs w:val="18"/>
          <w:i w:val="1"/>
          <w:iCs w:val="1"/>
          <w:color w:val="auto"/>
        </w:rPr>
        <w:t xml:space="preserve"> </w:t>
      </w:r>
      <w:r>
        <w:rPr>
          <w:rFonts w:ascii="Arial" w:cs="Arial" w:eastAsia="Arial" w:hAnsi="Arial"/>
          <w:sz w:val="18"/>
          <w:szCs w:val="18"/>
          <w:color w:val="auto"/>
        </w:rPr>
        <w:t>dosages and dosing schedule and to identify possible adverse side effects and safety risks.</w:t>
      </w:r>
    </w:p>
    <w:p>
      <w:pPr>
        <w:spacing w:after="0" w:line="50" w:lineRule="exact"/>
        <w:rPr>
          <w:rFonts w:ascii="Arial" w:cs="Arial" w:eastAsia="Arial" w:hAnsi="Arial"/>
          <w:sz w:val="18"/>
          <w:szCs w:val="18"/>
          <w:color w:val="auto"/>
        </w:rPr>
      </w:pPr>
    </w:p>
    <w:p>
      <w:pPr>
        <w:ind w:left="780" w:right="440" w:hanging="219"/>
        <w:spacing w:after="0" w:line="24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investigational product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these phases overlap or are combined, the trials may be referred to as Phase 1/2 or Phase 2/3.</w:t>
      </w:r>
    </w:p>
    <w:p>
      <w:pPr>
        <w:spacing w:after="0" w:line="212"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10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 The FDA has sixty days from the applicant’s submission of a BLA to either issue a refusal to file letter or accept the BLA for filing, indicating that it is sufficiently complete to permit substantive review.</w:t>
      </w:r>
    </w:p>
    <w:p>
      <w:pPr>
        <w:spacing w:after="0" w:line="179"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Once a BLA has been accepted for filing, the FDA’s goal is to review standard applications within ten months after it accepts the application for filing, or, if the application qualifies for priority review, six</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455" w:right="3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for its intended use, and whether the facility in which it is manufactured, processed, packed or held meets standards designed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6"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manufactured,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The FDA may delay or refuse approval of a BLA if applicable regulatory criteria are not satisfied, require additional testing or information and/or require post-marketing testing and surveillance to monitor safety or efficacy of a product.</w:t>
      </w:r>
    </w:p>
    <w:p>
      <w:pPr>
        <w:spacing w:after="0" w:line="180"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5"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7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79"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176"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w:t>
      </w:r>
    </w:p>
    <w:p>
      <w:pPr>
        <w:spacing w:after="0" w:line="172" w:lineRule="exact"/>
        <w:rPr>
          <w:sz w:val="20"/>
          <w:szCs w:val="20"/>
          <w:color w:val="auto"/>
        </w:rPr>
      </w:pPr>
    </w:p>
    <w:p>
      <w:pPr>
        <w:ind w:right="160" w:firstLine="562"/>
        <w:spacing w:after="0" w:line="241"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5" w:right="3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currently requires as a condition for accelerated approval pre-approval of promotional materials, which could adversely impact the timing of the commercial launch of the product.</w:t>
      </w:r>
    </w:p>
    <w:p>
      <w:pPr>
        <w:spacing w:after="0" w:line="145"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Fast track designation, breakthrough therapy designation, RMAT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than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79"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holder of the orphan drug exclusivity cannot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80"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 and Priority Review Vouchers</w:t>
      </w:r>
    </w:p>
    <w:p>
      <w:pPr>
        <w:spacing w:after="0" w:line="10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455" w:right="3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September 30, 2020, with the potential for PRVs to be granted until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83"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8" w:lineRule="exact"/>
        <w:rPr>
          <w:sz w:val="20"/>
          <w:szCs w:val="20"/>
          <w:color w:val="auto"/>
        </w:rPr>
      </w:pPr>
    </w:p>
    <w:p>
      <w:pPr>
        <w:ind w:left="780" w:hanging="219"/>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17" w:lineRule="exact"/>
        <w:rPr>
          <w:rFonts w:ascii="Arial" w:cs="Arial" w:eastAsia="Arial" w:hAnsi="Arial"/>
          <w:sz w:val="18"/>
          <w:szCs w:val="18"/>
          <w:color w:val="auto"/>
        </w:rPr>
      </w:pPr>
    </w:p>
    <w:p>
      <w:pPr>
        <w:ind w:left="780" w:right="640" w:hanging="219"/>
        <w:spacing w:after="0" w:line="276"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780" w:right="280" w:hanging="219"/>
        <w:spacing w:after="0" w:line="276"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5"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104"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or collectively the ACA, includes a subtitle called the Biologics Price Competition and Innovation Act,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172"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0"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455" w:right="3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04"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04" w:lineRule="exact"/>
        <w:rPr>
          <w:sz w:val="20"/>
          <w:szCs w:val="20"/>
          <w:color w:val="auto"/>
        </w:rPr>
      </w:pPr>
    </w:p>
    <w:p>
      <w:pPr>
        <w:ind w:right="160" w:firstLine="562"/>
        <w:spacing w:after="0" w:line="248"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HIPAA and similar foreign, federal and state fraud and abuse, transparency and privacy laws.</w:t>
      </w:r>
    </w:p>
    <w:p>
      <w:pPr>
        <w:spacing w:after="0" w:line="170"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spacing w:after="0" w:line="177"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Civil and criminal false claims laws, and civil monetary penalty laws, including the civil False Claims Act,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320" w:top="455" w:right="3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to the U.S. government. Several pharmaceutical and other healthcare companies have been prosecuted under these laws for allegedly providing free product to customers with the expectation that the customers would bill federal programs for the product.</w:t>
      </w:r>
    </w:p>
    <w:p>
      <w:pPr>
        <w:spacing w:after="0" w:line="14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7"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CMS information related to payments or other transfers of value made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w:t>
      </w:r>
    </w:p>
    <w:p>
      <w:pPr>
        <w:spacing w:after="0" w:line="17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We are also subject to additional similar U.S. state and foreign law equivalents of each of the above federal laws, such as anti-kickback and false claims laws which may apply to sales or marketing arrangements and claims involving healthcare items or services reimbursed by non-governmental third 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imprisonment damages, fines, exclusion from government-funded healthcare programs, such as Medicare and Medicaid or similar programs in other countries or jurisdictions, integrity oversight and reporting obligations to resolve allegations</w:t>
      </w:r>
    </w:p>
    <w:p>
      <w:pPr>
        <w:spacing w:after="0" w:line="10" w:lineRule="exact"/>
        <w:rPr>
          <w:sz w:val="20"/>
          <w:szCs w:val="20"/>
          <w:color w:val="auto"/>
        </w:rPr>
      </w:pPr>
    </w:p>
    <w:p>
      <w:pPr>
        <w:ind w:right="820"/>
        <w:spacing w:after="0" w:line="250" w:lineRule="auto"/>
        <w:rPr>
          <w:sz w:val="20"/>
          <w:szCs w:val="20"/>
          <w:color w:val="auto"/>
        </w:rPr>
      </w:pPr>
      <w:r>
        <w:rPr>
          <w:rFonts w:ascii="Arial" w:cs="Arial" w:eastAsia="Arial" w:hAnsi="Arial"/>
          <w:sz w:val="18"/>
          <w:szCs w:val="18"/>
          <w:color w:val="auto"/>
        </w:rPr>
        <w:t>of non-compliance, disgorgement, imprisonment, contractual damages, reputational harm, diminished profits and the curtailment or restructuring of our operations.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455" w:right="3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179"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179"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w:t>
      </w:r>
    </w:p>
    <w:p>
      <w:pPr>
        <w:spacing w:after="0" w:line="16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64"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79"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Outside the United States, ensuring adequate coverage and payment for any biological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 In the European Union, pricing and reimbursement schemes vary widely from country to country. Some countries provide that products may be marketed only after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5" w:right="3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174"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ACA’s individual mandate to carry health insurance, delaying the implementation of certain ACA-mandated fees, and increasing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point-of-sale discount that is owed by pharmaceutical manufacturers who participate in Medicare Part D. On December 14, 2018, a U.S. District Court Judge in Texas ruled that the ACA is unconstitutional in its entirety because the “individual mandate” was repealed by Congress as part of legislation enacted in 2017, informally titled the Tax Cuts and Jobs Act. On December 18, 2019, the U.S. Court of Appeals for the 5th Circuit ruled that the individual mandate was unconstitutional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455" w:right="3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remanded the case back to the District Court to determine whether the remaining provisions of the ACA are invalid as well. On March 2, 2020, the United States Supreme Court granted the petitions for writs of certiorari to review this case. It is unclear when such oral arguments are to be held and when a decision is expected to be made. It is also unclear how such litigation and other efforts to repeal and replace the ACA will impact the ACA and our business.</w:t>
      </w:r>
    </w:p>
    <w:p>
      <w:pPr>
        <w:spacing w:after="0" w:line="170"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2030 unless additional action is taken by Congress. However, pursuant to the Coronavirus Aid, Relief and Economic Security Act, or CARES Act, these Medicare sequester reductions will be suspended from May 1, 2020 through December 31, 2020 due to the COVID-19 pandemic.</w:t>
      </w:r>
    </w:p>
    <w:p>
      <w:pPr>
        <w:spacing w:after="0" w:line="17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contains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certain of these measures and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On July 24, 2020, President Trump signed four executive orders aimed at lowering drug prices. The executive orders direct the Secretary of the U.S. Department of Health and Human Services, or HHS, to: (1) eliminate protection under an Anti-Kickback Statute safe harbor for certain retrospective price reductions provided by drug manufacturers to sponsors of Medicare Part D plans or pharmacy benefit managers that are not applied at the point-of-sale; (2) allow the importation of certain drugs from other countries through individual waivers, permit the re-importation of insulin products, and prioritize finalization of FDA’s December 2019 proposed rule to permit the importation of drugs from Canada; (3) ensure that payment by the Medicare program for certain Medicare Part B drugs is not higher than the payment by other comparable countries (depending on whether pharmaceutical manufacturers agree to other measures); and (4) allow certain low income individuals receiving insulin and epinephrine purchased by a Federally Qualified Health Center, or FQHC, as part of the 340B drug program to purchase those drugs at the discounted price paid by the FQHC. It is unclear if, when, and to what extent these executive orders may be implemented. On August 6, 2020, President Trump signed an additional executive order directing U.S. government agencies to encourage the domestic procurement of Essential Medicines, Medical Countermeasures, and Critical Inputs, which include among other things, active pharmaceutical ingredients and drugs intended for use in the diagnosis, cure, mitigation, treatment, or prevention of COVID-19. FDA shall release a full list of Essential Medicines, Medical Countermeasures, and Critical Inputs affected by this order by November 5, 2020. The regulatory and market implications of these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455" w:right="3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executive orders are unknown at this time, but legislation, regulations or policies allowing the reimportation of drugs, if enacted and implemented, could decrease the price we receive for any products that we may develop and commercialize and could adversely affect our future revenues and prospects for profitability.</w:t>
      </w:r>
    </w:p>
    <w:p>
      <w:pPr>
        <w:spacing w:after="0" w:line="16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Although a number of these and other proposed measures may require additional authorization to become effective, Congress and the Trump administration have each indicated that it will continue to seek new legislative and/or administrative measures to control drug costs. Additional state and federal healthcare reform measures may be adopted in the future. Further, it is possible that additional governmental action is taken in response to the COVID-19 pandemic.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Facilities</w:t>
      </w:r>
    </w:p>
    <w:p>
      <w:pPr>
        <w:spacing w:after="0" w:line="214" w:lineRule="exact"/>
        <w:rPr>
          <w:sz w:val="20"/>
          <w:szCs w:val="20"/>
          <w:color w:val="auto"/>
        </w:rPr>
      </w:pPr>
    </w:p>
    <w:p>
      <w:pPr>
        <w:ind w:right="240" w:firstLine="562"/>
        <w:spacing w:after="0" w:line="255" w:lineRule="auto"/>
        <w:rPr>
          <w:sz w:val="20"/>
          <w:szCs w:val="20"/>
          <w:color w:val="auto"/>
        </w:rPr>
      </w:pPr>
      <w:r>
        <w:rPr>
          <w:rFonts w:ascii="Arial" w:cs="Arial" w:eastAsia="Arial" w:hAnsi="Arial"/>
          <w:sz w:val="18"/>
          <w:szCs w:val="18"/>
          <w:color w:val="auto"/>
        </w:rPr>
        <w:t>As part of our strategic partnership with UT Southwestern, we are provided with office space at UT Southwestern for administrative activities that we believe is adequate for our current needs. We believe that suitable additional alternative spaces will be available in the future on commercially reasonable terms.</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w:t>
      </w:r>
    </w:p>
    <w:p>
      <w:pPr>
        <w:spacing w:after="0" w:line="214"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As of August 31, 2020, we had ten full-time employees. None of our employees are represented by a labor union or covered by a collective bargaining agreement. We consider our relationship with our employees to be good.</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Proceedings</w:t>
      </w:r>
    </w:p>
    <w:p>
      <w:pPr>
        <w:spacing w:after="0" w:line="214"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material legal proceedings.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320" w:top="455" w:right="3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current executive officers and directors, including their ages as of August 31,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100" w:type="dxa"/>
            <w:vAlign w:val="bottom"/>
          </w:tcPr>
          <w:p>
            <w:pPr>
              <w:spacing w:after="0"/>
              <w:rPr>
                <w:sz w:val="17"/>
                <w:szCs w:val="17"/>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7"/>
                <w:szCs w:val="17"/>
                <w:color w:val="auto"/>
              </w:rPr>
            </w:pPr>
          </w:p>
        </w:tc>
        <w:tc>
          <w:tcPr>
            <w:tcW w:w="6160" w:type="dxa"/>
            <w:vAlign w:val="bottom"/>
          </w:tcPr>
          <w:p>
            <w:pPr>
              <w:ind w:left="2700"/>
              <w:spacing w:after="0"/>
              <w:rPr>
                <w:sz w:val="20"/>
                <w:szCs w:val="20"/>
                <w:color w:val="auto"/>
              </w:rPr>
            </w:pPr>
            <w:r>
              <w:rPr>
                <w:rFonts w:ascii="Arial" w:cs="Arial" w:eastAsia="Arial" w:hAnsi="Arial"/>
                <w:sz w:val="14"/>
                <w:szCs w:val="14"/>
                <w:b w:val="1"/>
                <w:bCs w:val="1"/>
                <w:color w:val="auto"/>
              </w:rPr>
              <w:t>Position(s)</w:t>
            </w:r>
          </w:p>
        </w:tc>
      </w:tr>
      <w:tr>
        <w:trPr>
          <w:trHeight w:val="153"/>
        </w:trPr>
        <w:tc>
          <w:tcPr>
            <w:tcW w:w="4520" w:type="dxa"/>
            <w:vAlign w:val="bottom"/>
            <w:gridSpan w:val="2"/>
          </w:tcPr>
          <w:p>
            <w:pPr>
              <w:spacing w:after="0" w:line="153" w:lineRule="exact"/>
              <w:rPr>
                <w:sz w:val="20"/>
                <w:szCs w:val="20"/>
                <w:color w:val="auto"/>
              </w:rPr>
            </w:pPr>
            <w:r>
              <w:rPr>
                <w:rFonts w:ascii="Arial" w:cs="Arial" w:eastAsia="Arial" w:hAnsi="Arial"/>
                <w:sz w:val="17"/>
                <w:szCs w:val="17"/>
                <w:b w:val="1"/>
                <w:bCs w:val="1"/>
                <w:color w:val="auto"/>
              </w:rPr>
              <w:t>Executive Officers</w:t>
            </w: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60" w:type="dxa"/>
            <w:vAlign w:val="bottom"/>
            <w:tcBorders>
              <w:top w:val="single" w:sz="8" w:color="auto"/>
            </w:tcBorders>
          </w:tcPr>
          <w:p>
            <w:pPr>
              <w:spacing w:after="0"/>
              <w:rPr>
                <w:sz w:val="13"/>
                <w:szCs w:val="13"/>
                <w:color w:val="auto"/>
              </w:rPr>
            </w:pPr>
          </w:p>
        </w:tc>
      </w:tr>
      <w:tr>
        <w:trPr>
          <w:trHeight w:val="203"/>
        </w:trPr>
        <w:tc>
          <w:tcPr>
            <w:tcW w:w="4520" w:type="dxa"/>
            <w:vAlign w:val="bottom"/>
            <w:gridSpan w:val="2"/>
          </w:tcPr>
          <w:p>
            <w:pPr>
              <w:spacing w:after="0" w:line="203" w:lineRule="exact"/>
              <w:rPr>
                <w:sz w:val="20"/>
                <w:szCs w:val="20"/>
                <w:color w:val="auto"/>
              </w:rPr>
            </w:pPr>
            <w:r>
              <w:rPr>
                <w:rFonts w:ascii="Arial" w:cs="Arial" w:eastAsia="Arial" w:hAnsi="Arial"/>
                <w:sz w:val="18"/>
                <w:szCs w:val="18"/>
                <w:color w:val="auto"/>
              </w:rPr>
              <w:t>RA Session II</w:t>
            </w:r>
            <w:r>
              <w:rPr>
                <w:rFonts w:ascii="Arial" w:cs="Arial" w:eastAsia="Arial" w:hAnsi="Arial"/>
                <w:sz w:val="15"/>
                <w:szCs w:val="15"/>
                <w:color w:val="auto"/>
              </w:rPr>
              <w:t>(3)</w:t>
            </w:r>
          </w:p>
        </w:tc>
        <w:tc>
          <w:tcPr>
            <w:tcW w:w="4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41</w:t>
            </w:r>
          </w:p>
        </w:tc>
        <w:tc>
          <w:tcPr>
            <w:tcW w:w="628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Kamran Alam</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Chief Financial Officer</w:t>
            </w:r>
          </w:p>
        </w:tc>
      </w:tr>
      <w:tr>
        <w:trPr>
          <w:trHeight w:val="200"/>
        </w:trPr>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Suyash Prasad, M.B.B.S., F.F.P.M.</w:t>
            </w:r>
          </w:p>
        </w:tc>
        <w:tc>
          <w:tcPr>
            <w:tcW w:w="4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50</w:t>
            </w:r>
          </w:p>
        </w:tc>
        <w:tc>
          <w:tcPr>
            <w:tcW w:w="62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Chief Medical Officer and Head of Research and Development</w:t>
            </w:r>
          </w:p>
        </w:tc>
      </w:tr>
      <w:tr>
        <w:trPr>
          <w:trHeight w:val="204"/>
        </w:trPr>
        <w:tc>
          <w:tcPr>
            <w:tcW w:w="452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Non-Employee Directors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60" w:type="dxa"/>
            <w:vAlign w:val="bottom"/>
          </w:tcPr>
          <w:p>
            <w:pPr>
              <w:spacing w:after="0"/>
              <w:rPr>
                <w:sz w:val="17"/>
                <w:szCs w:val="17"/>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Sean P. Nolan</w:t>
            </w:r>
            <w:r>
              <w:rPr>
                <w:rFonts w:ascii="Arial" w:cs="Arial" w:eastAsia="Arial" w:hAnsi="Arial"/>
                <w:sz w:val="15"/>
                <w:szCs w:val="15"/>
                <w:color w:val="auto"/>
              </w:rPr>
              <w:t>(1)(2)(3)</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Chairman of the Board of Directors</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Phillip B. Donenberg</w:t>
            </w:r>
            <w:r>
              <w:rPr>
                <w:rFonts w:ascii="Arial" w:cs="Arial" w:eastAsia="Arial" w:hAnsi="Arial"/>
                <w:sz w:val="15"/>
                <w:szCs w:val="15"/>
                <w:color w:val="auto"/>
              </w:rPr>
              <w:t>(1)(2)</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Paul B. Manning</w:t>
            </w:r>
            <w:r>
              <w:rPr>
                <w:rFonts w:ascii="Arial" w:cs="Arial" w:eastAsia="Arial" w:hAnsi="Arial"/>
                <w:sz w:val="15"/>
                <w:szCs w:val="15"/>
                <w:color w:val="auto"/>
              </w:rPr>
              <w:t>(3)</w:t>
            </w: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w:t>
            </w:r>
          </w:p>
        </w:tc>
        <w:tc>
          <w:tcPr>
            <w:tcW w:w="62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43"/>
        </w:trPr>
        <w:tc>
          <w:tcPr>
            <w:tcW w:w="4520" w:type="dxa"/>
            <w:vAlign w:val="bottom"/>
            <w:gridSpan w:val="2"/>
          </w:tcPr>
          <w:p>
            <w:pPr>
              <w:spacing w:after="0"/>
              <w:rPr>
                <w:sz w:val="20"/>
                <w:szCs w:val="20"/>
                <w:color w:val="auto"/>
              </w:rPr>
            </w:pPr>
            <w:r>
              <w:rPr>
                <w:rFonts w:ascii="Arial" w:cs="Arial" w:eastAsia="Arial" w:hAnsi="Arial"/>
                <w:sz w:val="18"/>
                <w:szCs w:val="18"/>
                <w:color w:val="auto"/>
              </w:rPr>
              <w:t>Sukumar Nagendran, M.D.</w:t>
            </w:r>
            <w:r>
              <w:rPr>
                <w:rFonts w:ascii="Arial" w:cs="Arial" w:eastAsia="Arial" w:hAnsi="Arial"/>
                <w:sz w:val="15"/>
                <w:szCs w:val="15"/>
                <w:color w:val="auto"/>
              </w:rPr>
              <w:t>(1)(2)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886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29" w:lineRule="exact"/>
        <w:rPr>
          <w:sz w:val="20"/>
          <w:szCs w:val="20"/>
          <w:color w:val="auto"/>
        </w:rPr>
      </w:pPr>
    </w:p>
    <w:p>
      <w:pPr>
        <w:ind w:left="560" w:hanging="552"/>
        <w:spacing w:after="0"/>
        <w:tabs>
          <w:tab w:leader="none" w:pos="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7" w:lineRule="exact"/>
        <w:rPr>
          <w:rFonts w:ascii="Arial" w:cs="Arial" w:eastAsia="Arial" w:hAnsi="Arial"/>
          <w:sz w:val="18"/>
          <w:szCs w:val="18"/>
          <w:color w:val="auto"/>
        </w:rPr>
      </w:pPr>
    </w:p>
    <w:p>
      <w:pPr>
        <w:ind w:left="560" w:hanging="552"/>
        <w:spacing w:after="0" w:line="234" w:lineRule="auto"/>
        <w:tabs>
          <w:tab w:leader="none" w:pos="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560" w:hanging="552"/>
        <w:spacing w:after="0"/>
        <w:tabs>
          <w:tab w:leader="none" w:pos="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14"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b w:val="1"/>
          <w:bCs w:val="1"/>
          <w:i w:val="1"/>
          <w:iCs w:val="1"/>
          <w:color w:val="auto"/>
        </w:rPr>
        <w:t xml:space="preserve">RA Session II </w:t>
      </w:r>
      <w:r>
        <w:rPr>
          <w:rFonts w:ascii="Arial" w:cs="Arial" w:eastAsia="Arial" w:hAnsi="Arial"/>
          <w:sz w:val="18"/>
          <w:szCs w:val="18"/>
          <w:color w:val="auto"/>
        </w:rPr>
        <w:t>has served as our President and Chief Executive Officer and a member of our board of directors since our founding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2019. In addition to serving as our President and Chief Executive Officer, Mr. Session currently serves as Entrepreneur-in-Residence of the University of Texas Southwestern Medical Center. He has served on the board of directors of Chardan Healthcare Acquisition 2 Corp. since April 2020. Mr. Session previously served as Chief Business Officer of the gene therapy subsidiaries of BridgeBio Pharma, Inc., a biopharmaceutical company, from January 2019 to April 2020; Senior Vice President, Corporate Strategy and Project Management of AveXis, Inc., a gene therapy company, from March 2017 to May 2018; and in various roles for PTC Therapeutics, Inc., a biopharmaceutical company, from June 2013 to March 2017, most recently as the Vice President of Commercial Development.</w:t>
      </w:r>
    </w:p>
    <w:p>
      <w:pPr>
        <w:spacing w:after="0" w:line="3"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Mr. Session has also served as an advisor to multiple biotechnology companies, including Alcyone Lifesciences, Inc. from January 2019 to December 2019, 4D Molecular Therapeutics, Inc. from August 2018 to December 2019 and Celenex from June 2018 to September 2018. Mr. Session earned a B.S.B.A. in finance from the University of North Carolina at Charlotte, an M.S.F. in finance from Texas A&amp;M University-Commerce and an M.B.A. from Texas A&amp;M University-Commerce. Our board of directors believes that Mr. Session is qualified to serve as a director based on his role as our Chief Executive Officer and his extensive management experience in the biotechnology industry.</w:t>
      </w:r>
    </w:p>
    <w:p>
      <w:pPr>
        <w:spacing w:after="0" w:line="164"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b w:val="1"/>
          <w:bCs w:val="1"/>
          <w:i w:val="1"/>
          <w:iCs w:val="1"/>
          <w:color w:val="auto"/>
        </w:rPr>
        <w:t xml:space="preserve">Kamran Alam </w:t>
      </w:r>
      <w:r>
        <w:rPr>
          <w:rFonts w:ascii="Arial" w:cs="Arial" w:eastAsia="Arial" w:hAnsi="Arial"/>
          <w:sz w:val="18"/>
          <w:szCs w:val="18"/>
          <w:color w:val="auto"/>
        </w:rPr>
        <w:t>has served as our Chief Financial Officer since August 2020. Mr. Alam previously served 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and Principal Financial Officer of Rocket Pharmaceuticals, Inc., a biopharmaceutical company, from October 2019 to July 2020 and as Vice President, Finance at AveXis, Inc., a gene therapy company, from April 2016 to October 2019. From 2013 to April 2016, he held positions of increasing responsibility at Aptinyx Inc., a biopharmaceutical company, where at the time of his departure he was a Senior Director, Finance and Accounting. Mr. Alam is a Certified Public Accountant and earned a B.B.A. from the Ross School of Business at University of Michigan and an M.B.A. in finance from the Kelley School of Business at Indiana University.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b w:val="1"/>
          <w:bCs w:val="1"/>
          <w:i w:val="1"/>
          <w:iCs w:val="1"/>
          <w:color w:val="auto"/>
        </w:rPr>
        <w:t>Suyash Prasad, M.B.B.S., F.F.P.M.</w:t>
      </w:r>
      <w:r>
        <w:rPr>
          <w:rFonts w:ascii="Arial" w:cs="Arial" w:eastAsia="Arial" w:hAnsi="Arial"/>
          <w:sz w:val="18"/>
          <w:szCs w:val="18"/>
          <w:color w:val="auto"/>
        </w:rPr>
        <w:t>, has served as our Chief Medical Officer and Head of Research and Development since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Dr. Prasad has served as principal of Suyash Prasad Consulting LLC, a consulting firm, since October 2019. He previously served as Senior Vice President and Chief Medical Officer of Audentes Therapeutics, Inc., a gene therapy company, from 2014 to June 2019.</w:t>
      </w:r>
    </w:p>
    <w:p>
      <w:pPr>
        <w:spacing w:after="0" w:line="1"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Dr. Prasad earned a medical degree from the University of Newcastle-upon-Tyne, United Kingdom, a master’s degree (with distinction) in translational science from Kings College, London, United Kingdom, and a diploma in pharmaceutical medicine from the Faculty of Pharmaceutical Medicine of the Royal Colleges of Physicians of the United Kingdom. Dr. Prasad is a United Kingdom board-certified physician and is a member of the Royal College of Physicians and the Royal College of Pediatrics and Child Health and is a Fellow of the Faculty of Pharmaceutical Medicine of the Royal College of Physicians of the United Kingdom.</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Directors</w:t>
      </w:r>
    </w:p>
    <w:p>
      <w:pPr>
        <w:spacing w:after="0" w:line="21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b w:val="1"/>
          <w:bCs w:val="1"/>
          <w:i w:val="1"/>
          <w:iCs w:val="1"/>
          <w:color w:val="auto"/>
        </w:rPr>
        <w:t xml:space="preserve">Sean P. Nolan </w:t>
      </w:r>
      <w:r>
        <w:rPr>
          <w:rFonts w:ascii="Arial" w:cs="Arial" w:eastAsia="Arial" w:hAnsi="Arial"/>
          <w:sz w:val="18"/>
          <w:szCs w:val="18"/>
          <w:color w:val="auto"/>
        </w:rPr>
        <w:t>has served as the Chairman of our board of directors since March 2020. He has served as the President of Nolan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LLC, an investment fund, since October 2019. Mr. Nolan most recently served as President, Chief Executive Officer and a member of the board of directors of AveXis, Inc., a gene therapy company, from June 2015 to May 2018 until its acquisition by Novartis International AG. Mr. Nolan has served on the board of directors of Ventas, Inc., a healthcare real estate investment trust company, since July 2019 and previously served on the board of directors of Neoleukin Therapeutics, Inc., a biopharmaceutical company, from February 2015 to June 2020. Mr. Nolan earned a B.S. in biology from John Carroll University. Our board of directors believes that Mr. Nolan is qualified to serve as a director based upon his more than 29 years of broad leadership and management experience in the biopharmaceutical industry.</w:t>
      </w:r>
    </w:p>
    <w:p>
      <w:pPr>
        <w:spacing w:after="0" w:line="179"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b w:val="1"/>
          <w:bCs w:val="1"/>
          <w:i w:val="1"/>
          <w:iCs w:val="1"/>
          <w:color w:val="auto"/>
        </w:rPr>
        <w:t xml:space="preserve">Phillip B. Donenberg </w:t>
      </w:r>
      <w:r>
        <w:rPr>
          <w:rFonts w:ascii="Arial" w:cs="Arial" w:eastAsia="Arial" w:hAnsi="Arial"/>
          <w:sz w:val="18"/>
          <w:szCs w:val="18"/>
          <w:color w:val="auto"/>
        </w:rPr>
        <w:t>has served as a member of our board of directors since August 2020. Mr. Donenberg has served on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and as chairman of the audit committee of AVROBIO, Inc., a gene therapy company, since June 2018. Previously, Mr. Donenberg served as Chief Financial Officer and Senior Vice President of Assertio Therapeutics, Inc., a pharmaceutical company, from July 2018 to November 2018. He served as Senior Vice President and Chief Financial Officer of AveXis, Inc., a gene therapy company, from October 2017 to June 2018 and as Vice President, Corporate Controller from September 2016 to October 2017. Mr. Donenberg served as Chief Financial Officer of RestorGenex Corporation from 2014 until its merger with Diffusion Pharmaceuticals LLC, a pharmaceutical company, in January 2016, and served as the merged company’s consultant Chief Financial Officer until September 2016. Mr. Donenberg earned a B.S. in accountancy from the University of Illinois Champaign-Urbana College of Business and is a Certified Public Accountant. Our board of directors believes that Mr. Donenberg is qualified to serve as a director based on his financial expertise and his experience as a director and executive of companies in the biotechnology and pharmaceutical industries.</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b w:val="1"/>
          <w:bCs w:val="1"/>
          <w:i w:val="1"/>
          <w:iCs w:val="1"/>
          <w:color w:val="auto"/>
        </w:rPr>
        <w:t xml:space="preserve">Paul B. Manning </w:t>
      </w:r>
      <w:r>
        <w:rPr>
          <w:rFonts w:ascii="Arial" w:cs="Arial" w:eastAsia="Arial" w:hAnsi="Arial"/>
          <w:sz w:val="18"/>
          <w:szCs w:val="18"/>
          <w:color w:val="auto"/>
        </w:rPr>
        <w:t>has served as a member of our board of directors since March 2020. Mr. Manning currently serves 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PBM Capital Group, LLC, a private equity investment firm in the business of investing in healthcare and life-science related companies, which he founded in 2010. Mr. Manning currently serves as Chairman of the board of directors of Verrica Pharmaceuticals Inc., a biopharmaceutical company. Additionally, he previously served on the boards of directors of Dova Pharmaceuticals, Inc., a biopharmaceutical company, from September 2016 to November 2019 and AveXis, Inc., a gene therapy company, from April 2014 to May 2018. Mr. Manning earned a B.S. in microbiology from the University of Massachusetts. Our board of directors believes that Mr. Manning is qualified to serve as a director based upon his more than 30 years of managerial and operational experience in the healthcare industry and as an investor in healthcare-related companies.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5" w:right="3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b w:val="1"/>
          <w:bCs w:val="1"/>
          <w:i w:val="1"/>
          <w:iCs w:val="1"/>
          <w:color w:val="auto"/>
        </w:rPr>
        <w:t>Sukumar Nagendran, M.D.</w:t>
      </w:r>
      <w:r>
        <w:rPr>
          <w:rFonts w:ascii="Arial" w:cs="Arial" w:eastAsia="Arial" w:hAnsi="Arial"/>
          <w:sz w:val="18"/>
          <w:szCs w:val="18"/>
          <w:color w:val="auto"/>
        </w:rPr>
        <w:t>, has served as a member of our board of directors since July 2020. Dr. Nagendran has served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of Solid Biosciences Inc., a life sciences company, since September 2018 and currently serves as an advisor to Encoded Therapeutics, Inc., a biotechnology company. He previously served on the board of directors of Health Sciences Acquisition Corp., a special purpose acquisition company, from March 2019 to December 2019 prior to its merger with Immunovant, Inc. Dr. Nagendran most recently served as Senior Vice President and Chief Medical Officer of AveXis, Inc., a gene therapy company, from September 2015 to May 2018, and previously served as Vice President, Head of Medical Affairs of U.S. and International Business for Quest Diagnostics Inc., a clinical laboratory, from March 2013 to September 2015. Dr. Nagendran earned a B.A. from Rutgers University and an M.D. from the University of Medicine and Dentistry of New Jersey and trained in Internal Medicine at Mayo Clinic in Rochester, Minnesota. Our board of directors believes that Dr. Nagendran is qualified to serve as a director based upon his more than 30 years of experience with gene therapy development and clinical development strategy.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Composition</w:t>
      </w:r>
    </w:p>
    <w:p>
      <w:pPr>
        <w:spacing w:after="0" w:line="214"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five members. Our directors were elected to, and currently serve on, the board pursuant to a voting agreement among us and all of our stockholders and voting rights granted by our current amended and restated certificate of incorporation. The voting agreement will terminate upon the closing of this offering, after which there will be no further contractual obligations regarding the election of our directors.</w:t>
      </w:r>
    </w:p>
    <w:p>
      <w:pPr>
        <w:spacing w:after="0" w:line="170"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In accordance with our amended and restated certificate of incorporation that will be in effect upon the closing of this offering, our board of directors will be divided into three classes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76" w:lineRule="exact"/>
        <w:rPr>
          <w:sz w:val="20"/>
          <w:szCs w:val="20"/>
          <w:color w:val="auto"/>
        </w:rPr>
      </w:pPr>
    </w:p>
    <w:p>
      <w:pPr>
        <w:ind w:left="780" w:right="60" w:hanging="219"/>
        <w:spacing w:after="0" w:line="276"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Class I, which will consist of Messrs. Manning and Session, and their terms will expire at our first annual meeting of stockholders to be held after the closing of this offering;</w:t>
      </w:r>
    </w:p>
    <w:p>
      <w:pPr>
        <w:spacing w:after="0" w:line="50" w:lineRule="exact"/>
        <w:rPr>
          <w:rFonts w:ascii="Arial" w:cs="Arial" w:eastAsia="Arial" w:hAnsi="Arial"/>
          <w:sz w:val="18"/>
          <w:szCs w:val="18"/>
          <w:color w:val="auto"/>
        </w:rPr>
      </w:pPr>
    </w:p>
    <w:p>
      <w:pPr>
        <w:ind w:left="780" w:right="620" w:hanging="219"/>
        <w:spacing w:after="0" w:line="276"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Class II, which will consist of Mr. Donenberg and Dr. Nagendran, and their terms will expire at our second annual meeting of stockholders to be held after the closing of this offering; and</w:t>
      </w:r>
    </w:p>
    <w:p>
      <w:pPr>
        <w:spacing w:after="0" w:line="50" w:lineRule="exact"/>
        <w:rPr>
          <w:rFonts w:ascii="Arial" w:cs="Arial" w:eastAsia="Arial" w:hAnsi="Arial"/>
          <w:sz w:val="18"/>
          <w:szCs w:val="18"/>
          <w:color w:val="auto"/>
        </w:rPr>
      </w:pPr>
    </w:p>
    <w:p>
      <w:pPr>
        <w:ind w:left="780" w:right="400" w:hanging="219"/>
        <w:spacing w:after="0" w:line="276"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Class III, which will consist of Mr. Nolan, and his term will expire at our third annual meeting of stockholders to be held after the closing of this offering.</w:t>
      </w:r>
    </w:p>
    <w:p>
      <w:pPr>
        <w:spacing w:after="0" w:line="145"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Our amended and restated bylaws, which will become effective upon the closing of this offering, will provide that the authorized number of directors may be changed only by resolution approved by a majority of our board of directors. The division of our board of directors into three classes with staggered three-year terms may delay or prevent a change of our management or a change of control.</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w:t>
      </w:r>
    </w:p>
    <w:p>
      <w:pPr>
        <w:spacing w:after="0" w:line="214" w:lineRule="exact"/>
        <w:rPr>
          <w:sz w:val="20"/>
          <w:szCs w:val="20"/>
          <w:color w:val="auto"/>
        </w:rPr>
      </w:pPr>
    </w:p>
    <w:p>
      <w:pPr>
        <w:ind w:right="220" w:firstLine="562"/>
        <w:spacing w:after="0" w:line="245" w:lineRule="auto"/>
        <w:rPr>
          <w:sz w:val="20"/>
          <w:szCs w:val="20"/>
          <w:color w:val="auto"/>
        </w:rPr>
      </w:pPr>
      <w:r>
        <w:rPr>
          <w:rFonts w:ascii="Arial" w:cs="Arial" w:eastAsia="Arial" w:hAnsi="Arial"/>
          <w:sz w:val="18"/>
          <w:szCs w:val="18"/>
          <w:color w:val="auto"/>
        </w:rPr>
        <w:t>Applicable Nasdaq rules, or the Nasdaq Listing Rules, require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The Nasdaq independence definition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5" w:right="3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includes a series of objective tests, such as that the director is not, and has not been for at least three years, one of our employees, that neither the director nor any of his family members has engaged in various types of business dealings with us and that the director is not associated with the holders of more than 5% 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72"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Our board of directors has determined that all of our directors other than Mr. Session, representing four of our five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independence, including the beneficial ownership of our capital stock by each director and the transactions described in the section titled “Certain Relationships and Related Party Transactions.”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Role of the Board in Risk Oversight</w:t>
      </w:r>
    </w:p>
    <w:p>
      <w:pPr>
        <w:spacing w:after="0" w:line="214" w:lineRule="exact"/>
        <w:rPr>
          <w:sz w:val="20"/>
          <w:szCs w:val="20"/>
          <w:color w:val="auto"/>
        </w:rPr>
      </w:pPr>
    </w:p>
    <w:p>
      <w:pPr>
        <w:ind w:firstLine="562"/>
        <w:spacing w:after="0" w:line="258"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Following the completion of this offering, we intend for our audit committee to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Committees</w:t>
      </w:r>
    </w:p>
    <w:p>
      <w:pPr>
        <w:spacing w:after="0" w:line="214" w:lineRule="exact"/>
        <w:rPr>
          <w:sz w:val="20"/>
          <w:szCs w:val="20"/>
          <w:color w:val="auto"/>
        </w:rPr>
      </w:pPr>
    </w:p>
    <w:p>
      <w:pPr>
        <w:jc w:val="both"/>
        <w:ind w:right="280" w:firstLine="562"/>
        <w:spacing w:after="0" w:line="255" w:lineRule="auto"/>
        <w:rPr>
          <w:sz w:val="20"/>
          <w:szCs w:val="20"/>
          <w:color w:val="auto"/>
        </w:rPr>
      </w:pPr>
      <w:r>
        <w:rPr>
          <w:rFonts w:ascii="Arial" w:cs="Arial" w:eastAsia="Arial" w:hAnsi="Arial"/>
          <w:sz w:val="18"/>
          <w:szCs w:val="18"/>
          <w:color w:val="auto"/>
        </w:rPr>
        <w:t>Our board of directors has established an audit committee,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Upon the completion of this offering, our audit committee will consist of Messrs. Donenberg and Nolan and Dr. Nagendran, with Mr. Donenberg serving as chair of the audit committee. Our board of directors has determined that each of these individuals meets the independence requirements of Rule 10A-3 under the Securities Exchange Act of 1934, or the Exchange Act, and the applicable listing standards of Nasdaq. Each member of our audit committee can read and understand fundamental financial statements in accordance with Nasdaq audit committee requirements. Our board of directors has also determined that Mr. Donenberg qualifies as an audit committee financial expert within the meaning of SEC regulations and meets the financial sophistication requirements of the Nasdaq Listing Rules. In arriving at these determinations, the board has examined each audit committee member’s scope of experience and the nature of their prior and/or current employment.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320" w:top="455" w:right="37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7"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50" w:lineRule="exact"/>
        <w:rPr>
          <w:rFonts w:ascii="Arial" w:cs="Arial" w:eastAsia="Arial" w:hAnsi="Arial"/>
          <w:sz w:val="18"/>
          <w:szCs w:val="18"/>
          <w:color w:val="auto"/>
        </w:rPr>
      </w:pPr>
    </w:p>
    <w:p>
      <w:pPr>
        <w:ind w:left="780" w:right="920" w:hanging="219"/>
        <w:spacing w:after="0" w:line="27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17" w:lineRule="exact"/>
        <w:rPr>
          <w:rFonts w:ascii="Arial" w:cs="Arial" w:eastAsia="Arial" w:hAnsi="Arial"/>
          <w:sz w:val="18"/>
          <w:szCs w:val="18"/>
          <w:color w:val="auto"/>
        </w:rPr>
      </w:pPr>
    </w:p>
    <w:p>
      <w:pPr>
        <w:jc w:val="both"/>
        <w:ind w:left="780" w:right="200" w:hanging="219"/>
        <w:spacing w:after="0" w:line="255"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69"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45" w:lineRule="exact"/>
        <w:rPr>
          <w:sz w:val="20"/>
          <w:szCs w:val="20"/>
          <w:color w:val="auto"/>
        </w:rPr>
      </w:pPr>
    </w:p>
    <w:p>
      <w:pPr>
        <w:ind w:right="400" w:firstLine="562"/>
        <w:spacing w:after="0" w:line="276" w:lineRule="auto"/>
        <w:rPr>
          <w:sz w:val="20"/>
          <w:szCs w:val="20"/>
          <w:color w:val="auto"/>
        </w:rPr>
      </w:pPr>
      <w:r>
        <w:rPr>
          <w:rFonts w:ascii="Arial" w:cs="Arial" w:eastAsia="Arial" w:hAnsi="Arial"/>
          <w:sz w:val="18"/>
          <w:szCs w:val="18"/>
          <w:color w:val="auto"/>
        </w:rPr>
        <w:t>We believe that the composition and functioning of our audit committee will comply with all applicable SEC and Nasdaq rules and regulations. We intend to comply with future requirements to the extent they become applicable to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Upon the completion of this offering, our compensation committee will consist of Messrs. Donenberg and Nolan and Dr. Nagendran, with Dr. Nagendran serving as chair of the compensation committee. Each of these individuals is a non-employee director, as defined in Rule 16b-3 promulgated under the Exchange Act and is an “outside director,” as defined pursuant to Section 162(m) of the Internal Revenue Code of 1986, as amended, or the Code. Our board of directors has determined that each of these individuals is ‘‘independent’’ as defined under the applicable listing standards of Nasdaq, including the standards specific to members of a compensation committee. The functions of this committee include, among other things:</w:t>
      </w:r>
    </w:p>
    <w:p>
      <w:pPr>
        <w:spacing w:after="0" w:line="79" w:lineRule="exact"/>
        <w:rPr>
          <w:sz w:val="20"/>
          <w:szCs w:val="20"/>
          <w:color w:val="auto"/>
        </w:rPr>
      </w:pPr>
    </w:p>
    <w:p>
      <w:pPr>
        <w:ind w:left="780" w:right="260" w:hanging="219"/>
        <w:spacing w:after="0" w:line="27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50"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regarding the compensation and other terms of employment of our executive officers;</w:t>
      </w:r>
    </w:p>
    <w:p>
      <w:pPr>
        <w:spacing w:after="0" w:line="50" w:lineRule="exact"/>
        <w:rPr>
          <w:rFonts w:ascii="Arial" w:cs="Arial" w:eastAsia="Arial" w:hAnsi="Arial"/>
          <w:sz w:val="18"/>
          <w:szCs w:val="18"/>
          <w:color w:val="auto"/>
        </w:rPr>
      </w:pPr>
    </w:p>
    <w:p>
      <w:pPr>
        <w:ind w:left="780" w:right="260" w:hanging="219"/>
        <w:spacing w:after="0" w:line="27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performance goals and objectives relevant to the compensation of our executive officers and assessing their performance against these goals and objectives;</w:t>
      </w:r>
    </w:p>
    <w:p>
      <w:pPr>
        <w:spacing w:after="0" w:line="50" w:lineRule="exact"/>
        <w:rPr>
          <w:rFonts w:ascii="Arial" w:cs="Arial" w:eastAsia="Arial" w:hAnsi="Arial"/>
          <w:sz w:val="18"/>
          <w:szCs w:val="18"/>
          <w:color w:val="auto"/>
        </w:rPr>
      </w:pPr>
    </w:p>
    <w:p>
      <w:pPr>
        <w:jc w:val="both"/>
        <w:ind w:left="780" w:right="100" w:hanging="219"/>
        <w:spacing w:after="0" w:line="255"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69" w:lineRule="exact"/>
        <w:rPr>
          <w:rFonts w:ascii="Arial" w:cs="Arial" w:eastAsia="Arial" w:hAnsi="Arial"/>
          <w:sz w:val="18"/>
          <w:szCs w:val="18"/>
          <w:color w:val="auto"/>
        </w:rPr>
      </w:pPr>
    </w:p>
    <w:p>
      <w:pPr>
        <w:ind w:left="780" w:right="1060" w:hanging="219"/>
        <w:spacing w:after="0" w:line="306" w:lineRule="auto"/>
        <w:tabs>
          <w:tab w:leader="none" w:pos="7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455" w:right="3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100" w:hanging="219"/>
        <w:spacing w:after="0" w:line="276"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non-employee board members;</w:t>
      </w:r>
    </w:p>
    <w:p>
      <w:pPr>
        <w:spacing w:after="0" w:line="50" w:lineRule="exact"/>
        <w:rPr>
          <w:rFonts w:ascii="Arial" w:cs="Arial" w:eastAsia="Arial" w:hAnsi="Arial"/>
          <w:sz w:val="18"/>
          <w:szCs w:val="18"/>
          <w:color w:val="auto"/>
        </w:rPr>
      </w:pPr>
    </w:p>
    <w:p>
      <w:pPr>
        <w:ind w:left="780" w:hanging="219"/>
        <w:spacing w:after="0" w:line="255"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establishing policies with respect to votes by our stockholders to approve executive compensation to the extent required by Section 14A of the Exchange Act and, if applicable, determining our recommendations regarding the frequency of advisory votes on executive compensation;</w:t>
      </w:r>
    </w:p>
    <w:p>
      <w:pPr>
        <w:spacing w:after="0" w:line="69" w:lineRule="exact"/>
        <w:rPr>
          <w:rFonts w:ascii="Arial" w:cs="Arial" w:eastAsia="Arial" w:hAnsi="Arial"/>
          <w:sz w:val="18"/>
          <w:szCs w:val="18"/>
          <w:color w:val="auto"/>
        </w:rPr>
      </w:pPr>
    </w:p>
    <w:p>
      <w:pPr>
        <w:ind w:left="780" w:right="820" w:hanging="219"/>
        <w:spacing w:after="0" w:line="276"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17" w:lineRule="exact"/>
        <w:rPr>
          <w:rFonts w:ascii="Arial" w:cs="Arial" w:eastAsia="Arial" w:hAnsi="Arial"/>
          <w:sz w:val="18"/>
          <w:szCs w:val="18"/>
          <w:color w:val="auto"/>
        </w:rPr>
      </w:pPr>
    </w:p>
    <w:p>
      <w:pPr>
        <w:ind w:left="780" w:right="460" w:hanging="219"/>
        <w:spacing w:after="0" w:line="276"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policy and strategy in achieving expected benefits to us;</w:t>
      </w:r>
    </w:p>
    <w:p>
      <w:pPr>
        <w:spacing w:after="0" w:line="50" w:lineRule="exact"/>
        <w:rPr>
          <w:rFonts w:ascii="Arial" w:cs="Arial" w:eastAsia="Arial" w:hAnsi="Arial"/>
          <w:sz w:val="18"/>
          <w:szCs w:val="18"/>
          <w:color w:val="auto"/>
        </w:rPr>
      </w:pPr>
    </w:p>
    <w:p>
      <w:pPr>
        <w:ind w:left="780" w:right="520" w:hanging="219"/>
        <w:spacing w:after="0" w:line="306" w:lineRule="auto"/>
        <w:tabs>
          <w:tab w:leader="none" w:pos="7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28" w:lineRule="exact"/>
        <w:rPr>
          <w:rFonts w:ascii="Arial" w:cs="Arial" w:eastAsia="Arial" w:hAnsi="Arial"/>
          <w:sz w:val="17"/>
          <w:szCs w:val="17"/>
          <w:color w:val="auto"/>
        </w:rPr>
      </w:pPr>
    </w:p>
    <w:p>
      <w:pPr>
        <w:ind w:left="780" w:right="440" w:hanging="219"/>
        <w:spacing w:after="0" w:line="255"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69" w:lineRule="exact"/>
        <w:rPr>
          <w:rFonts w:ascii="Arial" w:cs="Arial" w:eastAsia="Arial" w:hAnsi="Arial"/>
          <w:sz w:val="18"/>
          <w:szCs w:val="18"/>
          <w:color w:val="auto"/>
        </w:rPr>
      </w:pPr>
    </w:p>
    <w:p>
      <w:pPr>
        <w:ind w:left="780" w:hanging="219"/>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 and</w:t>
      </w:r>
    </w:p>
    <w:p>
      <w:pPr>
        <w:spacing w:after="0" w:line="117" w:lineRule="exact"/>
        <w:rPr>
          <w:rFonts w:ascii="Arial" w:cs="Arial" w:eastAsia="Arial" w:hAnsi="Arial"/>
          <w:sz w:val="18"/>
          <w:szCs w:val="18"/>
          <w:color w:val="auto"/>
        </w:rPr>
      </w:pPr>
    </w:p>
    <w:p>
      <w:pPr>
        <w:ind w:left="780" w:right="320" w:hanging="219"/>
        <w:spacing w:after="0" w:line="276"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compensation committee and the compensation committee charter.</w:t>
      </w:r>
    </w:p>
    <w:p>
      <w:pPr>
        <w:spacing w:after="0" w:line="145"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We believe that the composition and functioning of our compensation committee will comply with all applicable SEC and Nasdaq rules and regulations. We intend to comply with future requirements to the extent they become applicable to 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Messrs. Manning, Nolan and Session, with Mr. Manning serving as chair of the nominating and corporate governance committee. We expect that within one year of our listing on Nasdaq, Mr. Session will resign from the nominating and corporate governance committee and will be replaced by an independent director; at that point, all members of the nominating and corporate governance committee will be independent. The functions of this committee include, among other things:</w:t>
      </w:r>
    </w:p>
    <w:p>
      <w:pPr>
        <w:spacing w:after="0" w:line="78" w:lineRule="exact"/>
        <w:rPr>
          <w:sz w:val="20"/>
          <w:szCs w:val="20"/>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117"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evaluating, nominating and recommending individuals for membership on our board of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5" w:right="3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17" w:lineRule="exact"/>
        <w:rPr>
          <w:rFonts w:ascii="Arial" w:cs="Arial" w:eastAsia="Arial" w:hAnsi="Arial"/>
          <w:sz w:val="18"/>
          <w:szCs w:val="18"/>
          <w:color w:val="auto"/>
        </w:rPr>
      </w:pPr>
    </w:p>
    <w:p>
      <w:pPr>
        <w:ind w:left="780" w:right="440" w:hanging="219"/>
        <w:spacing w:after="0" w:line="276" w:lineRule="auto"/>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145"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We believe that the composition and functioning of our nominating and corporate governance committee will comply with all applicable SEC and Nasdaq rules and regulations. We intend to comply with future requirements to the extent they become applicable to us.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 xml:space="preserve">Effective upon the closing of this offering, we have adopted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Following the closing of this offering, the full text of the Code of Conduct will be available on our website at </w:t>
      </w:r>
      <w:r>
        <w:rPr>
          <w:rFonts w:ascii="Arial" w:cs="Arial" w:eastAsia="Arial" w:hAnsi="Arial"/>
          <w:sz w:val="18"/>
          <w:szCs w:val="18"/>
          <w:i w:val="1"/>
          <w:iCs w:val="1"/>
          <w:color w:val="auto"/>
        </w:rPr>
        <w:t>www.tayshagtx.com</w:t>
      </w:r>
      <w:r>
        <w:rPr>
          <w:rFonts w:ascii="Arial" w:cs="Arial" w:eastAsia="Arial" w:hAnsi="Arial"/>
          <w:sz w:val="18"/>
          <w:szCs w:val="18"/>
          <w:color w:val="auto"/>
        </w:rPr>
        <w:t>. We intend to post on our website all disclosures that are required by law or the listing standards of the Nasdaq Stock Market concerning any amendments to, or waivers from, any provision of the Code of Conduct. Information contained on, or that can be accessed through, our website is not incorporated by reference into this prospectus. We have included our website in this prospectus solely as an inactive textual reference.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During the period from September 20, 2019 (the date of our inception) through December 31, 2019, our board of directors did not consist of any non-employee directors. Mr. Session, our President and Chief Executive Officer, was the sole member of our board of directors during this period but did not receive any additional compensation for his service as a director. Accordingly, the director compensation table required by SEC rules has been omitted.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04"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In anticipation of this offering and the increased responsibilities of our directors as directors of a public company, our board of directors has adopted a non-employee director compensation policy, effective as of the effectiveness of the registration statement of which this prospectus forms a part, pursuant to which each of our directors who is not an employee or consultant of our company will be eligible to receive compensation for service on our board of directors and committees of our board of directors.</w:t>
      </w:r>
    </w:p>
    <w:p>
      <w:pPr>
        <w:spacing w:after="0" w:line="170" w:lineRule="exact"/>
        <w:rPr>
          <w:sz w:val="20"/>
          <w:szCs w:val="20"/>
          <w:color w:val="auto"/>
        </w:rPr>
      </w:pPr>
    </w:p>
    <w:p>
      <w:pPr>
        <w:ind w:right="600" w:firstLine="562"/>
        <w:spacing w:after="0" w:line="276" w:lineRule="auto"/>
        <w:rPr>
          <w:sz w:val="20"/>
          <w:szCs w:val="20"/>
          <w:color w:val="auto"/>
        </w:rPr>
      </w:pPr>
      <w:r>
        <w:rPr>
          <w:rFonts w:ascii="Arial" w:cs="Arial" w:eastAsia="Arial" w:hAnsi="Arial"/>
          <w:sz w:val="18"/>
          <w:szCs w:val="18"/>
          <w:color w:val="auto"/>
        </w:rPr>
        <w:t>Each eligible director will receive an annual cash retainer of $35,000 for serving on our board of directors, and the independent chairperson of the board of directors will receive an additional annual</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455" w:right="3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cash retainer of $30,000 for his or her service. The chairperson of the audit committee of our board of directors will be entitled to additional annual cash retainer of $ 15,000, the chairperson of the compensation committee of our board of directors will be entitled to additional annual cash retainer of $10,000 and the chairperson of the nominating and corporate governance committee of our board of directors will be entitled to additional annual cash retainer of $8,000. The members of the audit committee will be entitled to an additional annual cash retainer of $7,500, the members of the compensation committee of our board of directors will be entitled to additional annual cash retainer of $5,000 and the members of the nominating and corporate governance committee of our board of directors will be entitled to an additional annual cash retainer of $4,000; however, in each case such cash retainer is payable only to members who are not the chairperson of such committee.</w:t>
      </w:r>
    </w:p>
    <w:p>
      <w:pPr>
        <w:spacing w:after="0" w:line="180"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 addition, on the date the registration statement of which this prospectus forms a part becomes effective, each eligible director, and each new eligible director who joins our board of directors after the pricing of this offering, will be granted a non-statutory stock option to purchase 31,000 shares of our common stock under our 2020 Stock Incentive Plan, with the shares vesting in 36 equal monthly installments, subject to continued service as a director through the vesting date.</w:t>
      </w:r>
    </w:p>
    <w:p>
      <w:pPr>
        <w:spacing w:after="0" w:line="170"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On the date of each annual meeting of our stockholders, each eligible director who continues to serve as a director of our company following the meeting will be granted a non-statutory stock option to purchase 15,500 shares of our common stock under our 2020 Stock Incentive Plan, with the shares vesting on the earlier of the first anniversary of the date of grant or the next annual stockholders meeting, subject to continued service as a director though the applicable vesting date.</w:t>
      </w:r>
    </w:p>
    <w:p>
      <w:pPr>
        <w:spacing w:after="0" w:line="170"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Each option awarded to eligible directors under the non-employee director compensation policy will be subject to accelerated vesting upon a Change in Control (as defined in the 2020 Stock Incentive Plan).</w:t>
      </w:r>
    </w:p>
    <w:p>
      <w:pPr>
        <w:spacing w:after="0" w:line="145"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 (provided that upon a termination of service other than for death, disability or cause, the post-termination exercise period will be 12 months from the date of termination).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320" w:top="455" w:right="37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firstLine="562"/>
        <w:spacing w:after="0" w:line="260" w:lineRule="auto"/>
        <w:rPr>
          <w:sz w:val="20"/>
          <w:szCs w:val="20"/>
          <w:color w:val="auto"/>
        </w:rPr>
      </w:pPr>
      <w:r>
        <w:rPr>
          <w:rFonts w:ascii="Arial" w:cs="Arial" w:eastAsia="Arial" w:hAnsi="Arial"/>
          <w:sz w:val="17"/>
          <w:szCs w:val="17"/>
          <w:color w:val="auto"/>
        </w:rPr>
        <w:t>Our only named executive officer for the period from September 20, 2019 (the date of our inception) through December 31, 2019 was RA Session II, our President and Chief Executive Officer. Due to our limited operating history as described in the section titled “Management’s Discussion and Analysis of Financial Condition and Results of Operations,” we did not have an executive compensation program, nor did we pay any employee compensation or issue any stock-based compensation to any employee, director or consultant, during the period from September 20, 2019 (the date of our inception) through December 31, 2019. We refer to Mr. Session elsewhere in this prospectus as our “named executive officer” for the period from September 20, 2019 (the date of our inception) through December 31, 2019.</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p>
      <w:pPr>
        <w:ind w:right="340" w:firstLine="562"/>
        <w:spacing w:after="0" w:line="255" w:lineRule="auto"/>
        <w:rPr>
          <w:sz w:val="20"/>
          <w:szCs w:val="20"/>
          <w:color w:val="auto"/>
        </w:rPr>
      </w:pPr>
      <w:r>
        <w:rPr>
          <w:rFonts w:ascii="Arial" w:cs="Arial" w:eastAsia="Arial" w:hAnsi="Arial"/>
          <w:sz w:val="18"/>
          <w:szCs w:val="18"/>
          <w:color w:val="auto"/>
        </w:rPr>
        <w:t>We did not pay any employee compensation or issue any stock-based compensation to Mr. Session during the period from September 20, 2019 (the date of our inception) through December 31, 2019. Accordingly, the Summary Compensation Table required by SEC rules for the period from September 20, 2019 (the date of our inception) through December 31, 2019 has been omitted.</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214" w:lineRule="exact"/>
        <w:rPr>
          <w:sz w:val="20"/>
          <w:szCs w:val="20"/>
          <w:color w:val="auto"/>
        </w:rPr>
      </w:pPr>
    </w:p>
    <w:p>
      <w:pPr>
        <w:ind w:right="420" w:firstLine="562"/>
        <w:spacing w:after="0" w:line="255" w:lineRule="auto"/>
        <w:rPr>
          <w:sz w:val="20"/>
          <w:szCs w:val="20"/>
          <w:color w:val="auto"/>
        </w:rPr>
      </w:pPr>
      <w:r>
        <w:rPr>
          <w:rFonts w:ascii="Arial" w:cs="Arial" w:eastAsia="Arial" w:hAnsi="Arial"/>
          <w:sz w:val="18"/>
          <w:szCs w:val="18"/>
          <w:color w:val="auto"/>
        </w:rPr>
        <w:t>As of December 31, 2019, Mr. Session did not hold any outstanding equity awards, nor did we grant, cancel or modify any equity awards during the period from September 20, 2019 (the date of our inception) through December 31, 2019. Accordingly, the table of outstanding equity awards required by SEC rules has been omitted.</w:t>
      </w:r>
    </w:p>
    <w:p>
      <w:pPr>
        <w:spacing w:after="0" w:line="270" w:lineRule="exact"/>
        <w:rPr>
          <w:sz w:val="20"/>
          <w:szCs w:val="20"/>
          <w:color w:val="auto"/>
        </w:rPr>
      </w:pPr>
    </w:p>
    <w:p>
      <w:pPr>
        <w:jc w:val="center"/>
        <w:ind w:left="380" w:right="80"/>
        <w:spacing w:after="0" w:line="287" w:lineRule="auto"/>
        <w:rPr>
          <w:sz w:val="20"/>
          <w:szCs w:val="20"/>
          <w:color w:val="auto"/>
        </w:rPr>
      </w:pPr>
      <w:r>
        <w:rPr>
          <w:rFonts w:ascii="Arial" w:cs="Arial" w:eastAsia="Arial" w:hAnsi="Arial"/>
          <w:sz w:val="18"/>
          <w:szCs w:val="18"/>
          <w:b w:val="1"/>
          <w:bCs w:val="1"/>
          <w:color w:val="auto"/>
        </w:rPr>
        <w:t>Employment Agreements with Mr. Session and our Executive Officers and Potential Payments and Benefits Upon Termination or Change in Control</w:t>
      </w:r>
    </w:p>
    <w:p>
      <w:pPr>
        <w:spacing w:after="0" w:line="128"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We entered into an executive employment agreement with Mr. Session in April 2020. Mr. Session’s employment with us is at will and may be terminated at any time by us or by him. The executive employment agreement provides for an initial annual base salary of $ 450,000, which is subject to adjustment at the discretion of our board of directors, and an annual bonus equal to 50% of Mr. Session’s annual base salary based upon the achievement of individual and company performance goals as determined by our board of directors. The executive employment agreement further provides for the grant of restricted stock equal to 3% of our common stock outstanding at the time of grant, and such restricted shares were granted on July 1, 2020.</w:t>
      </w:r>
    </w:p>
    <w:p>
      <w:pPr>
        <w:spacing w:after="0" w:line="174"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If we terminate Mr. Session’s employment without “cause,” or if Mr. Session terminates his employment for “good reason” (each, as defined in the executive employment agreement), he will be entitled to continued payment of his base salary for 12 months and his then-outstanding equity awards will vest in full. Such severance and acceleration benefits are conditioned upon Mr. Session’s execution of and compliance with an effective and irrevocable general release, compliance with certain non-competition and non-solicitation obligations, resignation from all positions with us and return of all our property. The executive employment agreement further provides that if we undergo a “change in control” (as defined in the executive employment agreement) or if Mr. Session dies or becomes permanently disabled (as determined reasonably by his physician), Mr. Session’s then-outstanding equity awards will vest in full.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320" w:top="455" w:right="37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Employment Agreement with Mr. Session</w:t>
      </w:r>
    </w:p>
    <w:p>
      <w:pPr>
        <w:spacing w:after="0" w:line="104"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We intend to enter into an amended and restated executive employment agreement with Mr. Session following the completion of this offering that will reflect the following terms, which such terms will become effective as of the effectiveness of the registration statement of which this prospectus forms a part: an initial annual base salary of $ 542,800, which is subject to adjustment at the discretion of our board of directors, and an annual bonus target equal to 50% of Mr. Session’s annual base salary based upon the achievement of individual and company performance goals as determined by our board of directors.</w:t>
      </w:r>
    </w:p>
    <w:p>
      <w:pPr>
        <w:spacing w:after="0" w:line="172"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Pursuant to the amended and restated executive employment agreement, if we terminate Mr. Session’s employment without “cause,” or if Mr. Session terminates his employment for “good reason” (each, as defined in the executive employment agreement), he will be entitled to continued payment of his base salary for 12 months and his then-outstanding equity awards will vest in full. Such severance and acceleration benefits are conditioned upon Mr. Session’s execution of and compliance with an effective and irrevocable general release, compliance with certain non-competition and non-solicitation obligations, resignation from all positions with us and return of all our property. The amended and restated executive employment agreement further provides that Mr. Session will be entitled to the severance benefits described in “—Post-IPO Change in Control Severance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our Executive Officers</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intend to enter into amended and restated offer letters with Dr. Prasad and Mr. Alam following the completion of this offering. For Dr. Prasad, the amended and restated offer letter will reflect the following terms, which such terms will become effective as of the effectiveness of the registration statement of which this prospectus forms a part: an initial annual base salary of $432,600, which is subject to adjustment at the discretion of our board of directors, and an annual bonus target equal to 40% of Dr. Prasad’s annual base salary based upon the achievement of individual and company performance goals as determined by our board of directors. For Mr. Alam, the amended and restated offer letter will reflect the following terms, which such terms will become effective as of the effectiveness of the registration statement of which this prospectus forms a part: an initial annual base salary of $390,000, which is subject to adjustment at the discretion of our board of directors, and an annual bonus target equal to 40% of Mr. Alam’s annual base salary based upon the achievement of individual and company performance goals as determined by our board of directors.</w:t>
      </w:r>
    </w:p>
    <w:p>
      <w:pPr>
        <w:spacing w:after="0" w:line="176"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Pursuant to the amended and restated offer letters, if we terminate Dr. Prasad or Mr. Alam’s employment without “cause,” or if Dr. Prasad or Mr. Alam terminates his employment for “good reason” (each, as to be defined in such executive’s amended and restated offer letter), he will be entitled to continued payment of his base salary for 12 months. Such severance benefits are conditioned upon the executive’s execution of and compliance with an effective and irrevocable general release, compliance with certain non-competition and non-solicitation obligations, resignation from all positions with us and return of all our property. The amended and restated offer letters further provide that Dr. Prasad and Mr. Alam will be entitled to the severance benefits described in “—Post-IPO Change in Control Severance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Post-IPO Change in Control Severance Plan</w:t>
      </w:r>
    </w:p>
    <w:p>
      <w:pPr>
        <w:spacing w:after="0" w:line="10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Effective as of the effectiveness of the registration statement of which this prospectus forms a part, each of our executive officers, including Mr. Session, Dr. Prasad and Mr. Alam, will become eligible to receive severance benefits under the terms of our Change in Control Severance Plan adopted by the board of directors in September 2020.</w:t>
      </w:r>
    </w:p>
    <w:p>
      <w:pPr>
        <w:spacing w:after="0" w:line="164"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The Change in Control Severance Plan provides for severance benefits upon a “covered termination” that occurs during a “change in control period” (each as described below). Upon a covered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320" w:top="455" w:right="3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termination that occurs during a change in control period, participants will be entitled to a lump sum payment equal to the participant’s base salary for a period of months (18 months for Mr. Session, 12 months for each of Dr. Prasad and Mr. Alam), a lump sum payment equal to a multiple of the participant’s target annual bonus (150% for Mr. Session, 100% for each of Dr. Prasad and Mr. Alam), payment of continued group health benefits for a period of months (18 months for Mr. Session, 12 months for each of Dr. Prasad and Mr. Alam) and full accelerated vesting of all outstanding equity awards (including performance-based awards, which shall vest at 100% of target).</w:t>
      </w:r>
    </w:p>
    <w:p>
      <w:pPr>
        <w:spacing w:after="0" w:line="17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All severance benefits under the Change in Control Severance Plan are subject to the participant’s execution of an effective release of claims against the company and compliance with the terms of any confidential information agreement, proprietary information and inventions agreement and any other agreement between the participant and the company. For purposes of the Change in Control Severance Plan, a “covered termination” is a termination of employment by the company without “cause,” as defined in the Change in Control Severance Plan, or as a result of the participant’s resignation for “good reason,” as defined in the Change in Control Severance Plan, in either case, not as a result of death or disability. For purposes of the Change in Control Severance Plan, a “change in control period” is the period of time beginning on the date on which a “change in control,” as defined in the 2020 Stock Incentive Plan, becomes effective (or, in the case of Mr. Session, the period beginning three months prior to the date on which a change in control becomes effective) and ending on the first anniversary of the effective date of such change in control.</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Incentive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Incentive Plan</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Our board of directors has adopted and our stockholders have approved our 2020 Stock Incentive Plan, or the New Plan, to become effective immediately upon the execution of the underwriting agreement for this offering, at which point no further grants will be made under our Existing Plan, as described in “—Equity Incentive Plans—2020 Equity Incentive Plan.” No awards have been granted and no shares of our common stock have been issued under our New Plan. Our New Plan will provide for the grant of stock options qualifying as incentive stock options, or ISOs, within the meaning of Section 422 of the Internal Revenue Code of 1986, as amended, or the Code, to our employees and for the grant of nonstatutory stock options, or NSOs, restricted stock awards, restricted stock unit awards, stock appreciation rights, performance stock awards and other forms of stock compensation to our employees, consultants and directors. Our New Plan will also provide for the grant of performance cash awards to our employees, consultants and directors.</w:t>
      </w:r>
    </w:p>
    <w:p>
      <w:pPr>
        <w:spacing w:after="0" w:line="180" w:lineRule="exact"/>
        <w:rPr>
          <w:sz w:val="20"/>
          <w:szCs w:val="20"/>
          <w:color w:val="auto"/>
        </w:rPr>
      </w:pPr>
    </w:p>
    <w:p>
      <w:pPr>
        <w:ind w:left="560"/>
        <w:spacing w:after="0"/>
        <w:tabs>
          <w:tab w:leader="none" w:pos="2280" w:val="left"/>
        </w:tabs>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number of shares of our common stock initially reserved for issuance under our New Plan is the sum of</w:t>
      </w:r>
    </w:p>
    <w:p>
      <w:pPr>
        <w:spacing w:after="0" w:line="18" w:lineRule="exact"/>
        <w:rPr>
          <w:sz w:val="20"/>
          <w:szCs w:val="20"/>
          <w:color w:val="auto"/>
        </w:rPr>
      </w:pPr>
    </w:p>
    <w:p>
      <w:pPr>
        <w:ind w:right="20" w:firstLine="8"/>
        <w:spacing w:after="0" w:line="237" w:lineRule="auto"/>
        <w:tabs>
          <w:tab w:leader="none" w:pos="2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3,390,168 new shares of our common stock, (ii) the number of shares remaining available for issuance under our Existing Plan when the New Plan becomes effective and (iii) the number of shares of our common stock subject to outstanding awards under our Existing Plan when the New Plan becomes effective that thereafter expire or are forfeited, canceled, withheld to satisfy tax withholding or to purchase or exercise an award, repurchased by us or are otherwise terminated. The number of shares of our common stock reserved for issuance under our New Plan will automatically increase on January 1 of each year, for a period of ten years, from January 1, 2021 continuing through January 1, 2030, by 5% of the total number of shares of our common stock outstanding on December 31 of the preceding calendar year, or a lesser number of shares as may be determined by our board of directors. The maximum number of shares that may be issued pursuant to the exercise of ISOs under the New Plan is 10,800,000.</w:t>
      </w:r>
    </w:p>
    <w:p>
      <w:pPr>
        <w:spacing w:after="0" w:line="179"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Shares issued under our New Plan may be authorized but unissued or reacquired shares of our common stock. Shares subject to stock awards granted under our New Plan that expire or terminate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455" w:right="3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without being exercised in full, or that are paid out in cash rather than in shares, will not reduce the number of shares available for issuance under our New Plan. Additionally, shares issued pursuant to stock awards under our New Plan that we repurchase or that are forfeited, as well as shares reacquired by us as consideration for the exercise or purchase price of a stock award or to satisfy tax withholding obligations related to a stock award, will become available for future grant under our New Plan.</w:t>
      </w:r>
    </w:p>
    <w:p>
      <w:pPr>
        <w:spacing w:after="0" w:line="170" w:lineRule="exact"/>
        <w:rPr>
          <w:sz w:val="20"/>
          <w:szCs w:val="20"/>
          <w:color w:val="auto"/>
        </w:rPr>
      </w:pPr>
    </w:p>
    <w:p>
      <w:pPr>
        <w:ind w:firstLine="562"/>
        <w:spacing w:after="0"/>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duly authorized committee thereof, has the authority to administer our New Plan.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has delegated its authority to administer our New Plan to our compensation committee under the terms of the compensation committee’s charter. Our board of directors may also delegate to one or more of our officers the authority to (i) designate employees other than officers to receive specified stock awards and (ii) determine the number of shares of our common stock to be subject to such stock awards. Subject to the terms of our New Plan, the administrator has the authority to determine the terms of awards, including recipients, the exercise price or strike price of stock awards, if any, the number of shares subject to each stock award, the fair market value of a share of our common stock, the vesting schedule applicable to the awards, together with any vesting acceleration, the form of consideration, if any, payable upon exercise or settlement of the stock award and the terms and conditions of the award agreements for use under our New Plan.</w:t>
      </w:r>
    </w:p>
    <w:p>
      <w:pPr>
        <w:spacing w:after="0" w:line="176"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The administrator has the power to modify outstanding awards under our New Plan. Subject to the terms of our New Plan, the administrator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adversely affected participant.</w:t>
      </w:r>
    </w:p>
    <w:p>
      <w:pPr>
        <w:spacing w:after="0" w:line="17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i w:val="1"/>
          <w:iCs w:val="1"/>
          <w:color w:val="auto"/>
        </w:rPr>
        <w:t>Limitation on Grants to Non-Employee Directors</w:t>
      </w:r>
      <w:r>
        <w:rPr>
          <w:rFonts w:ascii="Arial" w:cs="Arial" w:eastAsia="Arial" w:hAnsi="Arial"/>
          <w:sz w:val="18"/>
          <w:szCs w:val="18"/>
          <w:color w:val="auto"/>
        </w:rPr>
        <w:t>. The maximum number of shares of our common stock subject to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New Plan or otherwise during a single calendar year to any of our non-employee directors, taken together with any cash fees paid by us to such non-employee director during the calendar year for serving on our board, will not exceed $750,000 in total value (the value of any such stock awards to be based on their grant date fair market value for financial reporting purposes), or, with respect to the calendar year in which a non-employee director is first appointed or elected to our board, $1,000,000.</w:t>
      </w:r>
    </w:p>
    <w:p>
      <w:pPr>
        <w:spacing w:after="0" w:line="172"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New Plan provides that in the event of a specified corporate transaction, including without limitation a</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merger or similar transaction involving our company, the sale or other disposition of all or substantially all of the assets of our company or the consolidated assets of our company and our subsidiaries, or a sale or disposition of more than 50% of the outstanding capital stock of our company, the administrator will determine how to treat each outstanding stock award. The administrator may:</w:t>
      </w:r>
    </w:p>
    <w:p>
      <w:pPr>
        <w:spacing w:after="0" w:line="76" w:lineRule="exact"/>
        <w:rPr>
          <w:sz w:val="20"/>
          <w:szCs w:val="20"/>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successor corporation;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accelerate the vesting of the stock award and provide for its termination prior to the effective time of the corporate transaction;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 held by us;</w:t>
      </w:r>
    </w:p>
    <w:p>
      <w:pPr>
        <w:spacing w:after="0" w:line="117" w:lineRule="exact"/>
        <w:rPr>
          <w:rFonts w:ascii="Arial" w:cs="Arial" w:eastAsia="Arial" w:hAnsi="Arial"/>
          <w:sz w:val="18"/>
          <w:szCs w:val="18"/>
          <w:color w:val="auto"/>
        </w:rPr>
      </w:pPr>
    </w:p>
    <w:p>
      <w:pPr>
        <w:ind w:left="780" w:right="800" w:hanging="219"/>
        <w:spacing w:after="0" w:line="276"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cancel the stock award prior to the transaction in exchange for such cash consideration, if any, that the administrator in its discretion determines to be appropriate; 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455" w:right="3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160" w:hanging="219"/>
        <w:spacing w:after="0" w:line="255"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a payment in a form determined by the administrator equal to the excess of the value of the property the participant would have received upon exercise of the stock award immediately prior to the transaction over the exercise price payable in connection with the stock award.</w:t>
      </w:r>
    </w:p>
    <w:p>
      <w:pPr>
        <w:spacing w:after="0" w:line="164" w:lineRule="exact"/>
        <w:rPr>
          <w:sz w:val="20"/>
          <w:szCs w:val="20"/>
          <w:color w:val="auto"/>
        </w:rPr>
      </w:pPr>
    </w:p>
    <w:p>
      <w:pPr>
        <w:ind w:right="300" w:firstLine="562"/>
        <w:spacing w:after="0" w:line="276" w:lineRule="auto"/>
        <w:rPr>
          <w:sz w:val="20"/>
          <w:szCs w:val="20"/>
          <w:color w:val="auto"/>
        </w:rPr>
      </w:pPr>
      <w:r>
        <w:rPr>
          <w:rFonts w:ascii="Arial" w:cs="Arial" w:eastAsia="Arial" w:hAnsi="Arial"/>
          <w:sz w:val="18"/>
          <w:szCs w:val="18"/>
          <w:color w:val="auto"/>
        </w:rPr>
        <w:t>The administrator is not obligated to treat all stock awards or portions of stock awards, even those that are of the same type, in the same manner. The administrator may take different actions with respect to the vested and unvested portions of a stock award.</w:t>
      </w:r>
    </w:p>
    <w:p>
      <w:pPr>
        <w:spacing w:after="0" w:line="145"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The administrator may provide, in an individual award agreement or in any other written agreement between us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participant, that the stock award will be subject to additional acceleration of vesting and exercisability in the event of a change in control (as defined in the New Plan). In the absence of such a provision, no such acceleration of the stock award will occur.</w:t>
      </w:r>
    </w:p>
    <w:p>
      <w:pPr>
        <w:spacing w:after="0" w:line="164" w:lineRule="exact"/>
        <w:rPr>
          <w:sz w:val="20"/>
          <w:szCs w:val="20"/>
          <w:color w:val="auto"/>
        </w:rPr>
      </w:pPr>
    </w:p>
    <w:p>
      <w:pPr>
        <w:jc w:val="both"/>
        <w:ind w:right="200" w:firstLine="562"/>
        <w:spacing w:after="0" w:line="255"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has the authority to amend, suspend, or terminate our New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No ISOs may be granted after the tenth anniversary of the date our board of directors adopts our New Plan.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Our board of directors adopted the 2020 Equity Incentive Plan, or the Existing Plan, in July 2020, and our stockholders approved the Existing Plan in July 2020.</w:t>
      </w:r>
    </w:p>
    <w:p>
      <w:pPr>
        <w:spacing w:after="0" w:line="145" w:lineRule="exact"/>
        <w:rPr>
          <w:sz w:val="20"/>
          <w:szCs w:val="20"/>
          <w:color w:val="auto"/>
        </w:rPr>
      </w:pPr>
    </w:p>
    <w:p>
      <w:pPr>
        <w:ind w:firstLine="562"/>
        <w:spacing w:after="0"/>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The Existing Plan provides for the grant of options to purchase shares of our common stock intended to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options” under Section 422 of the U.S. Internal Revenue Code of 1986, as amended, or ISOs, options that do not so qualify, or NSOs, stock appreciation rights, restricted stock awards, restricted stock unit awards and other stock awards, or collectively, stock awards. ISOs may be granted only to our employees and the employees of any parent corporation or subsidiary corporation. All other awards may be granted to our employees, non-employee directors and consultants and the employees and consultants of our affiliates. We have granted stock options and restricted stock awards under the Existing Plan. As of September 2, 2020, we had outstanding options to purchase 16,342 shares of our common stock with a weighted-average exercise price of $14.90 per share, 2,850,053 shares of common stock issuable upon the vesting of restricted stock units and restricted stock awards with respect to 769,058 shares of our common were outstanding, and 209,841 shares of our common stock remained available for future awards under the Existing Plan.</w:t>
      </w:r>
    </w:p>
    <w:p>
      <w:pPr>
        <w:spacing w:after="0" w:line="176"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Subject to certain capitalization adjustments, the aggregate number of shares of our common stock that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pursuant to stock awards under the Existing Plan is 3,845,294 shares.</w:t>
      </w:r>
    </w:p>
    <w:p>
      <w:pPr>
        <w:spacing w:after="0" w:line="145"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If a stock award granted under the Existing Plan expires or otherwise terminates without being exercised in full, or is settled in cash, the shares of our common stock not acquired pursuant to the stock award again will become available for subsequent issuance under the Existing Plan. In addition, the following types of shares of our common stock under the Existing Plan may become available for the grant of new stock awards under the Existing Plan: (1) shares that are forfeited to or repurchased by us prior to becoming fully vested; (2) shares withheld to satisfy income or employment withholding taxes; or (3) shares used to pay the exercise or purchase price of a stock award. Upon closing of this offering, any shares that would otherwise be returned to the Existing Plan will instead be added to the shares of common stock available for issuance under the New Plan.</w:t>
      </w:r>
    </w:p>
    <w:p>
      <w:pPr>
        <w:spacing w:after="0" w:line="179"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duly authorized committee thereof, has the authority to administer the Existing Plan.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may also delegate to one or more of our officers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5"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authority to (i) designate employees (other than other officers) to be recipients of certain stock awards, and (ii) determine the number of shares of common stock to be subject to such stock awards. Subject to the terms of the Existing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w:t>
      </w:r>
    </w:p>
    <w:p>
      <w:pPr>
        <w:spacing w:after="0" w:line="172"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spacing w:after="0" w:line="170"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pursuant to stock option agreements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exercise price for a stock option, provided that the exercise price of a stock option generally cannot be less than 100% of the fair market value of our common stock on the date of grant. Options granted under the Existing Plan vest at the rate specified by the plan administrator.</w:t>
      </w:r>
    </w:p>
    <w:p>
      <w:pPr>
        <w:spacing w:after="0" w:line="17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plan administrator determines the term of stock options granted under the Existing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76"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plan administrator and may include (i) cash, check, bank draft, electronic funds transfer or money order, (ii) a broker-assisted cashless exercise, (iii) the tender of shares of our common stock previously owned by the optionholder, (iv) a net exercise of the option if it is an NSO,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 deferred payment or a similar arrangement with the optionholder and (vi) other legal consideration approved by the plan administrator.</w:t>
      </w:r>
    </w:p>
    <w:p>
      <w:pPr>
        <w:spacing w:after="0" w:line="190"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i w:val="1"/>
          <w:iCs w:val="1"/>
          <w:color w:val="auto"/>
        </w:rPr>
        <w:t>Tax Limitations on Incentive Stock Options</w:t>
      </w:r>
      <w:r>
        <w:rPr>
          <w:rFonts w:ascii="Arial" w:cs="Arial" w:eastAsia="Arial" w:hAnsi="Arial"/>
          <w:sz w:val="18"/>
          <w:szCs w:val="18"/>
          <w:color w:val="auto"/>
        </w:rPr>
        <w:t>. The aggregate fair market value, determined at the time of grant,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ISOs that are exercisable for the first time by an optionholder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term of the ISO does not exceed five years from the date of grant.</w:t>
      </w:r>
    </w:p>
    <w:p>
      <w:pPr>
        <w:spacing w:after="0" w:line="174"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i w:val="1"/>
          <w:iCs w:val="1"/>
          <w:color w:val="auto"/>
        </w:rPr>
        <w:t>Incentive Stock Option Limit</w:t>
      </w:r>
      <w:r>
        <w:rPr>
          <w:rFonts w:ascii="Arial" w:cs="Arial" w:eastAsia="Arial" w:hAnsi="Arial"/>
          <w:sz w:val="18"/>
          <w:szCs w:val="18"/>
          <w:color w:val="auto"/>
        </w:rPr>
        <w:t>. The maximum number of shares of our common stock that may be issued upon the exercise of ISOs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Existing Plan is 11,535,882.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455" w:right="3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are granted pursuant to restricted stock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awards may be granted in consideration for (i) cash, check, bank draft or money order, (ii) services rendered to us or our affiliates or (iii) any other form of legal consideration. Common stock acquired under a restricted stock award may, but need not, be subject to a share repurchase option in our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us upon the participant’s cessation of continuous service for any reason.</w:t>
      </w:r>
    </w:p>
    <w:p>
      <w:pPr>
        <w:spacing w:after="0" w:line="179" w:lineRule="exact"/>
        <w:rPr>
          <w:sz w:val="20"/>
          <w:szCs w:val="20"/>
          <w:color w:val="auto"/>
        </w:rPr>
      </w:pPr>
    </w:p>
    <w:p>
      <w:pPr>
        <w:ind w:right="200" w:firstLine="562"/>
        <w:spacing w:after="0" w:line="241"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Restricted stock unit awards are granted under restricted stock unit award agreements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79"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is a specified type of change in our capital structure, such as a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(i) the class and maximum number of shares reserved for issuance under the Existing Plan, (ii) the class and maximum number of shares that may be issued upon the exercise of ISOs and (iii) the class and number of shares and price per share of stock subject to outstanding stock awards.</w:t>
      </w:r>
    </w:p>
    <w:p>
      <w:pPr>
        <w:spacing w:after="0" w:line="170"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Existing Plan provides that in the event of certain specified significant corporate transactions,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in an award agreement or other written agreement between us and the award holder, the plan administrator may take one or more of the following actions with respect to each stock award, contingent upon the closing or completion of the transaction: (i) arrange for the assumption, continuation or substitution of the stock award by a successor corporation, (ii) arrange for the assignment of any reacquisition or repurchase rights held by us in respect of our common stock issued pursuant to the stock award to a successor corporation,</w:t>
      </w:r>
    </w:p>
    <w:p>
      <w:pPr>
        <w:spacing w:after="0" w:line="4" w:lineRule="exact"/>
        <w:rPr>
          <w:sz w:val="20"/>
          <w:szCs w:val="20"/>
          <w:color w:val="auto"/>
        </w:rPr>
      </w:pPr>
    </w:p>
    <w:p>
      <w:pPr>
        <w:ind w:firstLine="8"/>
        <w:spacing w:after="0" w:line="236" w:lineRule="auto"/>
        <w:tabs>
          <w:tab w:leader="none" w:pos="2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if not exercised prior to the effective time of the transaction, (iv) arrange for the lapse, in whole or in part, of any reacquisition or repurchase rights held by us with respect to the stock award, (v) cancel or arrange for the cancellation of the stock award, to the extent not vested or not exercised prior to the effective time of the transaction, in exchange for a cash payment, or no payment, as determined by the plan administrator or (vi) make a payment, in the form determined by the plan administrator, equal to the excess, if any, of the value of the property the holder would have received upon exercise of the stock award immediately prior to the effective time of the transaction over any exercise price payable by the holder (which payment may be delayed to the same extent that payment of consideration to the holders of our common stock in connection with the transaction is delayed as a result of any escrow, holdback, earnout or other contingencies). The plan administrator is not obligated to treat all stock awards or portions thereof in the same manner, and the plan administrator may take different actions with respect to the vested and unvested portions of a stock award.</w:t>
      </w:r>
    </w:p>
    <w:p>
      <w:pPr>
        <w:spacing w:after="0" w:line="18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Under the Existing Plan, a significant corporate transaction is generally the consummation of (i) a sale or other disposition of all or substantially all of our consolidated assets, (ii) a sale or other disposition of more than 50% of our outstanding securities, (iii) a merger, consolidation or similar transaction following which we are not the surviving corporation or (iv) a merger, consolidation or similar transaction following which we are the surviving corporation but the shares of our common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5" w:right="3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stock outstanding immediately prior to such transaction are converted or exchanged into other property by virtue of the transaction.</w:t>
      </w:r>
    </w:p>
    <w:p>
      <w:pPr>
        <w:spacing w:after="0" w:line="21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awards granted under the Existing Plan will not receive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of vesting and exercisability, although this treatment may be provided for in a stock award agreement or other written agreement between us or any of our affiliates and the holder. Under the Existing Plan, a change in control is generally (i) the acquisition by a person or entity of more than 50% of our combined voting power other than by merger, consolidation or similar transaction; (ii) a consummated merger, consolidation or similar transaction immediately after which our stockholders cease to own more than 50% of the combined voting power of the surviving entity or (iii) a consummated sale, lease, exclusive license or other disposition of all or substantially all of our consolidated assets other than to an entity more than 50% of the combined voting power of which is owned by our stockholders.</w:t>
      </w:r>
    </w:p>
    <w:p>
      <w:pPr>
        <w:spacing w:after="0" w:line="179"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generally may not transfer stock awards under the Existing Plan other than by will, the laws of descent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distribution or as otherwise provided under the Existing Plan.</w:t>
      </w:r>
    </w:p>
    <w:p>
      <w:pPr>
        <w:spacing w:after="0" w:line="145"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has the authority to amend, suspend or terminate the Existing Plan,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with certain exceptions, such action does not impair the existing rights of any participant without such participant’s written consent. Certain material amendments also require the approval of our stockholders. Unless terminated sooner by our board of directors, the Existing Plan will automatically terminate on July 1, 2030. No stock awards may be granted under the Existing Plan while it is suspended or terminated. Our board of directors has determined not to make any further awards under the Existing Plan following the closing of this offering.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Our board of directors has adopted and our stockholders have approved our 2020 Employee Stock Purchase Plan, or ESPP, to become effective immediately upon the execution of the underwriting agreement for this offering. The purpose of the ESPP is to secure the services of new employees, to retain the services of existing employees and to provide incentives for such individuals to exert maximum efforts toward our success. The ESPP is intended to qualify as an “employee stock purchase plan” within the meaning of Section 423 of the Code.</w:t>
      </w:r>
    </w:p>
    <w:p>
      <w:pPr>
        <w:spacing w:after="0" w:line="172" w:lineRule="exact"/>
        <w:rPr>
          <w:sz w:val="20"/>
          <w:szCs w:val="20"/>
          <w:color w:val="auto"/>
        </w:rPr>
      </w:pPr>
    </w:p>
    <w:p>
      <w:pPr>
        <w:ind w:right="120" w:firstLine="562"/>
        <w:spacing w:after="0"/>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Following this offering, the ESPP will authorize the issuance of shares of our common stock pursuant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granted to our employees or to employees of any of our designated affiliates. The 2020 ESPP will initially provide participating employees with the opportunity to purchase up to an aggregate of 362,000 shares of our common stock. The number of shares of our common stock reserved for issuance will automatically increase on January 1 of each calendar year, from January 1, 2021 through January 1, 2030, by the lesser of (i) 1% of the total number of shares of our common stock outstanding on December 31 of the preceding calendar year, and (ii) 724,000 shares; provided, that prior to the date of any such increase, our board of directors may determine that such increase will be less than the amount set forth in clauses (i) and (ii). If purchase rights granted under the ESPP terminate without having been exercised, the shares of our common stock not purchased under such purchase rights will again become available for issuance under the ESPP.</w:t>
      </w:r>
    </w:p>
    <w:p>
      <w:pPr>
        <w:spacing w:after="0" w:line="176"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intends to delegate concurrent authority to administer the ESPP to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320" w:top="455" w:right="37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have one or more purchase dates on which shares of our common stock will be purchased for employees participating in the offering. An offering under the ESPP may be terminated under certain circumstances.</w:t>
      </w:r>
    </w:p>
    <w:p>
      <w:pPr>
        <w:spacing w:after="0" w:line="145"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may 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(i) 85% of the fair market value of a share of our common stock on the first trading date of an offering or (ii) 85% of the fair market value of a share of our common stock on the date of purchase.</w:t>
      </w:r>
    </w:p>
    <w:p>
      <w:pPr>
        <w:spacing w:after="0" w:line="174" w:lineRule="exact"/>
        <w:rPr>
          <w:sz w:val="20"/>
          <w:szCs w:val="20"/>
          <w:color w:val="auto"/>
        </w:rPr>
      </w:pPr>
    </w:p>
    <w:p>
      <w:pPr>
        <w:ind w:right="80" w:firstLine="562"/>
        <w:spacing w:after="0"/>
        <w:rPr>
          <w:sz w:val="20"/>
          <w:szCs w:val="20"/>
          <w:color w:val="auto"/>
        </w:rPr>
      </w:pPr>
      <w:r>
        <w:rPr>
          <w:rFonts w:ascii="Arial" w:cs="Arial" w:eastAsia="Arial" w:hAnsi="Arial"/>
          <w:sz w:val="18"/>
          <w:szCs w:val="18"/>
          <w:i w:val="1"/>
          <w:iCs w:val="1"/>
          <w:color w:val="auto"/>
        </w:rPr>
        <w:t>Limitations</w:t>
      </w:r>
      <w:r>
        <w:rPr>
          <w:rFonts w:ascii="Arial" w:cs="Arial" w:eastAsia="Arial" w:hAnsi="Arial"/>
          <w:sz w:val="18"/>
          <w:szCs w:val="18"/>
          <w:color w:val="auto"/>
        </w:rPr>
        <w:t>. Employees may have to satisfy one or more of the following service requirements before participating in the ESPP, 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80" w:lineRule="exact"/>
        <w:rPr>
          <w:sz w:val="20"/>
          <w:szCs w:val="20"/>
          <w:color w:val="auto"/>
        </w:rPr>
      </w:pPr>
    </w:p>
    <w:p>
      <w:pPr>
        <w:ind w:right="20" w:firstLine="562"/>
        <w:spacing w:after="0" w:line="260"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that there occurs a change in our capital structure through such actions as a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merger, 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ESPP, (ii) the maximum number of shares by which the share reserve may increase automatically each year, (iii) the number of shares and purchase price applicable to all outstanding offerings and purchase rights and (iv) the number of shares that are subject to purchase limits under ongoing offerings.</w:t>
      </w:r>
    </w:p>
    <w:p>
      <w:pPr>
        <w:spacing w:after="0" w:line="160" w:lineRule="exact"/>
        <w:rPr>
          <w:sz w:val="20"/>
          <w:szCs w:val="20"/>
          <w:color w:val="auto"/>
        </w:rPr>
      </w:pPr>
    </w:p>
    <w:p>
      <w:pPr>
        <w:ind w:firstLine="562"/>
        <w:spacing w:after="0"/>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including (i) a sale of all or substantially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(ii) the sale or disposition of more than 50% of our outstanding securities, (iii) the consummation of a merger or consolidation where we do not survive the transactions and (iv)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180" w:lineRule="exact"/>
        <w:rPr>
          <w:sz w:val="20"/>
          <w:szCs w:val="20"/>
          <w:color w:val="auto"/>
        </w:rPr>
      </w:pPr>
    </w:p>
    <w:p>
      <w:pPr>
        <w:ind w:right="460" w:firstLine="562"/>
        <w:spacing w:after="0" w:line="255"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Our board of directors has the authority to amend or terminate our ESPP, provided that except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320" w:top="455" w:right="3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14" w:lineRule="exact"/>
        <w:rPr>
          <w:sz w:val="20"/>
          <w:szCs w:val="20"/>
          <w:color w:val="auto"/>
        </w:rPr>
      </w:pPr>
    </w:p>
    <w:p>
      <w:pPr>
        <w:ind w:right="80" w:firstLine="562"/>
        <w:spacing w:after="0" w:line="277"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52" w:lineRule="exact"/>
        <w:rPr>
          <w:sz w:val="20"/>
          <w:szCs w:val="20"/>
          <w:color w:val="auto"/>
        </w:rPr>
      </w:pPr>
    </w:p>
    <w:p>
      <w:pPr>
        <w:ind w:left="780" w:hanging="219"/>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780" w:right="60" w:hanging="219"/>
        <w:spacing w:after="0" w:line="276"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right="640" w:firstLine="562"/>
        <w:spacing w:after="0" w:line="276"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does not affect the availability of equitable remedies such as injunctive relief or rescission.</w:t>
      </w:r>
    </w:p>
    <w:p>
      <w:pPr>
        <w:spacing w:after="0" w:line="145"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Our amended and restated certificate of incorporation and our amended and restated bylaws that will be in effect upon the closing of this offering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179"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We have entered into indemnification agreements with each of our directors and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17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9"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80"/>
          </w:cols>
          <w:pgMar w:left="320" w:top="455" w:right="39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Rule 10b5-1 Sales Plans</w:t>
      </w:r>
    </w:p>
    <w:p>
      <w:pPr>
        <w:spacing w:after="0" w:line="21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plans would be prohibited by the lock-up agreement that the director or officer has entered into with the underwriters.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320" w:top="455" w:right="37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The following is a description of transactions since our inception in September 2019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which are described under “Executive Compensation.”</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Relationship with UT Southwestern</w:t>
      </w:r>
    </w:p>
    <w:p>
      <w:pPr>
        <w:spacing w:after="0" w:line="21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In November 2019, we entered into the UT Southwestern Agreement with UT Southwestern, a beneficial owner of more than 5% of our capital stock. Claire Aldridge, Ph.D., a former member of our board of directors, is the Associate Vice President of Commercialization and Business Development at UT Southwestern. In accordance with the terms of, and as consideration for, the UT Southwestern Agreement, we issued 2,179,000 shares of our common stock to UT Southwestern in November 2019. We do not have any future milestone or royalty obligations to UT Southwestern under the UT Southwestern Agreement.</w:t>
      </w:r>
    </w:p>
    <w:p>
      <w:pPr>
        <w:spacing w:after="0" w:line="172"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We are also obligated to provide research and development funding pursuant to certain sponsored research agreements entered into beginning in April 2020 in connection with the UT Southwestern Agreement. We had not paid any amounts to UT Southwestern pursuant to these sponsored research agreements as of June 30, 2020. See “Business—Research, Collaboration and License Agreement with the University of Texas Southwestern Medical Center” for additional information.</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Agreements with RA Session II</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 Agreement</w:t>
      </w:r>
    </w:p>
    <w:p>
      <w:pPr>
        <w:spacing w:after="0" w:line="104" w:lineRule="exact"/>
        <w:rPr>
          <w:sz w:val="20"/>
          <w:szCs w:val="20"/>
          <w:color w:val="auto"/>
        </w:rPr>
      </w:pPr>
    </w:p>
    <w:p>
      <w:pPr>
        <w:ind w:right="360" w:firstLine="562"/>
        <w:spacing w:after="0" w:line="248" w:lineRule="auto"/>
        <w:rPr>
          <w:sz w:val="20"/>
          <w:szCs w:val="20"/>
          <w:color w:val="auto"/>
        </w:rPr>
      </w:pPr>
      <w:r>
        <w:rPr>
          <w:rFonts w:ascii="Arial" w:cs="Arial" w:eastAsia="Arial" w:hAnsi="Arial"/>
          <w:sz w:val="18"/>
          <w:szCs w:val="18"/>
          <w:color w:val="auto"/>
        </w:rPr>
        <w:t>In December 2019, Mr. Session, our President and Chief Executive Officer and a member of our board of directors, entered into a guarantee and security agreement by and among Queen’s University, our company and himself, pursuant to which Mr. Session has personally guaranteed payments due by us to Queen’s University in the event that we fail to fund our obligations under a research grant agreement by and between Queen’s University and 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w:t>
      </w:r>
    </w:p>
    <w:p>
      <w:pPr>
        <w:spacing w:after="0" w:line="10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In January 2020, Mr. Session loaned us the principal amount of approximately $1.7 million with interest accruing at a rate of 10% per annum, and we granted Mr. Session a first priority security interest in certain of our assets as collateral for the loan. We repaid Mr. Session an aggregate of approximately $1.7 million, including interest, in payments made in March 2020 and July 2020, and Mr. Session released his security interest in the collateral.</w:t>
      </w:r>
    </w:p>
    <w:p>
      <w:pPr>
        <w:spacing w:after="0" w:line="27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 Financing</w:t>
      </w:r>
    </w:p>
    <w:p>
      <w:pPr>
        <w:spacing w:after="0" w:line="104" w:lineRule="exact"/>
        <w:rPr>
          <w:sz w:val="20"/>
          <w:szCs w:val="20"/>
          <w:color w:val="auto"/>
        </w:rPr>
      </w:pPr>
    </w:p>
    <w:p>
      <w:pPr>
        <w:ind w:right="240" w:firstLine="562"/>
        <w:spacing w:after="0" w:line="248" w:lineRule="auto"/>
        <w:rPr>
          <w:sz w:val="20"/>
          <w:szCs w:val="20"/>
          <w:color w:val="auto"/>
        </w:rPr>
      </w:pPr>
      <w:r>
        <w:rPr>
          <w:rFonts w:ascii="Arial" w:cs="Arial" w:eastAsia="Arial" w:hAnsi="Arial"/>
          <w:sz w:val="18"/>
          <w:szCs w:val="18"/>
          <w:color w:val="auto"/>
        </w:rPr>
        <w:t>In March 2020, we entered into a preferred stock purchase agreement with certain investors, including beneficial owners of greater than 5% of our capital stock and affiliates of members of our board of directors, pursuant to which we issued and sold to such investors an aggregate of 6,000,000 shares of our Series A convertible preferred stock at a purchase price of $3.00 per share for aggregate gross proceeds of $18.0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455" w:right="3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Under the agreement, such investors were required to purchase up to an aggregate of 4,000,000 additional shares of our Series A convertible preferred stock upon our achievement of certain milestones. Moreover, such investors had the right, in their sole discretion, to purchase any or all of such additional shares whether or not we achieved the specified milestones. In June and July 2020, such investors exercised in full their option to purchase these additional shares prior to our achievement of such milestones, and we issued and sold to such investors an aggregate of 4,000,000 shares of Series A convertible preferred stock at a purchase price of $3.00 per share for aggregate gross proceeds of $12.0 million.</w:t>
      </w:r>
    </w:p>
    <w:p>
      <w:pPr>
        <w:spacing w:after="0" w:line="174"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The table below sets forth the aggregate number of shares of Series A convertible preferred stock issued to our related parties in this financing: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A</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00" w:type="dxa"/>
            <w:vAlign w:val="bottom"/>
            <w:vMerge w:val="restart"/>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4"/>
        </w:trPr>
        <w:tc>
          <w:tcPr>
            <w:tcW w:w="420" w:type="dxa"/>
            <w:vAlign w:val="bottom"/>
            <w:tcBorders>
              <w:bottom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PBM TGT Holdings, LLC(1)</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8,166,667</w:t>
            </w:r>
          </w:p>
        </w:tc>
        <w:tc>
          <w:tcPr>
            <w:tcW w:w="1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24,500,001.00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spacing w:after="0"/>
              <w:rPr>
                <w:sz w:val="20"/>
                <w:szCs w:val="20"/>
                <w:color w:val="auto"/>
              </w:rPr>
            </w:pPr>
            <w:r>
              <w:rPr>
                <w:rFonts w:ascii="Arial" w:cs="Arial" w:eastAsia="Arial" w:hAnsi="Arial"/>
                <w:sz w:val="18"/>
                <w:szCs w:val="18"/>
                <w:color w:val="auto"/>
              </w:rPr>
              <w:t>Nolan Capital, LLC(2)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886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06" w:lineRule="exact"/>
        <w:rPr>
          <w:sz w:val="20"/>
          <w:szCs w:val="20"/>
          <w:color w:val="auto"/>
        </w:rPr>
      </w:pPr>
    </w:p>
    <w:p>
      <w:pPr>
        <w:ind w:left="560" w:right="20" w:hanging="552"/>
        <w:spacing w:after="0" w:line="237" w:lineRule="auto"/>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Paul B. Manning, a member of our board of directors, is the Chief Executive Officer of PBM Capital Group, LLC and has sole voting and investment power with respect to the shares held by PBM TGT Holdings, LLC. Entities affiliated with PBM Capital Group, LLC collectively hold more than 5% of our capital stock prior to this offering. In September 2020, PBM TGT Holdings, LLC distributed all of the shares of Series A convertible preferred stock it previously held to its beneficial owners, including Mr. Manning and entities controlled by Mr. Manning, for no additional consideration in accordance with the terms of its operating agreement. Under the terms of the distribution, Mr. Manning retains sole voting and shared dispositive power over all distributed shares through the completion of this offering, at which time Mr. Manning’s voting and dispositive power over the distributed shares will terminate except with respect to any shares held by Mr. Manning or by entities controlled by Mr. Manning.</w:t>
      </w:r>
    </w:p>
    <w:p>
      <w:pPr>
        <w:spacing w:after="0" w:line="6" w:lineRule="exact"/>
        <w:rPr>
          <w:rFonts w:ascii="Arial" w:cs="Arial" w:eastAsia="Arial" w:hAnsi="Arial"/>
          <w:sz w:val="18"/>
          <w:szCs w:val="18"/>
          <w:color w:val="auto"/>
        </w:rPr>
      </w:pPr>
    </w:p>
    <w:p>
      <w:pPr>
        <w:ind w:left="560" w:right="80" w:hanging="552"/>
        <w:spacing w:after="0" w:line="250" w:lineRule="auto"/>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Sean Nolan, the Chairman of our board of directors, is the President of Nolan Capital, LLC, and, as a result, may be deemed to share voting and investment power with respect to the shares held by Nolan Capital, LLC.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In July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5,647,048 shares of our Series B convertible preferred stock at a purchase price of $17.00 per share for aggregate gross proceeds of $96.0 million. The financing closed in July and August 2020.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455" w:right="3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The table below sets forth the aggregate number of shares of Series B convertible preferred stock issued to our related parties in this financing: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B</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00" w:type="dxa"/>
            <w:vAlign w:val="bottom"/>
            <w:vMerge w:val="restart"/>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Stock</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84"/>
        </w:trPr>
        <w:tc>
          <w:tcPr>
            <w:tcW w:w="420" w:type="dxa"/>
            <w:vAlign w:val="bottom"/>
            <w:tcBorders>
              <w:bottom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FMR, LLC(1)</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1,705,882</w:t>
            </w:r>
          </w:p>
        </w:tc>
        <w:tc>
          <w:tcPr>
            <w:tcW w:w="1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28,999,994.00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gridSpan w:val="2"/>
          </w:tcPr>
          <w:p>
            <w:pPr>
              <w:spacing w:after="0" w:line="202" w:lineRule="exact"/>
              <w:rPr>
                <w:sz w:val="20"/>
                <w:szCs w:val="20"/>
                <w:color w:val="auto"/>
              </w:rPr>
            </w:pPr>
            <w:r>
              <w:rPr>
                <w:rFonts w:ascii="Arial" w:cs="Arial" w:eastAsia="Arial" w:hAnsi="Arial"/>
                <w:sz w:val="18"/>
                <w:szCs w:val="18"/>
                <w:color w:val="auto"/>
              </w:rPr>
              <w:t>PBM Capital Group, LLC(2)</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117,647</w:t>
            </w:r>
          </w:p>
        </w:tc>
        <w:tc>
          <w:tcPr>
            <w:tcW w:w="160" w:type="dxa"/>
            <w:vAlign w:val="bottom"/>
          </w:tcPr>
          <w:p>
            <w:pPr>
              <w:spacing w:after="0"/>
              <w:rPr>
                <w:sz w:val="17"/>
                <w:szCs w:val="17"/>
                <w:color w:val="auto"/>
              </w:rPr>
            </w:pP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1,999,999.00</w:t>
            </w: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Sukumar Nagendran, M.D.</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17,647</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299,999.00</w:t>
            </w:r>
          </w:p>
        </w:tc>
        <w:tc>
          <w:tcPr>
            <w:tcW w:w="0" w:type="dxa"/>
            <w:vAlign w:val="bottom"/>
          </w:tcPr>
          <w:p>
            <w:pPr>
              <w:spacing w:after="0"/>
              <w:rPr>
                <w:sz w:val="1"/>
                <w:szCs w:val="1"/>
                <w:color w:val="auto"/>
              </w:rPr>
            </w:pPr>
          </w:p>
        </w:tc>
      </w:tr>
      <w:tr>
        <w:trPr>
          <w:trHeight w:val="203"/>
        </w:trPr>
        <w:tc>
          <w:tcPr>
            <w:tcW w:w="8420" w:type="dxa"/>
            <w:vAlign w:val="bottom"/>
            <w:gridSpan w:val="2"/>
          </w:tcPr>
          <w:p>
            <w:pPr>
              <w:spacing w:after="0" w:line="202" w:lineRule="exact"/>
              <w:rPr>
                <w:sz w:val="20"/>
                <w:szCs w:val="20"/>
                <w:color w:val="auto"/>
              </w:rPr>
            </w:pPr>
            <w:r>
              <w:rPr>
                <w:rFonts w:ascii="Arial" w:cs="Arial" w:eastAsia="Arial" w:hAnsi="Arial"/>
                <w:sz w:val="18"/>
                <w:szCs w:val="18"/>
                <w:color w:val="auto"/>
              </w:rPr>
              <w:t>Suyash Prasad, M.B.B.S., F.F.P.M</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3,529</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59,993.00</w:t>
            </w:r>
          </w:p>
        </w:tc>
        <w:tc>
          <w:tcPr>
            <w:tcW w:w="0" w:type="dxa"/>
            <w:vAlign w:val="bottom"/>
          </w:tcPr>
          <w:p>
            <w:pPr>
              <w:spacing w:after="0"/>
              <w:rPr>
                <w:sz w:val="1"/>
                <w:szCs w:val="1"/>
                <w:color w:val="auto"/>
              </w:rPr>
            </w:pPr>
          </w:p>
        </w:tc>
      </w:tr>
      <w:tr>
        <w:trPr>
          <w:trHeight w:val="203"/>
        </w:trPr>
        <w:tc>
          <w:tcPr>
            <w:tcW w:w="8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Nolan Capital, LLC(3)</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1,470</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24,990.00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6" w:lineRule="exact"/>
        <w:rPr>
          <w:sz w:val="20"/>
          <w:szCs w:val="20"/>
          <w:color w:val="auto"/>
        </w:rPr>
      </w:pPr>
    </w:p>
    <w:p>
      <w:pPr>
        <w:ind w:left="560" w:hanging="552"/>
        <w:spacing w:after="0"/>
        <w:tabs>
          <w:tab w:leader="none" w:pos="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Entities affiliated with FMR, LLC collectively hold more than 5% of our capital stock prior to this offering.</w:t>
      </w:r>
    </w:p>
    <w:p>
      <w:pPr>
        <w:spacing w:after="0" w:line="17" w:lineRule="exact"/>
        <w:rPr>
          <w:rFonts w:ascii="Arial" w:cs="Arial" w:eastAsia="Arial" w:hAnsi="Arial"/>
          <w:sz w:val="18"/>
          <w:szCs w:val="18"/>
          <w:color w:val="auto"/>
        </w:rPr>
      </w:pPr>
    </w:p>
    <w:p>
      <w:pPr>
        <w:ind w:left="560" w:right="180" w:hanging="552"/>
        <w:spacing w:after="0" w:line="234" w:lineRule="auto"/>
        <w:tabs>
          <w:tab w:leader="none" w:pos="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Paul B. Manning, a member of our board of directors, is the Chief Executive Officer of PBM Capital Group, LLC, and has sole voting and investment power with respect to the shares held by PBM Capital Group, LLC. Entities affiliated with PBM Capital Group, LLC collectively hold more than 5% of our capital stock prior to this offering. The shares acquired by PBM Capital Group, LLC were subsequently sold or otherwise distributed to third parties. Mr. Manning retains sole voting and shared dispositive power over certain of the distributed shares through the completion of this offering, at which time Mr. Manning’s voting and dispositive power over such shares will terminate except with respect to any shares held by Mr. Manning or by entities controlled by Mr. Manning.</w:t>
      </w:r>
    </w:p>
    <w:p>
      <w:pPr>
        <w:spacing w:after="0" w:line="4" w:lineRule="exact"/>
        <w:rPr>
          <w:rFonts w:ascii="Arial" w:cs="Arial" w:eastAsia="Arial" w:hAnsi="Arial"/>
          <w:sz w:val="18"/>
          <w:szCs w:val="18"/>
          <w:color w:val="auto"/>
        </w:rPr>
      </w:pPr>
    </w:p>
    <w:p>
      <w:pPr>
        <w:ind w:left="560" w:right="80" w:hanging="552"/>
        <w:spacing w:after="0" w:line="250" w:lineRule="auto"/>
        <w:tabs>
          <w:tab w:leader="none" w:pos="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Sean Nolan, the Chairman of our board of directors, is the President of Nolan Capital, LLC, and, as a result, may be deemed to share voting and investment power with respect to the shares held by Nolan Capital, LLC.</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214"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In connection with the sales of convertible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convertible preferred stock, including PBM TGT Holdings, LLC, Nolan Capital, LLC and the entities affiliated with FMR, LLC and certain other stockholders. These agreements will terminate upon the closing of this offering, except for the registration rights granted under our amended and restated investors’ rights agreement, as more fully described in the section of this prospectus titled “Description of Capital Stock— Registration Rights.”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Relationship with PBM Capital Group, LLC</w:t>
      </w:r>
    </w:p>
    <w:p>
      <w:pPr>
        <w:spacing w:after="0" w:line="21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In March 2020, we entered into a services agreement with PBM Capital Group, LLC, or the PBM Services Agreement. Under the PBM Services Agreement, PBM Capital Group, LLC provides accounting and other administrative and management services related to payroll administration, human resources, bookkeeping, preparation of financial statements and tax returns, accounts payable and receivable, and other similar functions for a fee of $2,500 per month.</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Arrangements</w:t>
      </w:r>
    </w:p>
    <w:p>
      <w:pPr>
        <w:spacing w:after="0" w:line="214"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For more information regarding our employment agreement with Mr. Session, our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455" w:right="3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President and Chief Executive Officer, see “Executive Compensation—Employment Agreement with Mr. Session and Potential Payments and Benefits Upon Termination or Change in Control.”</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Indemnification Agreements</w:t>
      </w:r>
    </w:p>
    <w:p>
      <w:pPr>
        <w:spacing w:after="0" w:line="214" w:lineRule="exact"/>
        <w:rPr>
          <w:sz w:val="20"/>
          <w:szCs w:val="20"/>
          <w:color w:val="auto"/>
        </w:rPr>
      </w:pPr>
    </w:p>
    <w:p>
      <w:pPr>
        <w:ind w:right="240" w:firstLine="562"/>
        <w:spacing w:after="0" w:line="248" w:lineRule="auto"/>
        <w:rPr>
          <w:sz w:val="20"/>
          <w:szCs w:val="20"/>
          <w:color w:val="auto"/>
        </w:rPr>
      </w:pPr>
      <w:r>
        <w:rPr>
          <w:rFonts w:ascii="Arial" w:cs="Arial" w:eastAsia="Arial" w:hAnsi="Arial"/>
          <w:sz w:val="18"/>
          <w:szCs w:val="18"/>
          <w:color w:val="auto"/>
        </w:rPr>
        <w:t>Our amended and restated certificate of incorporation that will be in effect upon the closing of this offering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70"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Compensation—Limitations on Liability and Indemnification Matters.”</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Directed Share Program</w:t>
      </w:r>
    </w:p>
    <w:p>
      <w:pPr>
        <w:spacing w:after="0" w:line="21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At our request, the underwriters have reserved up to 5% of the shares of common stock for sale at the initial public offering price to persons who are directors, executive officers or employees, or who are otherwise associated with us, through a directed share program. The number of shares of common stock available for sale to the general public will be reduced by the number of directed shares purchased by participants in the program. Any directed shares not purchased will be offered by the underwriters to the general public on the same basis as all other shares offered. The directed share program will not limit the ability of our directors, executive officers or certain holders of more than 5% of our common stock to purchase more than $120,000 in value of our common stock. We do not currently know the extent to which these related persons will participate in our directed share program, if at all, or to the extent they will purchase more than $120,000 in value of our common stock.</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Related Person Transaction Policy</w:t>
      </w:r>
    </w:p>
    <w:p>
      <w:pPr>
        <w:spacing w:after="0" w:line="21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Prior to this offering, we have not had a formal policy regarding approval of transactions with related parties. In connection with this offering, we have adopted a related person transaction policy that sets forth our procedures for the identification, review, consideration and approval or ratification of related person transactions, which policy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180"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320" w:top="455" w:right="37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86" w:lineRule="exact"/>
        <w:rPr>
          <w:sz w:val="20"/>
          <w:szCs w:val="20"/>
          <w:color w:val="auto"/>
        </w:rPr>
      </w:pPr>
    </w:p>
    <w:p>
      <w:pPr>
        <w:ind w:left="780" w:hanging="219"/>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17"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12" w:lineRule="exact"/>
        <w:rPr>
          <w:sz w:val="20"/>
          <w:szCs w:val="20"/>
          <w:color w:val="auto"/>
        </w:rPr>
      </w:pPr>
    </w:p>
    <w:p>
      <w:pPr>
        <w:ind w:right="360" w:firstLine="562"/>
        <w:spacing w:after="0" w:line="248" w:lineRule="auto"/>
        <w:rPr>
          <w:sz w:val="20"/>
          <w:szCs w:val="20"/>
          <w:color w:val="auto"/>
        </w:rPr>
      </w:pPr>
      <w:r>
        <w:rPr>
          <w:rFonts w:ascii="Arial" w:cs="Arial" w:eastAsia="Arial" w:hAnsi="Arial"/>
          <w:sz w:val="18"/>
          <w:szCs w:val="18"/>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70"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455" w:right="3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by:</w:t>
      </w:r>
    </w:p>
    <w:p>
      <w:pPr>
        <w:spacing w:after="0" w:line="117" w:lineRule="exact"/>
        <w:rPr>
          <w:sz w:val="20"/>
          <w:szCs w:val="20"/>
          <w:color w:val="auto"/>
        </w:rPr>
      </w:pPr>
    </w:p>
    <w:p>
      <w:pPr>
        <w:ind w:left="780" w:hanging="219"/>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named executive officer;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12"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is based on 28,711,467 shares of common stock outstanding as of August 15, 2020 (including 769,058 shares of unvested restricted common stock), after giving effect to the conversion of all of our convertible preferred stock. The percentage of shares beneficially owned after the offering in the table below does not take into account the termination upon the completion of this offering of Mr. Manning’s sole voting and shared dispositive power over the shares distributed by PBM TGT Holdings, LLC subsequent to August 15, 2020 and certain of the shares sold or otherwise distributed by PBM Capital Group, LLC subsequent to August 15, 2020 except with respect to any shares held by Mr. Manning or by entities controlled by Mr. Manning. In computing the number of shares beneficially owned by an individual or entity and the percentage ownership of that person, shares of common stock subject to options held by such person that are currently exercisable or will become exercisable within 60 days of August 15, 2020 are considered outstanding, although these shares are not considered outstanding for purposes of computing the percentage ownership of any other person.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noted otherwise, the address of all listed stockholders is c/o Taysha Gene Therapies, Inc., 2280 Inwood Road, Dallas, Texas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75235.</w:t>
      </w:r>
    </w:p>
    <w:p>
      <w:pPr>
        <w:spacing w:after="0" w:line="190"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19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9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0"/>
        </w:trPr>
        <w:tc>
          <w:tcPr>
            <w:tcW w:w="5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540" w:type="dxa"/>
            <w:vAlign w:val="bottom"/>
          </w:tcPr>
          <w:p>
            <w:pPr>
              <w:spacing w:after="0"/>
              <w:rPr>
                <w:sz w:val="12"/>
                <w:szCs w:val="12"/>
                <w:color w:val="auto"/>
              </w:rPr>
            </w:pPr>
          </w:p>
        </w:tc>
        <w:tc>
          <w:tcPr>
            <w:tcW w:w="132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Beneficially</w:t>
            </w:r>
          </w:p>
        </w:tc>
        <w:tc>
          <w:tcPr>
            <w:tcW w:w="1120" w:type="dxa"/>
            <w:vAlign w:val="bottom"/>
            <w:tcBorders>
              <w:top w:val="single" w:sz="8" w:color="auto"/>
            </w:tcBorders>
            <w:gridSpan w:val="2"/>
          </w:tcPr>
          <w:p>
            <w:pPr>
              <w:jc w:val="right"/>
              <w:ind w:right="600"/>
              <w:spacing w:after="0" w:line="141" w:lineRule="exact"/>
              <w:rPr>
                <w:sz w:val="20"/>
                <w:szCs w:val="20"/>
                <w:color w:val="auto"/>
              </w:rPr>
            </w:pPr>
            <w:r>
              <w:rPr>
                <w:rFonts w:ascii="Arial" w:cs="Arial" w:eastAsia="Arial" w:hAnsi="Arial"/>
                <w:sz w:val="14"/>
                <w:szCs w:val="14"/>
                <w:b w:val="1"/>
                <w:bCs w:val="1"/>
                <w:color w:val="auto"/>
              </w:rPr>
              <w:t>Before</w:t>
            </w:r>
          </w:p>
        </w:tc>
        <w:tc>
          <w:tcPr>
            <w:tcW w:w="600" w:type="dxa"/>
            <w:vAlign w:val="bottom"/>
            <w:tcBorders>
              <w:top w:val="single" w:sz="8" w:color="auto"/>
            </w:tcBorders>
          </w:tcPr>
          <w:p>
            <w:pPr>
              <w:jc w:val="right"/>
              <w:ind w:right="53"/>
              <w:spacing w:after="0" w:line="141" w:lineRule="exact"/>
              <w:rPr>
                <w:sz w:val="20"/>
                <w:szCs w:val="20"/>
                <w:color w:val="auto"/>
              </w:rPr>
            </w:pPr>
            <w:r>
              <w:rPr>
                <w:rFonts w:ascii="Arial" w:cs="Arial" w:eastAsia="Arial" w:hAnsi="Arial"/>
                <w:sz w:val="14"/>
                <w:szCs w:val="14"/>
                <w:b w:val="1"/>
                <w:bCs w:val="1"/>
                <w:color w:val="auto"/>
              </w:rPr>
              <w:t>After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440" w:type="dxa"/>
            <w:vAlign w:val="bottom"/>
            <w:gridSpan w:val="4"/>
            <w:vMerge w:val="continue"/>
          </w:tcPr>
          <w:p>
            <w:pPr>
              <w:spacing w:after="0"/>
              <w:rPr>
                <w:sz w:val="14"/>
                <w:szCs w:val="14"/>
                <w:color w:val="auto"/>
              </w:rPr>
            </w:pPr>
          </w:p>
        </w:tc>
        <w:tc>
          <w:tcPr>
            <w:tcW w:w="25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Owned</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9"/>
              </w:rPr>
              <w:t>Offering</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shd w:val="clear" w:color="auto" w:fill="000000"/>
          </w:tcPr>
          <w:p>
            <w:pPr>
              <w:spacing w:after="0" w:line="20" w:lineRule="exact"/>
              <w:rPr>
                <w:sz w:val="1"/>
                <w:szCs w:val="1"/>
                <w:color w:val="auto"/>
              </w:rPr>
            </w:pPr>
          </w:p>
        </w:tc>
        <w:tc>
          <w:tcPr>
            <w:tcW w:w="10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Greater than 5% stockholders</w:t>
            </w:r>
          </w:p>
        </w:tc>
        <w:tc>
          <w:tcPr>
            <w:tcW w:w="2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RA Session II(1)</w:t>
            </w:r>
          </w:p>
        </w:tc>
        <w:tc>
          <w:tcPr>
            <w:tcW w:w="38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9,430,582</w:t>
            </w: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32.9%</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Entities affiliated with PBM Capital Group, LLC(2)</w:t>
            </w:r>
          </w:p>
        </w:tc>
        <w:tc>
          <w:tcPr>
            <w:tcW w:w="38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9,025,759</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31.4</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UT Southwestern(3)</w:t>
            </w:r>
          </w:p>
        </w:tc>
        <w:tc>
          <w:tcPr>
            <w:tcW w:w="38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2,179,000</w:t>
            </w: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7.6</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Entities affiliated with FMR LLC(4)</w:t>
            </w:r>
          </w:p>
        </w:tc>
        <w:tc>
          <w:tcPr>
            <w:tcW w:w="38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1,858,555</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6.5</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38"/>
        </w:trPr>
        <w:tc>
          <w:tcPr>
            <w:tcW w:w="5440" w:type="dxa"/>
            <w:vAlign w:val="bottom"/>
            <w:gridSpan w:val="4"/>
          </w:tcPr>
          <w:p>
            <w:pPr>
              <w:spacing w:after="0"/>
              <w:rPr>
                <w:sz w:val="20"/>
                <w:szCs w:val="20"/>
                <w:color w:val="auto"/>
              </w:rPr>
            </w:pPr>
            <w:r>
              <w:rPr>
                <w:rFonts w:ascii="Arial" w:cs="Arial" w:eastAsia="Arial" w:hAnsi="Arial"/>
                <w:sz w:val="18"/>
                <w:szCs w:val="18"/>
                <w:b w:val="1"/>
                <w:bCs w:val="1"/>
                <w:color w:val="auto"/>
              </w:rPr>
              <w:t>Named Executive Officer and Directors</w:t>
            </w:r>
          </w:p>
        </w:tc>
        <w:tc>
          <w:tcPr>
            <w:tcW w:w="2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RA Session II(1)</w:t>
            </w:r>
          </w:p>
        </w:tc>
        <w:tc>
          <w:tcPr>
            <w:tcW w:w="38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9,430,582</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32.9</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Paul B. Manning(2)</w:t>
            </w:r>
          </w:p>
        </w:tc>
        <w:tc>
          <w:tcPr>
            <w:tcW w:w="38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9,025,759</w:t>
            </w: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31.4</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Sean P. Nolan(5)</w:t>
            </w:r>
          </w:p>
        </w:tc>
        <w:tc>
          <w:tcPr>
            <w:tcW w:w="38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1,091,101</w:t>
            </w: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22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Sukumar Nagendran, M.D(6)</w:t>
            </w:r>
          </w:p>
        </w:tc>
        <w:tc>
          <w:tcPr>
            <w:tcW w:w="38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19,226</w:t>
            </w:r>
          </w:p>
        </w:tc>
        <w:tc>
          <w:tcPr>
            <w:tcW w:w="11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rPr>
              <w:t>Phillip B. Donenberg</w:t>
            </w:r>
          </w:p>
        </w:tc>
        <w:tc>
          <w:tcPr>
            <w:tcW w:w="25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gridSpan w:val="4"/>
          </w:tcPr>
          <w:p>
            <w:pPr>
              <w:spacing w:after="0"/>
              <w:rPr>
                <w:sz w:val="20"/>
                <w:szCs w:val="20"/>
                <w:color w:val="auto"/>
              </w:rPr>
            </w:pPr>
            <w:r>
              <w:rPr>
                <w:rFonts w:ascii="Arial" w:cs="Arial" w:eastAsia="Arial" w:hAnsi="Arial"/>
                <w:sz w:val="18"/>
                <w:szCs w:val="18"/>
                <w:color w:val="auto"/>
                <w:w w:val="99"/>
              </w:rPr>
              <w:t>All current executive officers and directors as a group (7 persons)(7)</w:t>
            </w:r>
          </w:p>
        </w:tc>
        <w:tc>
          <w:tcPr>
            <w:tcW w:w="3860" w:type="dxa"/>
            <w:vAlign w:val="bottom"/>
            <w:gridSpan w:val="3"/>
          </w:tcPr>
          <w:p>
            <w:pPr>
              <w:jc w:val="right"/>
              <w:ind w:right="360"/>
              <w:spacing w:after="0"/>
              <w:rPr>
                <w:sz w:val="20"/>
                <w:szCs w:val="20"/>
                <w:color w:val="auto"/>
              </w:rPr>
            </w:pPr>
            <w:r>
              <w:rPr>
                <w:rFonts w:ascii="Arial" w:cs="Arial" w:eastAsia="Arial" w:hAnsi="Arial"/>
                <w:sz w:val="18"/>
                <w:szCs w:val="18"/>
                <w:color w:val="auto"/>
              </w:rPr>
              <w:t>19,570,513</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68.2</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95"/>
        </w:trPr>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200" w:type="dxa"/>
            <w:vAlign w:val="bottom"/>
            <w:gridSpan w:val="2"/>
          </w:tcPr>
          <w:p>
            <w:pPr>
              <w:spacing w:after="0"/>
              <w:rPr>
                <w:sz w:val="8"/>
                <w:szCs w:val="8"/>
                <w:color w:val="auto"/>
              </w:rPr>
            </w:pPr>
          </w:p>
        </w:tc>
        <w:tc>
          <w:tcPr>
            <w:tcW w:w="2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220" w:type="dxa"/>
            <w:vAlign w:val="bottom"/>
            <w:gridSpan w:val="3"/>
          </w:tcPr>
          <w:p>
            <w:pPr>
              <w:ind w:left="340"/>
              <w:spacing w:after="0"/>
              <w:rPr>
                <w:sz w:val="20"/>
                <w:szCs w:val="20"/>
                <w:color w:val="auto"/>
              </w:rPr>
            </w:pPr>
            <w:r>
              <w:rPr>
                <w:rFonts w:ascii="Arial" w:cs="Arial" w:eastAsia="Arial" w:hAnsi="Arial"/>
                <w:sz w:val="18"/>
                <w:szCs w:val="18"/>
                <w:color w:val="auto"/>
              </w:rPr>
              <w:t>Represents beneficial ownership of less than one percent.</w:t>
            </w:r>
          </w:p>
        </w:tc>
        <w:tc>
          <w:tcPr>
            <w:tcW w:w="2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40" w:type="dxa"/>
            <w:vAlign w:val="bottom"/>
          </w:tcPr>
          <w:p>
            <w:pPr>
              <w:jc w:val="right"/>
              <w:ind w:right="2110"/>
              <w:spacing w:after="0"/>
              <w:rPr>
                <w:sz w:val="20"/>
                <w:szCs w:val="20"/>
                <w:color w:val="auto"/>
              </w:rPr>
            </w:pPr>
            <w:r>
              <w:rPr>
                <w:rFonts w:ascii="Arial" w:cs="Arial" w:eastAsia="Arial" w:hAnsi="Arial"/>
                <w:sz w:val="18"/>
                <w:szCs w:val="18"/>
                <w:color w:val="auto"/>
              </w:rPr>
              <w:t>184</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hanging="552"/>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9,430,582 shares of common stock (including 769,058 shares of unvested restricted common stock).</w:t>
      </w:r>
    </w:p>
    <w:p>
      <w:pPr>
        <w:spacing w:after="0" w:line="17" w:lineRule="exact"/>
        <w:rPr>
          <w:rFonts w:ascii="Arial" w:cs="Arial" w:eastAsia="Arial" w:hAnsi="Arial"/>
          <w:sz w:val="18"/>
          <w:szCs w:val="18"/>
          <w:color w:val="auto"/>
        </w:rPr>
      </w:pPr>
    </w:p>
    <w:p>
      <w:pPr>
        <w:ind w:left="560" w:hanging="552"/>
        <w:spacing w:after="0" w:line="234" w:lineRule="auto"/>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(a) 8,897,583 shares of common stock issuable upon conversion of Series A convertible preferred stock held by PBM TGT Holdings, LLC and (b) 128,176 shares of common stock issuable upon conversion of Series B convertible preferred stock held by PBM Capital Group, LLC. In September 2020, PBM TGT Holdings, LLC distributed all of the shares of Series A convertible preferred stock it previously held to its beneficial owners, including Mr. Manning and entities controlled by Mr. Manning, for no additional consideration in accordance with the terms of its operating agreement. Under the terms of the distribution, Mr. Manning retains sole voting and shared dispositive power over such distributed shares through the completion of this offering, at which time Mr. Manning’s voting and dispositive power over the distributed shares will terminate except with respect to any shares held by Mr. Manning or by entities controlled by Mr. Manning. In August 2020, PBM Capital Group, LLC sold or otherwise distributed all of the shares of Series B convertible preferred stock previously held by it. Under the terms of certain of the distributions, Mr. Manning retains sole voting and shared dispositive power over certain of the distributed shares through the completion of this offering, at which time Mr. Manning’s voting and dispositive power over the sold or otherwise distributed shares will terminate except with respect to any shares held by Mr. Manning or by entities controlled by Mr. Manning. PBM TGT Holdings, LLC is majority owned by PBM Capital Investments II, LLC, which is managed by PBM Capital Group, LLC. Paul B. Manning, a member of our board of directors, is the Chief Executive Officer of PBM Capital Group, LLC, and has sole voting and investment power with respect to the shares held by PBM TGT Holdings, LLC and PBM Capital Group, LLC. The business address for each person and entity named in this footnote is 200 Garrett Street, Suite S, Charlottesville, Virginia 22902</w:t>
      </w:r>
    </w:p>
    <w:p>
      <w:pPr>
        <w:spacing w:after="0" w:line="11" w:lineRule="exact"/>
        <w:rPr>
          <w:rFonts w:ascii="Arial" w:cs="Arial" w:eastAsia="Arial" w:hAnsi="Arial"/>
          <w:sz w:val="18"/>
          <w:szCs w:val="18"/>
          <w:color w:val="auto"/>
        </w:rPr>
      </w:pPr>
    </w:p>
    <w:p>
      <w:pPr>
        <w:ind w:left="560" w:right="400" w:hanging="552"/>
        <w:spacing w:after="0" w:line="234" w:lineRule="auto"/>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2,179,000 shares of common stock held by The Board of Regents of the University of Texas System on behalf of UT Southwestern. The business address for The Board of Regents of the University of Texas System is 5323 Harry Hines Boulevard, Dallas, Texas 75390-9094.</w:t>
      </w:r>
    </w:p>
    <w:p>
      <w:pPr>
        <w:spacing w:after="0" w:line="2" w:lineRule="exact"/>
        <w:rPr>
          <w:rFonts w:ascii="Arial" w:cs="Arial" w:eastAsia="Arial" w:hAnsi="Arial"/>
          <w:sz w:val="18"/>
          <w:szCs w:val="18"/>
          <w:color w:val="auto"/>
        </w:rPr>
      </w:pPr>
    </w:p>
    <w:p>
      <w:pPr>
        <w:jc w:val="both"/>
        <w:ind w:left="560" w:right="120" w:hanging="552"/>
        <w:spacing w:after="0" w:line="248" w:lineRule="auto"/>
        <w:tabs>
          <w:tab w:leader="none" w:pos="5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Consists of (a) 85,584 shares of common stock issuable upon conversion of Series B convertible preferred stock held by Fidelity Mt. Vernon Street Trust: Fidelity Series Growth Company Fund, (b) 360,588 shares of common stock issuable upon conversion of Series B convertible preferred stock held by Fidelity Mt. Vernon Street Trust: Fidelity Growth Company Fund, (c) 320,910 shares of common stock issuable upon conversion of Series B convertible preferred stock held by Fidelity Growth Company Commingled Pool, (d)</w:t>
      </w:r>
    </w:p>
    <w:p>
      <w:pPr>
        <w:spacing w:after="0" w:line="2" w:lineRule="exact"/>
        <w:rPr>
          <w:rFonts w:ascii="Arial" w:cs="Arial" w:eastAsia="Arial" w:hAnsi="Arial"/>
          <w:sz w:val="17"/>
          <w:szCs w:val="17"/>
          <w:color w:val="auto"/>
        </w:rPr>
      </w:pPr>
    </w:p>
    <w:p>
      <w:pPr>
        <w:ind w:left="560" w:right="60"/>
        <w:spacing w:after="0" w:line="236" w:lineRule="auto"/>
        <w:rPr>
          <w:rFonts w:ascii="Arial" w:cs="Arial" w:eastAsia="Arial" w:hAnsi="Arial"/>
          <w:sz w:val="17"/>
          <w:szCs w:val="17"/>
          <w:color w:val="auto"/>
        </w:rPr>
      </w:pPr>
      <w:r>
        <w:rPr>
          <w:rFonts w:ascii="Arial" w:cs="Arial" w:eastAsia="Arial" w:hAnsi="Arial"/>
          <w:sz w:val="18"/>
          <w:szCs w:val="18"/>
          <w:color w:val="auto"/>
        </w:rPr>
        <w:t>34,019 shares of common stock issuable upon conversion of Series B convertible preferred stock held by Fidelity Mt. Vernon Street Trust: Fidelity Growth Company K6 Fund, (e) 800,115 shares of common stock issuable upon conversion of Series B convertible preferred stock held by Fidelity Select Portfolios: Biotechnology Portfolio and (f) 257,339 shares of common stock issuable upon conversion of Series B convertible preferred stock held by Fidelity Advisor Series VII: Fidelity Advisor Biotechnology Fund.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of FMR LLC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or the Fidelity Funds, advised by Fidelity Management &amp; Research Company, a wholly owned subsidiary of FMR LLC, which power resides with the Fidelity Funds’ Boards of Trustees. Fidelity Management &amp; Research Company carries out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455" w:right="3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right="80"/>
        <w:spacing w:after="0" w:line="247" w:lineRule="auto"/>
        <w:rPr>
          <w:sz w:val="20"/>
          <w:szCs w:val="20"/>
          <w:color w:val="auto"/>
        </w:rPr>
      </w:pPr>
      <w:r>
        <w:rPr>
          <w:rFonts w:ascii="Arial" w:cs="Arial" w:eastAsia="Arial" w:hAnsi="Arial"/>
          <w:sz w:val="18"/>
          <w:szCs w:val="18"/>
          <w:color w:val="auto"/>
        </w:rPr>
        <w:t>voting of the shares under written guidelines established by the Fidelity Funds’ Boards of Trustees. The business address for each person and entity named in this footnote is 245 Summer Street, Boston, Massachusetts 02110.</w:t>
      </w:r>
    </w:p>
    <w:p>
      <w:pPr>
        <w:spacing w:after="0" w:line="1" w:lineRule="exact"/>
        <w:rPr>
          <w:sz w:val="20"/>
          <w:szCs w:val="20"/>
          <w:color w:val="auto"/>
        </w:rPr>
      </w:pPr>
    </w:p>
    <w:p>
      <w:pPr>
        <w:ind w:left="560" w:hanging="552"/>
        <w:spacing w:after="0" w:line="234" w:lineRule="auto"/>
        <w:tabs>
          <w:tab w:leader="none" w:pos="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(a) 1,089,500 shares of common stock issuable upon conversion of Series A convertible preferred stock held by Nolan Capital, LLC and (b) 1,601 shares of common stock issuable upon conversion of Series B convertible preferred stock held by Nolan Capital, LLC. Mr. Nolan is the President of Nolan Capital, LLC, and as such, Mr. Nolan has sole voting and investment power with respect to the shares held by Nolan Capital, LLC. The business address for each person and entity named in this footnote is 8 The Green, Ste. R, Dover, Delaware 19901.</w:t>
      </w:r>
    </w:p>
    <w:p>
      <w:pPr>
        <w:spacing w:after="0" w:line="3" w:lineRule="exact"/>
        <w:rPr>
          <w:rFonts w:ascii="Arial" w:cs="Arial" w:eastAsia="Arial" w:hAnsi="Arial"/>
          <w:sz w:val="18"/>
          <w:szCs w:val="18"/>
          <w:color w:val="auto"/>
        </w:rPr>
      </w:pPr>
    </w:p>
    <w:p>
      <w:pPr>
        <w:ind w:left="560" w:hanging="552"/>
        <w:spacing w:after="0" w:line="234" w:lineRule="auto"/>
        <w:tabs>
          <w:tab w:leader="none" w:pos="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19,226 shares of common stock issuable upon conversion of Series B convertible preferred stock.</w:t>
      </w:r>
    </w:p>
    <w:p>
      <w:pPr>
        <w:jc w:val="both"/>
        <w:ind w:left="560" w:right="240" w:hanging="552"/>
        <w:spacing w:after="0" w:line="242" w:lineRule="auto"/>
        <w:tabs>
          <w:tab w:leader="none" w:pos="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(a) 9,430,582 shares of common stock; (b) 9,987,083 shares of common stock issuable upon conversion of Series A convertible preferred stock; and (c) 152,847 shares of common stock issuable upon conversion of Series B convertible preferred stock.</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00"/>
          </w:cols>
          <w:pgMar w:left="320" w:top="455" w:right="5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16" w:lineRule="exact"/>
        <w:rPr>
          <w:sz w:val="20"/>
          <w:szCs w:val="20"/>
          <w:color w:val="auto"/>
        </w:rPr>
      </w:pPr>
    </w:p>
    <w:p>
      <w:pPr>
        <w:ind w:right="20" w:firstLine="562"/>
        <w:spacing w:after="0" w:line="247" w:lineRule="auto"/>
        <w:rPr>
          <w:sz w:val="20"/>
          <w:szCs w:val="20"/>
          <w:color w:val="auto"/>
        </w:rPr>
      </w:pPr>
      <w:r>
        <w:rPr>
          <w:rFonts w:ascii="Arial" w:cs="Arial" w:eastAsia="Arial" w:hAnsi="Arial"/>
          <w:sz w:val="18"/>
          <w:szCs w:val="18"/>
          <w:i w:val="1"/>
          <w:iCs w:val="1"/>
          <w:color w:val="auto"/>
        </w:rPr>
        <w:t>The following description of our capital stock, certain provisions of our amended and restated certificate of incorporation and amended and restated bylaws, as each will be in effect following the completion of this offering, and certain provisions of Delaware law are summaries. You should also refer to the amended and restated certificate of incorporation and the amended and restated bylaws, which are filed as exhibits to the registration statement of which this prospectus is part.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us to issue up to 200,000,000 shares of common stock, $0.00001 par value per share, and 10,000,000 shares of preferred stock, $0.00001 par value per share, all of which shares of preferred stock will be undesignated. Our board of directors may establish the rights and preferences of the preferred stock from time to time.</w:t>
      </w:r>
    </w:p>
    <w:p>
      <w:pPr>
        <w:spacing w:after="0" w:line="170"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As of June 30, 2020, we had outstanding 10,894,999 shares of common stock, held by five stockholders of record after giving effect to transfers effected subsequent to June 30, 2020. As of June 30, 2020, after giving effect to the conversion of all of the outstanding shares of our convertible preferred stock, including 3,800,000 shares of our Series A convertible preferred stock and 5,647,048 shares of our Series B convertible preferred stock issued subsequent to June 30, 2020, into 17,047,410 shares of common stock, and the sales and distributions of shares of Series B convertible preferred stock by PBM Capital Group, LLC to third parties discussed in “—Certain Relationships and Related Party Transactions,” there would have been 27,942,409 shares of common stock issued and outstanding, held by 108 stockholders of record.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holder of our common stock is entitled to one vote for each share on all matters submitted to a vote of the stockholders,</w:t>
      </w:r>
    </w:p>
    <w:p>
      <w:pPr>
        <w:spacing w:after="0" w:line="1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including the election of directors.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600" w:firstLine="562"/>
        <w:spacing w:after="0" w:line="276"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right="780" w:firstLine="562"/>
        <w:spacing w:after="0" w:line="276"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455" w:right="3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privileges of the holders of common stock are subject to, and may be adversely affected by, the right of the holders of shares of any series of preferred stock that we may designate in the future.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214"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As of June 30, 2020, there were no shares of preferred stock or Series B convertible preferred stock outstanding and 6,200,000 shares of Series A convertible preferred stock outstanding. We issued 3,800,000 additional shares of Series A convertible preferred stock in July 2020 and 5,647,048 shares of Series B convertible preferred stock in July and August 2020. All currently outstanding shares of convertible preferred stock will be converted into an aggregate of 17,047,410 shares of common stock upon the closing of this offering.</w:t>
      </w:r>
    </w:p>
    <w:p>
      <w:pPr>
        <w:spacing w:after="0" w:line="170"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Following the closing of this offering, our board of directors will have the authority under our amended and restated certificate of incorporation,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present plans to issue any shares of preferred stock following completion of this offering.</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Options</w:t>
      </w:r>
    </w:p>
    <w:p>
      <w:pPr>
        <w:spacing w:after="0" w:line="21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As of June 30, 2020, there were no options to purchase shares of common stock outstanding. For additional information regarding the terms of our 2020 Equity Incentive Plan, see “Executive Compensation—Equity Incentive Plans.” Subsequent to June 30, 2020, we granted options under our 2020 Equity Incentive Plan to purchase an aggregate of 16,342 shares of common stock, at an exercise price of $14.90 per share, to certain of our directors.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Awards</w:t>
      </w:r>
    </w:p>
    <w:p>
      <w:pPr>
        <w:spacing w:after="0" w:line="106"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As of June 30, 2020, there were no restricted stock awards with respect to our common stock outstanding. For additional information regarding the terms of our 2020 Equity Incentive Plan, see “Executive Compensation—Equity Incentive Plans.” Subsequent to June 30, 2020, we granted restricted stock awards with respect to 769,058 shares of common stock to an employee.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Units</w:t>
      </w:r>
    </w:p>
    <w:p>
      <w:pPr>
        <w:spacing w:after="0" w:line="106" w:lineRule="exact"/>
        <w:rPr>
          <w:sz w:val="20"/>
          <w:szCs w:val="20"/>
          <w:color w:val="auto"/>
        </w:rPr>
      </w:pPr>
    </w:p>
    <w:p>
      <w:pPr>
        <w:ind w:right="500" w:firstLine="562"/>
        <w:spacing w:after="0" w:line="276" w:lineRule="auto"/>
        <w:rPr>
          <w:sz w:val="20"/>
          <w:szCs w:val="20"/>
          <w:color w:val="auto"/>
        </w:rPr>
      </w:pPr>
      <w:r>
        <w:rPr>
          <w:rFonts w:ascii="Arial" w:cs="Arial" w:eastAsia="Arial" w:hAnsi="Arial"/>
          <w:sz w:val="18"/>
          <w:szCs w:val="18"/>
          <w:color w:val="auto"/>
        </w:rPr>
        <w:t>As of June 30, 2020, there were no restricted stock units outstanding. For additional information regarding the terms of our 2020 Equity Incentive Plan, see “Executive Compensation—Equity Incentive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455" w:right="3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Plans.” Subsequent to June 30, 2020, we granted restricted stock units with respect to 2,850,053 shares of common stock to employees.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right="180" w:firstLine="562"/>
        <w:spacing w:after="0" w:line="245" w:lineRule="auto"/>
        <w:rPr>
          <w:sz w:val="20"/>
          <w:szCs w:val="20"/>
          <w:color w:val="auto"/>
        </w:rPr>
      </w:pPr>
      <w:r>
        <w:rPr>
          <w:rFonts w:ascii="Arial" w:cs="Arial" w:eastAsia="Arial" w:hAnsi="Arial"/>
          <w:sz w:val="18"/>
          <w:szCs w:val="18"/>
          <w:color w:val="auto"/>
        </w:rPr>
        <w:t>We, the holders of our existing convertible preferred stock and certain holders of our existing common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convertible preferred stock in connection with our initial public offering. These shares are collectively referred to herein as registrable securities. An aggregate of 27,942,409 shares of common stock will be entitled to the registration rights described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is a part, the holders of a majority of registrable securities then outstanding have the right to demand that we file a registration statement covering registrable securities then outstanding having an aggregate offering price in excess of $10.0 million, net of certain selling expenses.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1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104" w:lineRule="exact"/>
        <w:rPr>
          <w:sz w:val="20"/>
          <w:szCs w:val="20"/>
          <w:color w:val="auto"/>
        </w:rPr>
      </w:pPr>
    </w:p>
    <w:p>
      <w:pPr>
        <w:ind w:right="320" w:firstLine="562"/>
        <w:spacing w:after="0" w:line="245" w:lineRule="auto"/>
        <w:rPr>
          <w:sz w:val="20"/>
          <w:szCs w:val="20"/>
          <w:color w:val="auto"/>
        </w:rPr>
      </w:pPr>
      <w:r>
        <w:rPr>
          <w:rFonts w:ascii="Arial" w:cs="Arial" w:eastAsia="Arial" w:hAnsi="Arial"/>
          <w:sz w:val="18"/>
          <w:szCs w:val="18"/>
          <w:color w:val="auto"/>
        </w:rPr>
        <w:t>At any time after we become eligible to file a registration statement on Form S-3, the holders of a majority of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net of certain selling expenses, is at least $5.0 million. Upon receipt of this request, the holders of registrable securities will each be entitled to participate in this registration.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We are required to pay all expenses, including fees and expenses of one counsel to represent the selling stockholders (up to $50,000 total),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72" w:lineRule="exact"/>
        <w:rPr>
          <w:sz w:val="20"/>
          <w:szCs w:val="20"/>
          <w:color w:val="auto"/>
        </w:rPr>
      </w:pPr>
    </w:p>
    <w:p>
      <w:pPr>
        <w:ind w:right="300" w:firstLine="562"/>
        <w:spacing w:after="0" w:line="276" w:lineRule="auto"/>
        <w:rPr>
          <w:sz w:val="20"/>
          <w:szCs w:val="20"/>
          <w:color w:val="auto"/>
        </w:rPr>
      </w:pPr>
      <w:r>
        <w:rPr>
          <w:rFonts w:ascii="Arial" w:cs="Arial" w:eastAsia="Arial" w:hAnsi="Arial"/>
          <w:sz w:val="18"/>
          <w:szCs w:val="18"/>
          <w:color w:val="auto"/>
        </w:rPr>
        <w:t>The amended and restated investors’ rights agreement contains customary cross-indemnification provisions, pursuant to which we are obligated to indemnify the selling stockholders in the event 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5" w:right="3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The registration rights granted under the investors’ rights agreement will terminate with respect to any particular stockholder upon the earlier of (a) the closing of a deemed liquidation event, as defined in our certificate of incorporation, (b) the third anniversary of the closing of this offering and (c) with respect to each stockholder, at such time such stockholder is able to sell all of its shares pursuant to Rule 144 or another similar exemption under the Securities Act during a three-month period without registration.</w:t>
      </w:r>
    </w:p>
    <w:p>
      <w:pPr>
        <w:spacing w:after="0" w:line="27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Anti-Takeover Provisions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04" w:lineRule="exact"/>
        <w:rPr>
          <w:sz w:val="20"/>
          <w:szCs w:val="20"/>
          <w:color w:val="auto"/>
        </w:rPr>
      </w:pPr>
    </w:p>
    <w:p>
      <w:pPr>
        <w:ind w:right="300" w:firstLine="562"/>
        <w:spacing w:after="0" w:line="255"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69" w:lineRule="exact"/>
        <w:rPr>
          <w:sz w:val="20"/>
          <w:szCs w:val="20"/>
          <w:color w:val="auto"/>
        </w:rPr>
      </w:pPr>
    </w:p>
    <w:p>
      <w:pPr>
        <w:ind w:left="780" w:hanging="219"/>
        <w:spacing w:after="0" w:line="276"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50" w:lineRule="exact"/>
        <w:rPr>
          <w:rFonts w:ascii="Arial" w:cs="Arial" w:eastAsia="Arial" w:hAnsi="Arial"/>
          <w:sz w:val="18"/>
          <w:szCs w:val="18"/>
          <w:color w:val="auto"/>
        </w:rPr>
      </w:pPr>
    </w:p>
    <w:p>
      <w:pPr>
        <w:ind w:left="780" w:right="120" w:hanging="219"/>
        <w:spacing w:after="0" w:line="263" w:lineRule="auto"/>
        <w:tabs>
          <w:tab w:leader="none" w:pos="7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2" w:lineRule="exact"/>
        <w:rPr>
          <w:rFonts w:ascii="Arial" w:cs="Arial" w:eastAsia="Arial" w:hAnsi="Arial"/>
          <w:sz w:val="17"/>
          <w:szCs w:val="17"/>
          <w:color w:val="auto"/>
        </w:rPr>
      </w:pPr>
    </w:p>
    <w:p>
      <w:pPr>
        <w:ind w:left="780" w:right="260" w:hanging="219"/>
        <w:spacing w:after="0" w:line="255"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17" w:lineRule="exact"/>
        <w:rPr>
          <w:sz w:val="20"/>
          <w:szCs w:val="20"/>
          <w:color w:val="auto"/>
        </w:rPr>
      </w:pPr>
    </w:p>
    <w:p>
      <w:pPr>
        <w:ind w:left="780" w:right="120" w:hanging="219"/>
        <w:spacing w:after="0" w:line="276"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w:t>
      </w:r>
    </w:p>
    <w:p>
      <w:pPr>
        <w:spacing w:after="0" w:line="50" w:lineRule="exact"/>
        <w:rPr>
          <w:rFonts w:ascii="Arial" w:cs="Arial" w:eastAsia="Arial" w:hAnsi="Arial"/>
          <w:sz w:val="18"/>
          <w:szCs w:val="18"/>
          <w:color w:val="auto"/>
        </w:rPr>
      </w:pPr>
    </w:p>
    <w:p>
      <w:pPr>
        <w:ind w:left="780" w:right="200" w:hanging="219"/>
        <w:spacing w:after="0" w:line="276"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50" w:lineRule="exact"/>
        <w:rPr>
          <w:rFonts w:ascii="Arial" w:cs="Arial" w:eastAsia="Arial" w:hAnsi="Arial"/>
          <w:sz w:val="18"/>
          <w:szCs w:val="18"/>
          <w:color w:val="auto"/>
        </w:rPr>
      </w:pPr>
    </w:p>
    <w:p>
      <w:pPr>
        <w:ind w:left="780" w:right="200" w:hanging="219"/>
        <w:spacing w:after="0" w:line="306" w:lineRule="auto"/>
        <w:tabs>
          <w:tab w:leader="none" w:pos="7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28" w:lineRule="exact"/>
        <w:rPr>
          <w:rFonts w:ascii="Arial" w:cs="Arial" w:eastAsia="Arial" w:hAnsi="Arial"/>
          <w:sz w:val="17"/>
          <w:szCs w:val="17"/>
          <w:color w:val="auto"/>
        </w:rPr>
      </w:pPr>
    </w:p>
    <w:p>
      <w:pPr>
        <w:ind w:left="780" w:right="80" w:hanging="219"/>
        <w:spacing w:after="0" w:line="255"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5" w:right="3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20" w:hanging="219"/>
        <w:spacing w:after="0" w:line="276" w:lineRule="auto"/>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45"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04" w:lineRule="exact"/>
        <w:rPr>
          <w:sz w:val="20"/>
          <w:szCs w:val="20"/>
          <w:color w:val="auto"/>
        </w:rPr>
      </w:pPr>
    </w:p>
    <w:p>
      <w:pPr>
        <w:ind w:right="140" w:firstLine="562"/>
        <w:spacing w:after="0" w:line="252"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completion of this offering, or our restated bylaws, will also provide that directors may be removed by the stockholders only for cause upon the vote of</w:t>
      </w:r>
    </w:p>
    <w:p>
      <w:pPr>
        <w:spacing w:after="0" w:line="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73"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Under our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6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70"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Our restated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64" w:lineRule="exact"/>
        <w:rPr>
          <w:sz w:val="20"/>
          <w:szCs w:val="20"/>
          <w:color w:val="auto"/>
        </w:rPr>
      </w:pPr>
    </w:p>
    <w:p>
      <w:pPr>
        <w:ind w:right="120" w:firstLine="562"/>
        <w:spacing w:after="0" w:line="280" w:lineRule="auto"/>
        <w:rPr>
          <w:sz w:val="20"/>
          <w:szCs w:val="20"/>
          <w:color w:val="auto"/>
        </w:rPr>
      </w:pPr>
      <w:r>
        <w:rPr>
          <w:rFonts w:ascii="Arial" w:cs="Arial" w:eastAsia="Arial" w:hAnsi="Arial"/>
          <w:sz w:val="18"/>
          <w:szCs w:val="18"/>
          <w:color w:val="auto"/>
        </w:rPr>
        <w:t>Our restated certificate and restated bylaws will provide that the stockholders cannot amend many of the provisions described above except by a vote of 66</w:t>
      </w:r>
      <w:r>
        <w:rPr>
          <w:rFonts w:ascii="Arial" w:cs="Arial" w:eastAsia="Arial" w:hAnsi="Arial"/>
          <w:sz w:val="14"/>
          <w:szCs w:val="14"/>
          <w:color w:val="auto"/>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or more of our outstanding common stock.</w:t>
      </w:r>
    </w:p>
    <w:p>
      <w:pPr>
        <w:spacing w:after="0" w:line="138"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As described in “—Preferred Stock” above, our restated certificate will give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64"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455" w:right="3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64"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Choice of Forum</w:t>
      </w:r>
    </w:p>
    <w:p>
      <w:pPr>
        <w:spacing w:after="0" w:line="214" w:lineRule="exact"/>
        <w:rPr>
          <w:sz w:val="20"/>
          <w:szCs w:val="20"/>
          <w:color w:val="auto"/>
        </w:rPr>
      </w:pPr>
    </w:p>
    <w:p>
      <w:pPr>
        <w:ind w:right="480" w:firstLine="562"/>
        <w:spacing w:after="0" w:line="276"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w:t>
      </w:r>
    </w:p>
    <w:p>
      <w:pPr>
        <w:spacing w:after="0" w:line="50" w:lineRule="exact"/>
        <w:rPr>
          <w:sz w:val="20"/>
          <w:szCs w:val="20"/>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restated certificate, or our amended and restated bylaws;</w:t>
      </w:r>
    </w:p>
    <w:p>
      <w:pPr>
        <w:spacing w:after="0" w:line="50"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claim or cause of action seeking to interpret, apply, enforce or determine the validity of our restated certificate or our amended and restated bylaws;</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claim or cause of action as to which the Delaware General Corporation Law confers jurisdiction on the Court of Chancery of the state of Delaware; or</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2"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w:t>
      </w:r>
    </w:p>
    <w:p>
      <w:pPr>
        <w:spacing w:after="0" w:line="17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2"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320" w:top="455" w:right="3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64" w:lineRule="exact"/>
        <w:rPr>
          <w:sz w:val="20"/>
          <w:szCs w:val="20"/>
          <w:color w:val="auto"/>
        </w:rPr>
      </w:pPr>
    </w:p>
    <w:p>
      <w:pPr>
        <w:ind w:right="240" w:firstLine="562"/>
        <w:spacing w:after="0" w:line="255" w:lineRule="auto"/>
        <w:rPr>
          <w:sz w:val="20"/>
          <w:szCs w:val="20"/>
          <w:color w:val="auto"/>
        </w:rPr>
      </w:pPr>
      <w:r>
        <w:rPr>
          <w:rFonts w:ascii="Arial" w:cs="Arial" w:eastAsia="Arial" w:hAnsi="Arial"/>
          <w:sz w:val="18"/>
          <w:szCs w:val="18"/>
          <w:color w:val="auto"/>
        </w:rPr>
        <w:t>Our amended and restated certificate of incorporation will further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Transfer Agent and Registrar</w:t>
      </w:r>
    </w:p>
    <w:p>
      <w:pPr>
        <w:spacing w:after="0" w:line="214" w:lineRule="exact"/>
        <w:rPr>
          <w:sz w:val="20"/>
          <w:szCs w:val="20"/>
          <w:color w:val="auto"/>
        </w:rPr>
      </w:pPr>
    </w:p>
    <w:p>
      <w:pPr>
        <w:ind w:right="560" w:firstLine="562"/>
        <w:spacing w:after="0" w:line="276"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15th Avenue, Brooklyn, New York 11219.</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Listing</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trading symbol “TSHA.”</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320" w:top="455" w:right="3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Prior to this offering, no public market existed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7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Based on the number of shares outstanding as of June 30, 2020, upon the closing of this offering and assuming no exercise of the underwriters’ option to purchase additional shares, 34,521,359 shares of common stock will be outstanding, assuming no outstanding options are exercised. All of the shares of common stock sold in this offering will be freely tradable without restrictions or further registration under the Securities Act, except for any shares (i) sold to our “affiliates,” as that term is defined under Rule 144 under the Securities Act, or (ii) purchased by our directors, executive officers and employees in our directed share program. The remaining 27,942,409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or another available exemption.</w:t>
      </w:r>
    </w:p>
    <w:p>
      <w:pPr>
        <w:spacing w:after="0" w:line="180"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shares of common stock that will be deemed restricted securities after this offering will be available for sale in the public market as follows:</w:t>
      </w:r>
    </w:p>
    <w:p>
      <w:pPr>
        <w:spacing w:after="0" w:line="172" w:lineRule="exact"/>
        <w:rPr>
          <w:sz w:val="20"/>
          <w:szCs w:val="20"/>
          <w:color w:val="auto"/>
        </w:rPr>
      </w:pPr>
    </w:p>
    <w:p>
      <w:pPr>
        <w:ind w:left="780" w:hanging="219"/>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none of the existing shares will be eligible for immediate sale upon the completion of this offering; and</w:t>
      </w:r>
    </w:p>
    <w:p>
      <w:pPr>
        <w:spacing w:after="0" w:line="238" w:lineRule="exact"/>
        <w:rPr>
          <w:rFonts w:ascii="Arial" w:cs="Arial" w:eastAsia="Arial" w:hAnsi="Arial"/>
          <w:sz w:val="18"/>
          <w:szCs w:val="18"/>
          <w:color w:val="auto"/>
        </w:rPr>
      </w:pPr>
    </w:p>
    <w:p>
      <w:pPr>
        <w:ind w:left="780" w:right="40" w:hanging="219"/>
        <w:spacing w:after="0" w:line="255"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27,942,409 shares will be eligible for sale in the public market upon expiration of lock-up agreements 180 days after the date of this prospectus, subject in certain circumstances to the volume, manner of sale and other limitations under Rule 144 and Rule 701 under the Securities Act, which are summarized below.</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In general, non-affiliate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Non-Affiliates</w:t>
      </w:r>
    </w:p>
    <w:p>
      <w:pPr>
        <w:spacing w:after="0" w:line="104"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50" w:lineRule="exact"/>
        <w:rPr>
          <w:sz w:val="20"/>
          <w:szCs w:val="20"/>
          <w:color w:val="auto"/>
        </w:rPr>
      </w:pPr>
    </w:p>
    <w:p>
      <w:pPr>
        <w:ind w:left="780" w:right="40" w:hanging="219"/>
        <w:spacing w:after="0" w:line="276"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 (subject to certain exceptions);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455" w:right="3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10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76" w:lineRule="exact"/>
        <w:rPr>
          <w:sz w:val="20"/>
          <w:szCs w:val="20"/>
          <w:color w:val="auto"/>
        </w:rPr>
      </w:pPr>
    </w:p>
    <w:p>
      <w:pPr>
        <w:ind w:left="780" w:right="320" w:hanging="219"/>
        <w:spacing w:after="0" w:line="276"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345,000 shares immediately after the completion of this offering based on the number of shares outstanding as of June 30, 2020; or</w:t>
      </w:r>
    </w:p>
    <w:p>
      <w:pPr>
        <w:spacing w:after="0" w:line="50" w:lineRule="exact"/>
        <w:rPr>
          <w:rFonts w:ascii="Arial" w:cs="Arial" w:eastAsia="Arial" w:hAnsi="Arial"/>
          <w:sz w:val="18"/>
          <w:szCs w:val="18"/>
          <w:color w:val="auto"/>
        </w:rPr>
      </w:pPr>
    </w:p>
    <w:p>
      <w:pPr>
        <w:ind w:left="780" w:right="440" w:hanging="219"/>
        <w:spacing w:after="0" w:line="276"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stock exchange on which our shares are listed during the four calendar weeks preceding the filing of a notice on Form 144 with respect to the sale.</w:t>
      </w:r>
    </w:p>
    <w:p>
      <w:pPr>
        <w:spacing w:after="0" w:line="145" w:lineRule="exact"/>
        <w:rPr>
          <w:sz w:val="20"/>
          <w:szCs w:val="20"/>
          <w:color w:val="auto"/>
        </w:rPr>
      </w:pPr>
    </w:p>
    <w:p>
      <w:pPr>
        <w:jc w:val="both"/>
        <w:ind w:right="140" w:firstLine="562"/>
        <w:spacing w:after="0" w:line="255"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701</w:t>
      </w:r>
    </w:p>
    <w:p>
      <w:pPr>
        <w:spacing w:after="0" w:line="21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“Underwriting” and will become eligible for sale upon the expiration of the restrictions set forth in those agreements.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S-8 Registration Statements</w:t>
      </w:r>
    </w:p>
    <w:p>
      <w:pPr>
        <w:spacing w:after="0" w:line="21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issued or issuable under our equity plans. We expect to file the registration statement covering shares offered pursuant to our stock plans as soon as practicable after the closing of this offering, permitting the resale of such shares by non-affiliates in the public market without restriction under the Securities Act and the sale by affiliates in the public market, subject to compliance with the resale provisions of Rule 144 and expiration or release from the terms of the lock-up agreements described above.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Lock-Up Agreements</w:t>
      </w:r>
    </w:p>
    <w:p>
      <w:pPr>
        <w:spacing w:after="0" w:line="214" w:lineRule="exact"/>
        <w:rPr>
          <w:sz w:val="20"/>
          <w:szCs w:val="20"/>
          <w:color w:val="auto"/>
        </w:rPr>
      </w:pPr>
    </w:p>
    <w:p>
      <w:pPr>
        <w:ind w:right="560" w:firstLine="562"/>
        <w:spacing w:after="0" w:line="276" w:lineRule="auto"/>
        <w:rPr>
          <w:sz w:val="20"/>
          <w:szCs w:val="20"/>
          <w:color w:val="auto"/>
        </w:rPr>
      </w:pPr>
      <w:r>
        <w:rPr>
          <w:rFonts w:ascii="Arial" w:cs="Arial" w:eastAsia="Arial" w:hAnsi="Arial"/>
          <w:sz w:val="18"/>
          <w:szCs w:val="18"/>
          <w:color w:val="auto"/>
        </w:rPr>
        <w:t>We, our executive officers and directors and substantially all of the holders of our common stock outstanding on the date of this prospectus have entered into lock-up agreements with the underwriters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455" w:right="3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or otherwise agreed, subject to certain exceptions, that we and they will not, directly or indirectly, offer, sell, contract to sell, pledge, grant any option to purchase, make any short sale, or otherwise dispose of or hedge any of our shares of common stock, any options or warrants to purchase shares of our common stock, or any securities convertible into, or exchangeable for or that represent the right to receive shares of our common stock, without the prior written consent of Goldman Sachs &amp; Co. LLC, Morgan Stanley &amp; Co. LLC and Jefferies LLC for a period of 180 days from the date of this prospectus.</w:t>
      </w:r>
    </w:p>
    <w:p>
      <w:pPr>
        <w:spacing w:after="0" w:line="172" w:lineRule="exact"/>
        <w:rPr>
          <w:sz w:val="20"/>
          <w:szCs w:val="20"/>
          <w:color w:val="auto"/>
        </w:rPr>
      </w:pPr>
    </w:p>
    <w:p>
      <w:pPr>
        <w:ind w:right="360" w:firstLine="562"/>
        <w:spacing w:after="0" w:line="277"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an agreement with the holders of our convertible preferred stock that contains market stand-off provisions imposing restrictions on the ability of such security holders to sell or otherwise transfer or dispose of any registrable securities for a period of 180 days following the date of this prospectus.</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Upon the closing of this offering, the holders of 27,942,409 shares of our common stock, including common stock issuable upon the conversion of our convertible preferred stock, or their transferees, will be entitled to specified rights with respect to the registration of their registrable shares under the Securities Act, subject to certain limitations and the expiration, waiver or termination of the lock-up agreements. Registration of these shares under the Securities Act would result in the shares becoming freely tradable without restriction under the Securities Act immediately upon effectiveness of the registration. See “Description of Capital Stock—Registration Rights” for additional information.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80"/>
          </w:cols>
          <w:pgMar w:left="320" w:top="455" w:right="39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1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following summary describes the material U.S. federal income tax consequences to Non-U.S. Holders (as defined below) of the acquisition, ownership and disposition of our common stock acquired in this offering. This summary is not a complete analysis of all potential U.S. federal income tax consequences relating thereto, and does not address Non-U.S. or U.S. state and local consequences that may be relevant to Non-U.S. Holders in light of their particular circumstances, nor does it address U.S. federal tax consequences (such as gift and estate taxes) other than income taxes.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and the District of Columbia that are nonetheless treated as U.S. taxpayers for U.S. federal income tax purposes, persons that hold our common stock as part of a “straddle,” “hedge,” “conversion transaction,” “synthetic security” or integrated investment or other risk reduction strategy, persons who acquire our common stock through the exercise of an option or otherwise as compensation, persons subject to the alternative minimum tax or federal Medicare contribution tax on net investment income, persons subject to special tax accounting rules under Section 451(b) of the Code, persons that hold more than 5% of our outstanding common stock, directly or indirectly during the applicable testing period (except to the extent specifically set forth below), “qualified foreign pension funds” as defined in Section 897(l)(2) of the Code and entities all of the interests of which are held by one or more qualified foreign pension funds, partnerships and other pass-through entities or arrangements, and investors in such pass-through entities or arrangements. Non-U.S. Holders are urged to consult their tax advisors to determine the U.S. federal, state, local and other tax consequences that may be relevant to them. Furthermore, the discussion below is based upon the provisions of the U.S. Internal Revenue Code of 1986, as amended, or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and will not request a ruling from the U.S. Internal Revenue Service, or the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92"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(or entity or arrangement treated as partnership for U.S. federal income tax purposes)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70"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b w:val="1"/>
          <w:bCs w:val="1"/>
          <w:color w:val="auto"/>
        </w:rPr>
        <w:t>THIS DISCUSSION IS FOR INFORMATIONAL PURPOSES ONLY AND IS NOT TAX ADVICE. PERSONS CONSIDERING THE PURCHASE OF OUR COMMON STOCK PURSUANT TO THIS OFFERING SHOULD CONSULT THEIR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NON-U.S. TAX CONSEQUENCES.</w:t>
      </w:r>
    </w:p>
    <w:p>
      <w:pPr>
        <w:spacing w:after="0" w:line="161"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For the purposes of this discussion, the term “Non-U.S. Holder” means, for U.S. federal income tax purposes, a beneficial owner of common stock that is not a partnership (or other entity 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455" w:right="3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arrangement treated as a partnership for U.S. federal income tax purposes regardless of its place of organization or formation) and is not, for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 purposes, any of the following:</w:t>
      </w:r>
    </w:p>
    <w:p>
      <w:pPr>
        <w:spacing w:after="0" w:line="95" w:lineRule="exact"/>
        <w:rPr>
          <w:sz w:val="20"/>
          <w:szCs w:val="20"/>
          <w:color w:val="auto"/>
        </w:rPr>
      </w:pPr>
    </w:p>
    <w:p>
      <w:pPr>
        <w:ind w:left="780" w:hanging="219"/>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780" w:right="100" w:hanging="219"/>
        <w:spacing w:after="0" w:line="255"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Treasury Regulations to be treated as a U.S. person.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As discussed under “Dividend Policy” above, we do not anticipate to declare or pay any cash dividends to holders of our common stock in the foreseeable future. Distributions, if any, made on our common stock to a Non-U.S. Holder to the extent made out of our current or accumulated earnings and profits (as determined under U.S. federal income tax principles) generally will constitute dividends for U.S. federal income tax purposes.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74"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properly executed IRS Form W-8BEN (in the case of individuals) or W-8BEN-E (in the case of entities), or other appropriate form, certifying the Non-U.S. Holder’s entitlement to benefits under such income tax treaty). This certification must be provided to us 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Non-U.S. Holder’s behalf, the Non-U.S. Holder will be required to provide appropriate documentation to such agent. The Non-U.S. Holder’s agent will then be required to provide certification to us or our paying agent, either directly or through other intermediaries. If a Non-U.S. Holder is eligible for a reduced rate of U.S. federal withholding tax under an income tax treaty and does not timely file the required certification, the Non-U.S. Holder may be able to obtain a refund or credit of any excess amounts withheld by timely filing an appropriate claim for a refund with the IRS. Non-U.S. Holders should consult their tax advisors regarding their entitlement to benefits under any applicable income tax treaties.</w:t>
      </w:r>
    </w:p>
    <w:p>
      <w:pPr>
        <w:spacing w:after="0" w:line="180"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if a properly executed IRS Form W-8ECI, stating that the dividends are effectively connected with the Non-U.S. Holder’s conduct of a trade or business within the United States, is furnished to us (or, if stock is held through a financial institution or other agent, to such agent).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5" w:right="3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In general, such effectively connected dividends will be subject to U.S. federal income tax, on a net-income basis at the regular rates applicable to U.S. residents. A corporate Non-U.S. Holder receiving effectively connected dividends may also be subject to an additional “branch profits tax,” which is imposed, under certain circumstances, at a rate of 30% (or such lower rate as may be specified by an applicable income tax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or Other Taxable Disposition</w:t>
      </w:r>
    </w:p>
    <w:p>
      <w:pPr>
        <w:spacing w:after="0" w:line="214"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Subject to the discussions below regarding backup withholding and foreign accounts, a Non-U.S. Holder generally will not be subject to U.S. federal income tax with respect to gain realized on a sale or other disposition of our common stock unless:</w:t>
      </w:r>
    </w:p>
    <w:p>
      <w:pPr>
        <w:spacing w:after="0" w:line="50" w:lineRule="exact"/>
        <w:rPr>
          <w:sz w:val="20"/>
          <w:szCs w:val="20"/>
          <w:color w:val="auto"/>
        </w:rPr>
      </w:pPr>
    </w:p>
    <w:p>
      <w:pPr>
        <w:ind w:left="780" w:right="360" w:hanging="219"/>
        <w:spacing w:after="0" w:line="255"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such Non-U.S. Holder in the United States (and, if required by an applicable income tax treaty, is attributable to a permanent establishment or fixed base that such holder maintains in the United States);</w:t>
      </w:r>
    </w:p>
    <w:p>
      <w:pPr>
        <w:spacing w:after="0" w:line="69" w:lineRule="exact"/>
        <w:rPr>
          <w:rFonts w:ascii="Arial" w:cs="Arial" w:eastAsia="Arial" w:hAnsi="Arial"/>
          <w:sz w:val="18"/>
          <w:szCs w:val="18"/>
          <w:color w:val="auto"/>
        </w:rPr>
      </w:pPr>
    </w:p>
    <w:p>
      <w:pPr>
        <w:ind w:left="780" w:hanging="219"/>
        <w:spacing w:after="0" w:line="255"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treated, for U.S. federal income tax purposes, as present in the United States for a period or periods aggregating to 183 or more days in the taxable year of the disposition and certain other conditions are met; or</w:t>
      </w:r>
    </w:p>
    <w:p>
      <w:pPr>
        <w:spacing w:after="0" w:line="69" w:lineRule="exact"/>
        <w:rPr>
          <w:rFonts w:ascii="Arial" w:cs="Arial" w:eastAsia="Arial" w:hAnsi="Arial"/>
          <w:sz w:val="18"/>
          <w:szCs w:val="18"/>
          <w:color w:val="auto"/>
        </w:rPr>
      </w:pPr>
    </w:p>
    <w:p>
      <w:pPr>
        <w:ind w:left="780" w:right="320" w:hanging="219"/>
        <w:spacing w:after="0" w:line="255" w:lineRule="auto"/>
        <w:tabs>
          <w:tab w:leader="none" w:pos="7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or USRPI, by reason of our status as a “United States real property holding corporation,” or USRPHC, within the meaning of Section 897(c)(2) of the Code, for U.S. federal income tax purposes</w:t>
      </w:r>
    </w:p>
    <w:p>
      <w:pPr>
        <w:spacing w:after="0" w:line="16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In general, we would be a USRPHC if the fair market value of our U.S. real property interests comprise at least 50% of the sum of the fair market value of our worldwide real property assets and our other assets which are used or held for use in a trade or business. We believe that we have not been and we are not, and do not anticipate becoming, a USRPHC. Even if we are treated as a USRPHC, in general, gain realized by a Non-U.S. Holder on a disposition of our common stock will not be subject to U.S. federal income tax so long as (i) such Non-U.S. Holder owned, directly, indirectly and constructively, no more than 5% of our common stock at all times within the shorter of (x) the five-year period preceding such disposition or (y) such Non-U.S. Holder’s holding period and (ii) our common stock is regularly traded on an established securities market. There can be no assurance that our common stock will continue to qualify as regularly traded on an established securities market. If we are determined to be a USRPHC and the foregoing exception does not apply, then a Non-U.S. Holder will be taxed on a disposition of our common stock, generally, in the manner as gain that is effectively connected with the conduct of a U.S. trade or business (subject to the provisions under an applicable income tax treaty), except that the branch profits tax generally will not apply.</w:t>
      </w:r>
    </w:p>
    <w:p>
      <w:pPr>
        <w:spacing w:after="0" w:line="180"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8"/>
          <w:szCs w:val="18"/>
          <w:color w:val="auto"/>
        </w:rPr>
        <w:t>A Non-U.S. Holder described in the first bullet point above generally will be subject to U.S. federal income tax on a net income basis at the regular rates, and corporate Non-U.S. Holders described in the first bullet point above may be subject to the additional branch profits tax at a 30% rate or such lower rate as may be specified by an applicable income tax treaty.</w:t>
      </w:r>
    </w:p>
    <w:p>
      <w:pPr>
        <w:spacing w:after="0" w:line="164"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Gain described in second bullet point above will be subject to U.S. federal income tax at a flat 30% rate or such lower rate as may be specified by an applicable income tax treaty, which gain may be offset by certain U.S.-source capital losses (even though the Non-U.S. Holder is not considered a resident of the United States), provided that the Non-U.S. Holder has timely filed U.S. federal income tax returns with respect to such losses.</w:t>
      </w:r>
    </w:p>
    <w:p>
      <w:pPr>
        <w:spacing w:after="0" w:line="170" w:lineRule="exact"/>
        <w:rPr>
          <w:sz w:val="20"/>
          <w:szCs w:val="20"/>
          <w:color w:val="auto"/>
        </w:rPr>
      </w:pPr>
    </w:p>
    <w:p>
      <w:pPr>
        <w:jc w:val="center"/>
        <w:ind w:right="320"/>
        <w:spacing w:after="0" w:line="448" w:lineRule="auto"/>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 199</w:t>
      </w:r>
    </w:p>
    <w:p>
      <w:pPr>
        <w:sectPr>
          <w:pgSz w:w="11900" w:h="16838" w:orient="portrait"/>
          <w:cols w:equalWidth="0" w:num="1">
            <w:col w:w="11240"/>
          </w:cols>
          <w:pgMar w:left="320" w:top="455" w:right="3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Generally, we must report information to the IRS with respect to any dividends we pay on our common stock (even if the payments are exempt from withholding), including the amount of any such dividends, the name and address of the recipient and the amount, if any, of tax withheld. A similar report is sent to the Non-U.S. Holder to whom any such dividends are paid. Pursuant to tax treaties or certain other agreements, the IRS may make its reports available to tax authorities of the country in which the Non-U.S. Holder’s resides or is established.</w:t>
      </w:r>
    </w:p>
    <w:p>
      <w:pPr>
        <w:spacing w:after="0" w:line="170"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(currently at a rate of 24%). U.S. backup withholding generally will not apply to a Non-U.S. Holder who provides a properly executed IRS Form W-8BEN, IRS Form W-8BEN-E or IRS Form W-ECI (as applicable), or otherwise establishes an exemption. Notwithstanding the foregoing, backup withholding may apply if the payer has actual knowledge, or reason to know, that the holder is a U.S. person who is not an exempt recipient.</w:t>
      </w:r>
    </w:p>
    <w:p>
      <w:pPr>
        <w:spacing w:after="0" w:line="170"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U.S. information reporting and backup withholding requirements generally will apply to the proceeds of a disposition of our common stock effected by or through a U.S. office of any broker, U.S. or foreign, except that information reporting and such requirements may be avoided if the Non-U.S.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6"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Accounts</w:t>
      </w:r>
    </w:p>
    <w:p>
      <w:pPr>
        <w:spacing w:after="0" w:line="214"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including dividends paid on, and (subject to the proposed Treasury Regulations discussed below) the gross proceeds of a disposition of, our common stock paid to a non-U.S.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U.S. federal withholding tax of 30% on certain payments, including dividends paid on, and (subject to the proposed Treasury Regulations discussed below) the gross proceeds of a disposition of, our common stock to a non-financial non-U.S.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non-U.S. financial institution or non-financial non-U.S. entity otherwise qualifies for an exemption from the rules.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455" w:right="3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740" w:firstLine="562"/>
        <w:spacing w:after="0" w:line="276" w:lineRule="auto"/>
        <w:rPr>
          <w:sz w:val="20"/>
          <w:szCs w:val="20"/>
          <w:color w:val="auto"/>
        </w:rPr>
      </w:pPr>
      <w:r>
        <w:rPr>
          <w:rFonts w:ascii="Arial" w:cs="Arial" w:eastAsia="Arial" w:hAnsi="Arial"/>
          <w:sz w:val="18"/>
          <w:szCs w:val="18"/>
          <w:color w:val="auto"/>
        </w:rPr>
        <w:t>The withholding provisions described above currently apply to payments of dividends, and, subject to the proposed Treasury Regulations described below, to payments of gross proceeds from a sale or other disposition of common stock.</w:t>
      </w:r>
    </w:p>
    <w:p>
      <w:pPr>
        <w:spacing w:after="0" w:line="145"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U.S. Treasury Department released proposed Treasury Regulations which, if finalized in their present form, would eliminate the U.S. federal withholding tax of 30% applicable to the gross proceeds of a disposition of our common stock. In its preamble to such proposed Treasury Regulations, the U.S. Treasury Department stated that taxpayers, including withholding agents, may generally rely on the proposed Treasury Regulations until final Treasury Regulations are issued. Non-U.S. Holders are encouraged to consult with their tax advisors regarding the possible implications of FATCA on their investment in our common stock.</w:t>
      </w:r>
    </w:p>
    <w:p>
      <w:pPr>
        <w:spacing w:after="0" w:line="170" w:lineRule="exact"/>
        <w:rPr>
          <w:sz w:val="20"/>
          <w:szCs w:val="20"/>
          <w:color w:val="auto"/>
        </w:rPr>
      </w:pPr>
    </w:p>
    <w:p>
      <w:pPr>
        <w:ind w:right="300" w:firstLine="562"/>
        <w:spacing w:after="0" w:line="261" w:lineRule="auto"/>
        <w:rPr>
          <w:sz w:val="20"/>
          <w:szCs w:val="20"/>
          <w:color w:val="auto"/>
        </w:rPr>
      </w:pPr>
      <w:r>
        <w:rPr>
          <w:rFonts w:ascii="Arial" w:cs="Arial" w:eastAsia="Arial" w:hAnsi="Arial"/>
          <w:sz w:val="18"/>
          <w:szCs w:val="18"/>
          <w:b w:val="1"/>
          <w:bCs w:val="1"/>
          <w:color w:val="auto"/>
        </w:rPr>
        <w:t>EACH PROSPECTIVE INVESTOR SHOULD CONSULT ITS TAX ADVISOR REGARDING THE TAX CONSEQUENCES OF PURCHASING, HOLDING AND DISPOSING OF OUR COMMON STOCK, INCLUDING THE CONSEQUENCES OF ANY RECENT OR PROPOSED CHANGE IN APPLICABLE LAW.</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80"/>
          </w:cols>
          <w:pgMar w:left="320" w:top="455" w:right="39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Morgan Stanley &amp; Co. LLC and Jefferies LLC are the representatives of the underwriters.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9200" w:type="dxa"/>
            <w:vAlign w:val="bottom"/>
            <w:vMerge w:val="restart"/>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uto"/>
            </w:tcBorders>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0"/>
        </w:trPr>
        <w:tc>
          <w:tcPr>
            <w:tcW w:w="10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100" w:type="dxa"/>
            <w:vAlign w:val="bottom"/>
            <w:gridSpan w:val="2"/>
          </w:tcPr>
          <w:p>
            <w:pPr>
              <w:spacing w:after="0" w:line="202" w:lineRule="exact"/>
              <w:rPr>
                <w:sz w:val="20"/>
                <w:szCs w:val="20"/>
                <w:color w:val="auto"/>
              </w:rPr>
            </w:pPr>
            <w:r>
              <w:rPr>
                <w:rFonts w:ascii="Arial" w:cs="Arial" w:eastAsia="Arial" w:hAnsi="Arial"/>
                <w:sz w:val="18"/>
                <w:szCs w:val="18"/>
                <w:color w:val="auto"/>
              </w:rPr>
              <w:t>Morgan Stanley &amp; Co. LLC</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Jefferies LLC</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100" w:type="dxa"/>
            <w:vAlign w:val="bottom"/>
            <w:gridSpan w:val="2"/>
          </w:tcPr>
          <w:p>
            <w:pPr>
              <w:spacing w:after="0" w:line="202" w:lineRule="exact"/>
              <w:rPr>
                <w:sz w:val="20"/>
                <w:szCs w:val="20"/>
                <w:color w:val="auto"/>
              </w:rPr>
            </w:pPr>
            <w:r>
              <w:rPr>
                <w:rFonts w:ascii="Arial" w:cs="Arial" w:eastAsia="Arial" w:hAnsi="Arial"/>
                <w:sz w:val="18"/>
                <w:szCs w:val="18"/>
                <w:color w:val="auto"/>
              </w:rPr>
              <w:t>Chardan Capital Markets, LLC</w:t>
            </w: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1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6,578,950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 The underwriting agreement also provides that if an underwriter defaults, the purchase commitments of non-defaulting underwriters may also be increased or the offering may be terminated.</w:t>
      </w:r>
    </w:p>
    <w:p>
      <w:pPr>
        <w:spacing w:after="0" w:line="164"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The underwriters have an option to buy up to an additional 986,842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4"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986,842 additional shares from 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6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8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886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Sales of shares made outside of the United States may be made by affiliates of the underwriters.</w:t>
      </w:r>
    </w:p>
    <w:p>
      <w:pPr>
        <w:spacing w:after="0" w:line="176"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70"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our common stock have agreed or will agree with the underwriters,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455" w:right="3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the representatives. See “Shares Eligible for Future Sale” for a discussion of certain transfer restrictions.</w:t>
      </w:r>
    </w:p>
    <w:p>
      <w:pPr>
        <w:spacing w:after="0" w:line="170"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The restrictions described in the immediately preceding paragraph do not apply to certain transfers, dispositions or transactions, including:</w:t>
      </w:r>
    </w:p>
    <w:p>
      <w:pPr>
        <w:spacing w:after="0" w:line="50" w:lineRule="exact"/>
        <w:rPr>
          <w:sz w:val="20"/>
          <w:szCs w:val="20"/>
          <w:color w:val="auto"/>
        </w:rPr>
      </w:pPr>
    </w:p>
    <w:p>
      <w:pPr>
        <w:ind w:left="1220" w:right="380" w:hanging="659"/>
        <w:spacing w:after="0" w:line="276" w:lineRule="auto"/>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or as a charitable contribution; provided that the donee or donees thereof agree to be bound in writing by these restrictions; and provided further, that that any such transfer shall not involve a disposition for value;</w:t>
      </w:r>
    </w:p>
    <w:p>
      <w:pPr>
        <w:spacing w:after="0" w:line="50" w:lineRule="exact"/>
        <w:rPr>
          <w:rFonts w:ascii="Arial" w:cs="Arial" w:eastAsia="Arial" w:hAnsi="Arial"/>
          <w:sz w:val="18"/>
          <w:szCs w:val="18"/>
          <w:color w:val="auto"/>
        </w:rPr>
      </w:pPr>
    </w:p>
    <w:p>
      <w:pPr>
        <w:ind w:left="1220" w:right="160" w:hanging="659"/>
        <w:spacing w:after="0" w:line="248" w:lineRule="auto"/>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holder or of any member of the immediate family of the holder, or if the holder is a trust, to a trustor, trustee (or co-trustee) or beneficiary of the trust or to the estate of the beneficiary of such trust; provided that the transferee agrees to be bound in writing by these restrictions; and provided further, that any such transfer shall not involve a disposition for value;</w:t>
      </w:r>
    </w:p>
    <w:p>
      <w:pPr>
        <w:spacing w:after="0" w:line="75" w:lineRule="exact"/>
        <w:rPr>
          <w:rFonts w:ascii="Arial" w:cs="Arial" w:eastAsia="Arial" w:hAnsi="Arial"/>
          <w:sz w:val="18"/>
          <w:szCs w:val="18"/>
          <w:color w:val="auto"/>
        </w:rPr>
      </w:pPr>
    </w:p>
    <w:p>
      <w:pPr>
        <w:ind w:left="1220" w:right="300" w:hanging="659"/>
        <w:spacing w:after="0" w:line="276" w:lineRule="auto"/>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connection with the sale of any of the holder’s shares acquired (a) in this offering (other than any of our directed shares acquired by an officer or director of ours) or (b) in open market transactions after completion of this offering;</w:t>
      </w:r>
    </w:p>
    <w:p>
      <w:pPr>
        <w:spacing w:after="0" w:line="50" w:lineRule="exact"/>
        <w:rPr>
          <w:rFonts w:ascii="Arial" w:cs="Arial" w:eastAsia="Arial" w:hAnsi="Arial"/>
          <w:sz w:val="18"/>
          <w:szCs w:val="18"/>
          <w:color w:val="auto"/>
        </w:rPr>
      </w:pPr>
    </w:p>
    <w:p>
      <w:pPr>
        <w:ind w:left="1220" w:right="20" w:hanging="659"/>
        <w:spacing w:after="0" w:line="238" w:lineRule="auto"/>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holder is a corporation, partnership, limited liability company, trust or other business entity, (a) to any corporation, partnership limited liability company or other business entity, all of the beneficial ownership interests of which, in each such case, are held by the holder, (b) to another corporation, partnership, limited liability company, trust or other business entity that is an affiliate (as defined in Rule 405 promulgated under the Securities Act of the holder or the immediate family of the holder, or to any investment fund or other entity controlling, controlled by, managing or managed by or under common control with the holder or affiliates or immediate family of the holder (including, for the avoidance of doubt, if the holder is a partnership, to its general partner or a successor partnership or fund, or any other funds managed by such partnership), or</w:t>
      </w:r>
    </w:p>
    <w:p>
      <w:pPr>
        <w:spacing w:after="0" w:line="2" w:lineRule="exact"/>
        <w:rPr>
          <w:rFonts w:ascii="Arial" w:cs="Arial" w:eastAsia="Arial" w:hAnsi="Arial"/>
          <w:sz w:val="18"/>
          <w:szCs w:val="18"/>
          <w:color w:val="auto"/>
        </w:rPr>
      </w:pPr>
    </w:p>
    <w:p>
      <w:pPr>
        <w:ind w:left="1220" w:right="80"/>
        <w:spacing w:after="0"/>
        <w:rPr>
          <w:rFonts w:ascii="Arial" w:cs="Arial" w:eastAsia="Arial" w:hAnsi="Arial"/>
          <w:sz w:val="18"/>
          <w:szCs w:val="18"/>
          <w:color w:val="auto"/>
        </w:rPr>
      </w:pPr>
      <w:r>
        <w:rPr>
          <w:rFonts w:ascii="Arial" w:cs="Arial" w:eastAsia="Arial" w:hAnsi="Arial"/>
          <w:sz w:val="18"/>
          <w:szCs w:val="18"/>
          <w:color w:val="auto"/>
        </w:rPr>
        <w:t>(c) as part of a distribution, transfer or disposition without consideration by the holder to its stockholders, partners, members, beneficiaries or other equity holders; provided, however, that in the case of any transfer or disposition contemplated by this clause (iv), it shall be a condition to the transfer or disposition that the transferee agrees to be bound in writing by these restrictions;</w:t>
      </w:r>
    </w:p>
    <w:p>
      <w:pPr>
        <w:spacing w:after="0" w:line="81" w:lineRule="exact"/>
        <w:rPr>
          <w:rFonts w:ascii="Arial" w:cs="Arial" w:eastAsia="Arial" w:hAnsi="Arial"/>
          <w:sz w:val="18"/>
          <w:szCs w:val="18"/>
          <w:color w:val="auto"/>
        </w:rPr>
      </w:pPr>
    </w:p>
    <w:p>
      <w:pPr>
        <w:ind w:left="1220" w:hanging="659"/>
        <w:spacing w:after="0" w:line="243" w:lineRule="auto"/>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surrender or forfeiture of shares of common stock or other securities of ours to us to satisfy tax withholding obligations upon exercise or vesting or the exercise price upon a cashless net exercise, in each case, of stock options, restricted stock, other equity awards, warrants or other right to acquire common stock as described in this prospectus; provided that any filing under Section 16 of the Exchange Act shall indicate in the footnotes thereto that (A) the filing relates to the applicable circumstances described in this clause and (B) no securities were sold by the holder, and no other public announcement shall be required or shall be made voluntarily in connection with such transfer;</w:t>
      </w:r>
    </w:p>
    <w:p>
      <w:pPr>
        <w:spacing w:after="0" w:line="79" w:lineRule="exact"/>
        <w:rPr>
          <w:rFonts w:ascii="Arial" w:cs="Arial" w:eastAsia="Arial" w:hAnsi="Arial"/>
          <w:sz w:val="18"/>
          <w:szCs w:val="18"/>
          <w:color w:val="auto"/>
        </w:rPr>
      </w:pPr>
    </w:p>
    <w:p>
      <w:pPr>
        <w:ind w:left="1220" w:right="500" w:hanging="659"/>
        <w:spacing w:after="0" w:line="306" w:lineRule="auto"/>
        <w:tabs>
          <w:tab w:leader="none" w:pos="12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by will or intestacy, provided that any filing made under Exchange Act shall include a footnote noting the circumstances described in this clause; and provided further, that that any such transfer shall not involve a disposition for value;</w:t>
      </w:r>
    </w:p>
    <w:p>
      <w:pPr>
        <w:spacing w:after="0" w:line="28" w:lineRule="exact"/>
        <w:rPr>
          <w:rFonts w:ascii="Arial" w:cs="Arial" w:eastAsia="Arial" w:hAnsi="Arial"/>
          <w:sz w:val="17"/>
          <w:szCs w:val="17"/>
          <w:color w:val="auto"/>
        </w:rPr>
      </w:pPr>
    </w:p>
    <w:p>
      <w:pPr>
        <w:ind w:left="1220" w:right="420" w:hanging="659"/>
        <w:spacing w:after="0" w:line="276" w:lineRule="auto"/>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any immediate family member of the holder, provided that such family member agrees to be bound in writing by these restrictions; and provided further, that that any such transfer shall not involve a disposition for value;</w:t>
      </w:r>
    </w:p>
    <w:p>
      <w:pPr>
        <w:spacing w:after="0" w:line="50" w:lineRule="exact"/>
        <w:rPr>
          <w:rFonts w:ascii="Arial" w:cs="Arial" w:eastAsia="Arial" w:hAnsi="Arial"/>
          <w:sz w:val="18"/>
          <w:szCs w:val="18"/>
          <w:color w:val="auto"/>
        </w:rPr>
      </w:pPr>
    </w:p>
    <w:p>
      <w:pPr>
        <w:ind w:left="1220" w:right="540" w:hanging="659"/>
        <w:spacing w:after="0" w:line="276" w:lineRule="auto"/>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us pursuant to an agreement under which we have (a) the option to repurchase such shares upon termination of the holder’s employment or other service relationship with us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80"/>
          </w:cols>
          <w:pgMar w:left="320" w:top="455" w:right="39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40" w:right="180"/>
        <w:spacing w:after="0" w:line="276" w:lineRule="auto"/>
        <w:rPr>
          <w:sz w:val="20"/>
          <w:szCs w:val="20"/>
          <w:color w:val="auto"/>
        </w:rPr>
      </w:pPr>
      <w:r>
        <w:rPr>
          <w:rFonts w:ascii="Arial" w:cs="Arial" w:eastAsia="Arial" w:hAnsi="Arial"/>
          <w:sz w:val="18"/>
          <w:szCs w:val="18"/>
          <w:color w:val="auto"/>
        </w:rPr>
        <w:t>pursuant to contractual agreements with us as in effect as of the date of this prospectus, and provided further, that any filing made under Exchange Act shall include a footnote noting the circumstances described in this clause;</w:t>
      </w:r>
    </w:p>
    <w:p>
      <w:pPr>
        <w:spacing w:after="0" w:line="50" w:lineRule="exact"/>
        <w:rPr>
          <w:sz w:val="20"/>
          <w:szCs w:val="20"/>
          <w:color w:val="auto"/>
        </w:rPr>
      </w:pPr>
    </w:p>
    <w:p>
      <w:pPr>
        <w:ind w:left="1220" w:hanging="659"/>
        <w:spacing w:after="0" w:line="243" w:lineRule="auto"/>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operation of law or pursuant to a court order or settlement agreement related to the distribution of assets in connection with the dissolution of a marriage, domestic partnership or civil union, provided that such transferee or distributee agrees to be bound in writing by these restrictions; and provided further, that any required filing under Section 16 of the Exchange Act shall indicate in the footnotes thereto that (A) the filing relates to the circumstances described in this clause and (B) that no securities were sold by the holder, and no other public announcement shall be made voluntarily by the holder in connection with such transfer or disposition;</w:t>
      </w:r>
    </w:p>
    <w:p>
      <w:pPr>
        <w:spacing w:after="0" w:line="79" w:lineRule="exact"/>
        <w:rPr>
          <w:rFonts w:ascii="Arial" w:cs="Arial" w:eastAsia="Arial" w:hAnsi="Arial"/>
          <w:sz w:val="18"/>
          <w:szCs w:val="18"/>
          <w:color w:val="auto"/>
        </w:rPr>
      </w:pPr>
    </w:p>
    <w:p>
      <w:pPr>
        <w:ind w:left="1220" w:right="20" w:hanging="659"/>
        <w:spacing w:after="0" w:line="245" w:lineRule="auto"/>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third party tender offer, merger, consolidation or other similar transaction made to all holders of common stock, the result of which is that any “person” of greater than 50% of the total voting power of our voting share capital after the closing of this offering and approved by our board of directors; provided that in the event that the tender offer, merger, consolidation or other such transaction is not completed, the holder’s shares shall remain subject to these restrictions;</w:t>
      </w:r>
    </w:p>
    <w:p>
      <w:pPr>
        <w:spacing w:after="0" w:line="77" w:lineRule="exact"/>
        <w:rPr>
          <w:rFonts w:ascii="Arial" w:cs="Arial" w:eastAsia="Arial" w:hAnsi="Arial"/>
          <w:sz w:val="18"/>
          <w:szCs w:val="18"/>
          <w:color w:val="auto"/>
        </w:rPr>
      </w:pPr>
    </w:p>
    <w:p>
      <w:pPr>
        <w:ind w:left="1220" w:hanging="659"/>
        <w:spacing w:after="0"/>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the prior written consent of the representatives of the underwriters on behalf of the underwriters; and</w:t>
      </w:r>
    </w:p>
    <w:p>
      <w:pPr>
        <w:spacing w:after="0" w:line="117" w:lineRule="exact"/>
        <w:rPr>
          <w:rFonts w:ascii="Arial" w:cs="Arial" w:eastAsia="Arial" w:hAnsi="Arial"/>
          <w:sz w:val="18"/>
          <w:szCs w:val="18"/>
          <w:color w:val="auto"/>
        </w:rPr>
      </w:pPr>
    </w:p>
    <w:p>
      <w:pPr>
        <w:ind w:left="1220" w:right="100" w:hanging="659"/>
        <w:spacing w:after="0" w:line="245" w:lineRule="auto"/>
        <w:tabs>
          <w:tab w:leader="none" w:pos="12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connection with the conversion of outstanding shares of our convertible preferred stock into common stock as described in this prospectus, or any reclassification or conversion of the common stock; provided that any common stock received upon such conversion or reclassification will be subject to the restrictions set forth in this paragraph; and provided further, that any required filing under Section 16 of the Exchange Act shall indicate in the footnotes thereto that the filing relates to the circumstances described in this clause;</w:t>
      </w:r>
    </w:p>
    <w:p>
      <w:pPr>
        <w:spacing w:after="0" w:line="172"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provided, that, in the case of clauses (i), (ii), (iii), (iv) and (vii) above, no filing under Section 16 of the Exchange Act reporting a reduction in beneficial ownership of the holder’s shares shall be required or shall be voluntarily made during the restricted period.</w:t>
      </w:r>
    </w:p>
    <w:p>
      <w:pPr>
        <w:spacing w:after="0" w:line="145"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Additionally, the holder may establish a trading plan pursuant to Rule 10b5-1 under the Exchange Act for the transfer of the holder’s shares, provided that such plan does not provide for any transfers of common stock during the restricted period and no filing under the Exchange Act nor any other public filing or disclosure of such trading plan shall be made during the restricted period.</w:t>
      </w:r>
    </w:p>
    <w:p>
      <w:pPr>
        <w:spacing w:after="0" w:line="164"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At our request, the underwriters have reserved up to 5% of the shares of common stock for sale at the initial public offering price to persons who are directors, executive officers or employees, or who are otherwise associated with us, through a directed share program. The number of shares of common stock available for sale to the general public will be reduced by the number of directed shares purchased by participants in the program. Any directed shares not purchased will be offered by the underwriters to the general public on the same basis as all other shares offered. Other than our directors, executive officers and employees who are subject to a 180-day lock-up, individuals who purchase shares in the directed share program will not be subject to a lock-up. We have agreed to indemnify the underwriters against certain liabilities and expenses, including liabilities under the Securities Act, in connection with the sales of the directed shares.</w:t>
      </w:r>
    </w:p>
    <w:p>
      <w:pPr>
        <w:spacing w:after="0" w:line="179"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5" w:right="3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symbol “TSHA”.</w:t>
      </w:r>
    </w:p>
    <w:p>
      <w:pPr>
        <w:spacing w:after="0" w:line="21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0"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4" w:lineRule="exact"/>
        <w:rPr>
          <w:sz w:val="20"/>
          <w:szCs w:val="20"/>
          <w:color w:val="auto"/>
        </w:rPr>
      </w:pPr>
    </w:p>
    <w:p>
      <w:pPr>
        <w:ind w:right="760" w:firstLine="562"/>
        <w:spacing w:after="0" w:line="276"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$3.0 million. We have agreed to reimburse the underwriters for certain of their expenses in an amount up to $30,000.</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w:t>
      </w:r>
    </w:p>
    <w:p>
      <w:pPr>
        <w:spacing w:after="0" w:line="212" w:lineRule="exact"/>
        <w:rPr>
          <w:sz w:val="20"/>
          <w:szCs w:val="20"/>
          <w:color w:val="auto"/>
        </w:rPr>
      </w:pPr>
    </w:p>
    <w:p>
      <w:pPr>
        <w:ind w:right="280" w:firstLine="562"/>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72" w:lineRule="exact"/>
        <w:rPr>
          <w:sz w:val="20"/>
          <w:szCs w:val="20"/>
          <w:color w:val="auto"/>
        </w:rPr>
      </w:pPr>
    </w:p>
    <w:p>
      <w:pPr>
        <w:ind w:right="640" w:firstLine="562"/>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320" w:top="455" w:right="3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7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Certain affiliates of Chardan Capital Markets, LLC purchased 333,333 shares of our Series A convertible preferred stock in our Series A convertible preferred stock financing. Those shares of Series A convertible preferred stock will convert into 363,166 shares of common stock immediately prior to and in connection with the completion of this offering.</w:t>
      </w:r>
    </w:p>
    <w:p>
      <w:pPr>
        <w:spacing w:after="0" w:line="16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related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 and United Kingdom</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or each a Relevant State, no common shares, or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9" w:lineRule="exact"/>
        <w:rPr>
          <w:sz w:val="20"/>
          <w:szCs w:val="20"/>
          <w:color w:val="auto"/>
        </w:rPr>
      </w:pPr>
    </w:p>
    <w:p>
      <w:pPr>
        <w:ind w:left="1220" w:hanging="659"/>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or</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provided that no such offer of Shares shall require us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70"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320" w:top="455" w:right="3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1220" w:right="480" w:hanging="659"/>
        <w:spacing w:after="0" w:line="248"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or the FSMA) received by it in connection with the issue or sale of the shares in circumstances in which Section 21(1) of the FSMA does not apply to us; and</w:t>
      </w:r>
    </w:p>
    <w:p>
      <w:pPr>
        <w:spacing w:after="0" w:line="75" w:lineRule="exact"/>
        <w:rPr>
          <w:rFonts w:ascii="Arial" w:cs="Arial" w:eastAsia="Arial" w:hAnsi="Arial"/>
          <w:sz w:val="18"/>
          <w:szCs w:val="18"/>
          <w:color w:val="auto"/>
        </w:rPr>
      </w:pPr>
    </w:p>
    <w:p>
      <w:pPr>
        <w:ind w:left="1220" w:right="80" w:hanging="659"/>
        <w:spacing w:after="0" w:line="276" w:lineRule="auto"/>
        <w:tabs>
          <w:tab w:leader="none" w:pos="12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0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2" w:lineRule="exact"/>
        <w:rPr>
          <w:sz w:val="20"/>
          <w:szCs w:val="20"/>
          <w:color w:val="auto"/>
        </w:rPr>
      </w:pPr>
    </w:p>
    <w:p>
      <w:pPr>
        <w:ind w:right="620" w:firstLine="562"/>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455" w:right="3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104"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104" w:lineRule="exact"/>
        <w:rPr>
          <w:sz w:val="20"/>
          <w:szCs w:val="20"/>
          <w:color w:val="auto"/>
        </w:rPr>
      </w:pPr>
    </w:p>
    <w:p>
      <w:pPr>
        <w:ind w:right="180" w:firstLine="562"/>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20"/>
          </w:cols>
          <w:pgMar w:left="320" w:top="455" w:right="3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New York, New York. Certain legal matters will be passed upon for the underwriters by Goodwin Procter LLP, Boston, Massachusetts. As of the date of this prospectus, GC&amp;H Investments, LLC, an entity consisting of current and former partners and associates of Cooley LLP, beneficially holds an aggregate of 28,839 shares of our common stock on an as-converted basis.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The financial statements as of December 31, 2019 and for the period from September 20, 2019 (date of inception) through December 31, 2019,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4"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4" w:lineRule="exact"/>
        <w:rPr>
          <w:sz w:val="20"/>
          <w:szCs w:val="20"/>
          <w:color w:val="auto"/>
        </w:rPr>
      </w:pPr>
    </w:p>
    <w:p>
      <w:pPr>
        <w:ind w:right="320" w:firstLine="562"/>
        <w:spacing w:after="0" w:line="277" w:lineRule="auto"/>
        <w:rPr>
          <w:sz w:val="20"/>
          <w:szCs w:val="20"/>
          <w:color w:val="auto"/>
        </w:rPr>
      </w:pPr>
      <w:r>
        <w:rPr>
          <w:rFonts w:ascii="Arial" w:cs="Arial" w:eastAsia="Arial" w:hAnsi="Arial"/>
          <w:sz w:val="17"/>
          <w:szCs w:val="17"/>
          <w:color w:val="auto"/>
        </w:rPr>
        <w:t xml:space="preserve">You can read our SEC filings, including the registration statement,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Upon completion of this offering, we will be subject to the information reporting requirements of the Exchange Act, and we will file reports, proxy statements and other information with the SEC. These reports, proxy statements and other information will be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47"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www.tayshagtx.com</w:t>
      </w:r>
      <w:r>
        <w:rPr>
          <w:rFonts w:ascii="Arial" w:cs="Arial" w:eastAsia="Arial" w:hAnsi="Arial"/>
          <w:sz w:val="18"/>
          <w:szCs w:val="18"/>
          <w:color w:val="auto"/>
        </w:rPr>
        <w:t>,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in this prospectus solely as an inactive textual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455" w:right="3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Financial Statements as of December 31, 2019 and for the period from September 20, 2019 (date of inception) through</w:t>
      </w:r>
    </w:p>
    <w:p>
      <w:pPr>
        <w:jc w:val="center"/>
        <w:ind w:right="-5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00" w:type="dxa"/>
            <w:vAlign w:val="bottom"/>
            <w:gridSpan w:val="4"/>
          </w:tcPr>
          <w:p>
            <w:pPr>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0700" w:type="dxa"/>
            <w:vAlign w:val="bottom"/>
            <w:gridSpan w:val="4"/>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Balance Sheet as of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0700" w:type="dxa"/>
            <w:vAlign w:val="bottom"/>
            <w:gridSpan w:val="4"/>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Statement of Operations for the period from September 20, 2019 (date of inception) through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0700" w:type="dxa"/>
            <w:vAlign w:val="bottom"/>
            <w:gridSpan w:val="4"/>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Statement of Stockholders’ Deficit for the period from September 20, 2019 (date of inception) through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700" w:type="dxa"/>
            <w:vAlign w:val="bottom"/>
            <w:gridSpan w:val="4"/>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Statement of Cash Flows for the period from September 20, 2019 (date of inception) through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700" w:type="dxa"/>
            <w:vAlign w:val="bottom"/>
            <w:gridSpan w:val="4"/>
          </w:tcPr>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Notes to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84"/>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Taysha Gene Therapies, Inc.</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80" w:type="dxa"/>
            <w:vAlign w:val="bottom"/>
          </w:tcPr>
          <w:p>
            <w:pPr>
              <w:spacing w:after="0"/>
              <w:rPr>
                <w:sz w:val="21"/>
                <w:szCs w:val="21"/>
                <w:color w:val="auto"/>
              </w:rPr>
            </w:pPr>
          </w:p>
        </w:tc>
        <w:tc>
          <w:tcPr>
            <w:tcW w:w="105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9"/>
              </w:rPr>
              <w:t>Index to Unaudited Condensed Consolidated Financial Statements as of and for the Six Months Ended June 30, 2020</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8"/>
        </w:trPr>
        <w:tc>
          <w:tcPr>
            <w:tcW w:w="10700" w:type="dxa"/>
            <w:vAlign w:val="bottom"/>
            <w:gridSpan w:val="4"/>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Condensed Consolidated Balance Sheets as of December 31, 2019 and June 30,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270"/>
        </w:trPr>
        <w:tc>
          <w:tcPr>
            <w:tcW w:w="10700" w:type="dxa"/>
            <w:vAlign w:val="bottom"/>
            <w:gridSpan w:val="4"/>
          </w:tcPr>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Condensed Consolidated Statement of Operations for the six months ended June 30,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26"/>
        </w:trPr>
        <w:tc>
          <w:tcPr>
            <w:tcW w:w="10700" w:type="dxa"/>
            <w:vAlign w:val="bottom"/>
            <w:gridSpan w:val="4"/>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Condensed Consolidated Statement of Convertible Preferred Stock and Stockholders’ Deficit for the six months ended June</w:t>
              </w:r>
            </w:hyperlink>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182"/>
        </w:trPr>
        <w:tc>
          <w:tcPr>
            <w:tcW w:w="180" w:type="dxa"/>
            <w:vAlign w:val="bottom"/>
            <w:tcBorders>
              <w:top w:val="single" w:sz="8" w:color="0000EE"/>
            </w:tcBorders>
          </w:tcPr>
          <w:p>
            <w:pPr>
              <w:spacing w:after="0"/>
              <w:rPr>
                <w:sz w:val="15"/>
                <w:szCs w:val="15"/>
                <w:color w:val="auto"/>
              </w:rPr>
            </w:pPr>
          </w:p>
        </w:tc>
        <w:tc>
          <w:tcPr>
            <w:tcW w:w="700" w:type="dxa"/>
            <w:vAlign w:val="bottom"/>
            <w:tcBorders>
              <w:top w:val="single" w:sz="8" w:color="0000EE"/>
              <w:bottom w:val="single" w:sz="8" w:color="0000EE"/>
            </w:tcBorders>
          </w:tcPr>
          <w:p>
            <w:pPr>
              <w:jc w:val="right"/>
              <w:spacing w:after="0" w:line="182" w:lineRule="exact"/>
              <w:rPr>
                <w:rFonts w:ascii="Arial" w:cs="Arial" w:eastAsia="Arial" w:hAnsi="Arial"/>
                <w:sz w:val="18"/>
                <w:szCs w:val="18"/>
                <w:color w:val="0000EE"/>
                <w:w w:val="96"/>
              </w:rPr>
            </w:pPr>
            <w:hyperlink w:anchor="page232">
              <w:r>
                <w:rPr>
                  <w:rFonts w:ascii="Arial" w:cs="Arial" w:eastAsia="Arial" w:hAnsi="Arial"/>
                  <w:sz w:val="18"/>
                  <w:szCs w:val="18"/>
                  <w:color w:val="0000EE"/>
                  <w:w w:val="96"/>
                </w:rPr>
                <w:t>30, 2020</w:t>
              </w:r>
            </w:hyperlink>
          </w:p>
        </w:tc>
        <w:tc>
          <w:tcPr>
            <w:tcW w:w="896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10700" w:type="dxa"/>
            <w:vAlign w:val="bottom"/>
            <w:gridSpan w:val="4"/>
          </w:tcPr>
          <w:p>
            <w:pPr>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Condensed Consolidated Statement of Cash Flows for the six months ended June 30, 2020</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70"/>
        </w:trPr>
        <w:tc>
          <w:tcPr>
            <w:tcW w:w="10700" w:type="dxa"/>
            <w:vAlign w:val="bottom"/>
            <w:gridSpan w:val="4"/>
          </w:tcPr>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Notes to Condensed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20" w:type="dxa"/>
            <w:vAlign w:val="bottom"/>
            <w:gridSpan w:val="2"/>
          </w:tcPr>
          <w:p>
            <w:pPr>
              <w:jc w:val="center"/>
              <w:ind w:right="34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5" w:right="39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Taysha Gene Therapies, Inc.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6"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have audited the accompanying balance sheet of Taysha Gene Therapies, Inc. (the “Company”) as of December 31, 2019, the related statements of operations, stockholders’ deficit, and cash flows for the period from September 20, 2019 (date of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September 20, 2019 (date of inception) through December 31, 2019, in conformity with accounting principles generally accepted in the United States of America.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6" w:lineRule="exact"/>
        <w:rPr>
          <w:sz w:val="20"/>
          <w:szCs w:val="20"/>
          <w:color w:val="auto"/>
        </w:rPr>
      </w:pPr>
    </w:p>
    <w:p>
      <w:pPr>
        <w:ind w:right="280" w:firstLine="562"/>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ind w:right="280" w:firstLine="562"/>
        <w:spacing w:after="0" w:line="24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July 31, 2020 (September 17, 2020 as to the effects of the</w:t>
      </w:r>
    </w:p>
    <w:p>
      <w:pPr>
        <w:spacing w:after="0"/>
        <w:rPr>
          <w:sz w:val="20"/>
          <w:szCs w:val="20"/>
          <w:color w:val="auto"/>
        </w:rPr>
      </w:pPr>
      <w:r>
        <w:rPr>
          <w:rFonts w:ascii="Arial" w:cs="Arial" w:eastAsia="Arial" w:hAnsi="Arial"/>
          <w:sz w:val="18"/>
          <w:szCs w:val="18"/>
          <w:color w:val="auto"/>
        </w:rPr>
        <w:t>stock split as described in Note 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455" w:right="3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Taysha Gene Therapies, Inc.</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600" w:type="dxa"/>
            <w:vAlign w:val="bottom"/>
          </w:tcPr>
          <w:p>
            <w:pPr>
              <w:jc w:val="center"/>
              <w:ind w:left="1550"/>
              <w:spacing w:after="0" w:line="202" w:lineRule="exact"/>
              <w:rPr>
                <w:sz w:val="20"/>
                <w:szCs w:val="20"/>
                <w:color w:val="auto"/>
              </w:rPr>
            </w:pPr>
            <w:r>
              <w:rPr>
                <w:rFonts w:ascii="Arial" w:cs="Arial" w:eastAsia="Arial" w:hAnsi="Arial"/>
                <w:sz w:val="18"/>
                <w:szCs w:val="18"/>
                <w:b w:val="1"/>
                <w:bCs w:val="1"/>
                <w:color w:val="auto"/>
              </w:rPr>
              <w:t>Balance Sheet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3"/>
        </w:trPr>
        <w:tc>
          <w:tcPr>
            <w:tcW w:w="960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9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96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96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offering costs</w:t>
            </w:r>
          </w:p>
        </w:tc>
        <w:tc>
          <w:tcPr>
            <w:tcW w:w="7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w:t>
            </w:r>
          </w:p>
        </w:tc>
      </w:tr>
      <w:tr>
        <w:trPr>
          <w:trHeight w:val="210"/>
        </w:trPr>
        <w:tc>
          <w:tcPr>
            <w:tcW w:w="96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DEFICIT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7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150</w:t>
            </w:r>
          </w:p>
        </w:tc>
      </w:tr>
      <w:tr>
        <w:trPr>
          <w:trHeight w:val="210"/>
        </w:trPr>
        <w:tc>
          <w:tcPr>
            <w:tcW w:w="9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r>
      <w:tr>
        <w:trPr>
          <w:trHeight w:val="115"/>
        </w:trPr>
        <w:tc>
          <w:tcPr>
            <w:tcW w:w="9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 - Note 8</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deficit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0"/>
        </w:trPr>
        <w:tc>
          <w:tcPr>
            <w:tcW w:w="96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Common stock, $0.00001 par value per share; 10,895,000 shares authorized, 10,894,999 issued and outstanding</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9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December 31, 2019</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980</w:t>
            </w: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(1,115)</w:t>
            </w:r>
          </w:p>
        </w:tc>
      </w:tr>
      <w:tr>
        <w:trPr>
          <w:trHeight w:val="217"/>
        </w:trPr>
        <w:tc>
          <w:tcPr>
            <w:tcW w:w="960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3"/>
        </w:trPr>
        <w:tc>
          <w:tcPr>
            <w:tcW w:w="9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 and stockholders’ deficit</w:t>
            </w:r>
          </w:p>
        </w:tc>
        <w:tc>
          <w:tcPr>
            <w:tcW w:w="7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15</w:t>
            </w:r>
          </w:p>
        </w:tc>
      </w:tr>
      <w:tr>
        <w:trPr>
          <w:trHeight w:val="20"/>
        </w:trPr>
        <w:tc>
          <w:tcPr>
            <w:tcW w:w="9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5"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r>
      <w:tr>
        <w:trPr>
          <w:trHeight w:val="162"/>
        </w:trPr>
        <w:tc>
          <w:tcPr>
            <w:tcW w:w="10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from</w:t>
            </w:r>
          </w:p>
        </w:tc>
      </w:t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20,</w:t>
            </w: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2019 (date of</w:t>
            </w: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inception) to</w:t>
            </w:r>
          </w:p>
        </w:tc>
      </w:tr>
      <w:tr>
        <w:trPr>
          <w:trHeight w:val="162"/>
        </w:trPr>
        <w:tc>
          <w:tcPr>
            <w:tcW w:w="10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10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10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1014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987</w:t>
            </w:r>
          </w:p>
        </w:tc>
      </w:tr>
      <w:tr>
        <w:trPr>
          <w:trHeight w:val="203"/>
        </w:trPr>
        <w:tc>
          <w:tcPr>
            <w:tcW w:w="10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128</w:t>
            </w:r>
          </w:p>
        </w:tc>
      </w:tr>
      <w:tr>
        <w:trPr>
          <w:trHeight w:val="210"/>
        </w:trPr>
        <w:tc>
          <w:tcPr>
            <w:tcW w:w="101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8"/>
                <w:szCs w:val="18"/>
                <w:color w:val="auto"/>
              </w:rPr>
            </w:pPr>
          </w:p>
        </w:tc>
      </w:tr>
      <w:tr>
        <w:trPr>
          <w:trHeight w:val="20"/>
        </w:trPr>
        <w:tc>
          <w:tcPr>
            <w:tcW w:w="10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10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(1,115)</w:t>
            </w:r>
          </w:p>
        </w:tc>
      </w:tr>
      <w:tr>
        <w:trPr>
          <w:trHeight w:val="20"/>
        </w:trPr>
        <w:tc>
          <w:tcPr>
            <w:tcW w:w="10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01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r>
      <w:tr>
        <w:trPr>
          <w:trHeight w:val="20"/>
        </w:trPr>
        <w:tc>
          <w:tcPr>
            <w:tcW w:w="10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0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 basic and diluted</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9,625,679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5" w:right="3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Deficit</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6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3"/>
        </w:trPr>
        <w:tc>
          <w:tcPr>
            <w:tcW w:w="4900" w:type="dxa"/>
            <w:vAlign w:val="bottom"/>
          </w:tcPr>
          <w:p>
            <w:pPr>
              <w:spacing w:after="0"/>
              <w:rPr>
                <w:sz w:val="7"/>
                <w:szCs w:val="7"/>
                <w:color w:val="auto"/>
              </w:rPr>
            </w:pPr>
          </w:p>
        </w:tc>
        <w:tc>
          <w:tcPr>
            <w:tcW w:w="1660" w:type="dxa"/>
            <w:vAlign w:val="bottom"/>
            <w:tcBorders>
              <w:bottom w:val="single" w:sz="8" w:color="auto"/>
            </w:tcBorders>
            <w:gridSpan w:val="4"/>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9"/>
        </w:trPr>
        <w:tc>
          <w:tcPr>
            <w:tcW w:w="4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490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Amount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58"/>
        </w:trPr>
        <w:tc>
          <w:tcPr>
            <w:tcW w:w="490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8"/>
                <w:szCs w:val="18"/>
                <w:b w:val="1"/>
                <w:bCs w:val="1"/>
                <w:color w:val="auto"/>
              </w:rPr>
              <w:t>Balance as of September 20, 2019 (date of</w:t>
            </w:r>
          </w:p>
        </w:tc>
        <w:tc>
          <w:tcPr>
            <w:tcW w:w="96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Issuance of Founders Shares</w:t>
            </w: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8,715,999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Issuance of common stock for UT Southwestern</w:t>
            </w: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2,179,000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980</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96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(1,115)</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10,894,999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980</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(1,115)</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5" w:right="3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20,</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2019 (date of</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62"/>
        </w:trPr>
        <w:tc>
          <w:tcPr>
            <w:tcW w:w="10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10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1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140" w:type="dxa"/>
            <w:vAlign w:val="bottom"/>
          </w:tcPr>
          <w:p>
            <w:pPr>
              <w:ind w:left="360"/>
              <w:spacing w:after="0" w:line="202" w:lineRule="exact"/>
              <w:rPr>
                <w:sz w:val="20"/>
                <w:szCs w:val="20"/>
                <w:color w:val="auto"/>
              </w:rPr>
            </w:pPr>
            <w:r>
              <w:rPr>
                <w:rFonts w:ascii="Arial" w:cs="Arial" w:eastAsia="Arial" w:hAnsi="Arial"/>
                <w:sz w:val="18"/>
                <w:szCs w:val="18"/>
                <w:color w:val="auto"/>
              </w:rPr>
              <w:t>Noncash research and development license expense</w:t>
            </w:r>
          </w:p>
        </w:tc>
        <w:tc>
          <w:tcPr>
            <w:tcW w:w="2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14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101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at the beginning of the period</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0140" w:type="dxa"/>
            <w:vAlign w:val="bottom"/>
          </w:tcPr>
          <w:p>
            <w:pPr>
              <w:spacing w:after="0"/>
              <w:rPr>
                <w:sz w:val="20"/>
                <w:szCs w:val="20"/>
                <w:color w:val="auto"/>
              </w:rPr>
            </w:pPr>
            <w:r>
              <w:rPr>
                <w:rFonts w:ascii="Arial" w:cs="Arial" w:eastAsia="Arial" w:hAnsi="Arial"/>
                <w:sz w:val="18"/>
                <w:szCs w:val="18"/>
                <w:b w:val="1"/>
                <w:bCs w:val="1"/>
                <w:color w:val="auto"/>
              </w:rPr>
              <w:t>Cash at the end of the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0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140" w:type="dxa"/>
            <w:vAlign w:val="bottom"/>
          </w:tcPr>
          <w:p>
            <w:pPr>
              <w:spacing w:after="0"/>
              <w:rPr>
                <w:sz w:val="20"/>
                <w:szCs w:val="20"/>
                <w:color w:val="auto"/>
              </w:rPr>
            </w:pPr>
            <w:r>
              <w:rPr>
                <w:rFonts w:ascii="Arial" w:cs="Arial" w:eastAsia="Arial" w:hAnsi="Arial"/>
                <w:sz w:val="18"/>
                <w:szCs w:val="18"/>
                <w:color w:val="auto"/>
              </w:rPr>
              <w:t>Deferred offering costs not yet paid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5" w:right="3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 Operations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Taysha Gene Therapies, Inc. (the “Company” or “Taysha”) was originally formed under the laws of the State of Texas 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September 20, 2019 (“Inception”). Taysha converted to a Delaware corporation on February 13, 2020, which had no impact to the Company’s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 value or issued and authorized capital structure.</w:t>
      </w:r>
    </w:p>
    <w:p>
      <w:pPr>
        <w:spacing w:after="0" w:line="190"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Taysha is a patient-centric gene therapy company focused on developing and commercializing AAV-based gene therapies for the treatment of monogenic diseases of the central nervous system (“CNS”) in both rare and large patient populations.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The Company has incurred operating losses since Inception, and expects to continue to incur significant operating losses for the foreseeable future and may never become profitable. As of December 31, 2019, the Company had an accumulated deficit of $1.1 million.</w:t>
      </w:r>
    </w:p>
    <w:p>
      <w:pPr>
        <w:spacing w:after="0" w:line="145" w:lineRule="exact"/>
        <w:rPr>
          <w:sz w:val="20"/>
          <w:szCs w:val="20"/>
          <w:color w:val="auto"/>
        </w:rPr>
      </w:pPr>
    </w:p>
    <w:p>
      <w:pPr>
        <w:ind w:right="340" w:firstLine="562"/>
        <w:spacing w:after="0" w:line="255" w:lineRule="auto"/>
        <w:rPr>
          <w:sz w:val="20"/>
          <w:szCs w:val="20"/>
          <w:color w:val="auto"/>
        </w:rPr>
      </w:pPr>
      <w:r>
        <w:rPr>
          <w:rFonts w:ascii="Arial" w:cs="Arial" w:eastAsia="Arial" w:hAnsi="Arial"/>
          <w:sz w:val="18"/>
          <w:szCs w:val="18"/>
          <w:color w:val="auto"/>
        </w:rPr>
        <w:t>Between March and July 2020, the Company closed on the sale of an aggregate of 10,000,000 shares of Series A convertible preferred stock for gross proceeds of $30.0 million. In July 2020, the Company closed on the sale of an aggregate of 5,623,520 shares of Series B convertible preferred stock for gross proceeds of approximately $95.6 million.</w:t>
      </w:r>
    </w:p>
    <w:p>
      <w:pPr>
        <w:spacing w:after="0" w:line="164"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Due to the sale of its Series A and Series B convertible preferred stock, management believes that its existing financial resources are sufficient to continue operating activities at least one year past the issuance date of these financial statements. 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at terms acceptable to the Company.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(“GAAP”) and include all adjustments necessary for the fair presentation of the Company’s financial position for the period presented.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04" w:lineRule="exact"/>
        <w:rPr>
          <w:sz w:val="20"/>
          <w:szCs w:val="20"/>
          <w:color w:val="auto"/>
        </w:rPr>
      </w:pPr>
    </w:p>
    <w:p>
      <w:pPr>
        <w:ind w:right="220" w:firstLine="562"/>
        <w:spacing w:after="0" w:line="24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statements upon adoption. Under the Jumpstart Our Business Startups Act of 2012, as amended,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5" w:right="3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estimating preclinical manufacturing accruals and accrued or prepaid research and development expenses, and the valuation allowance of deferred tax assets.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70"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as a single operating segment, which is the business of developing AAV-based gene therapies for the treatment of rare monogenic diseases of the CNS.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capitalizes certain legal, professional, accounting and other third-party fees that are directly</w:t>
      </w:r>
    </w:p>
    <w:p>
      <w:pPr>
        <w:spacing w:after="0" w:line="1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associated with in-process equity financings as deferred offering costs until such financings are consummated. After consummation of the equity financing, these costs are recorded in stockholders’ deficit as a reduction of additional paid-in capital generated as a result of the equity financing. Should the in-process equity financing be abandoned, the deferred offering costs will be expensed immediately as a charge to operating expenses in the statement of operations. As of December 31, 2019, $15,000 of deferred offering costs were capitalized on the balance sheet related to the Company’s Series A convertible preferred stock financing that closed in March 2020 (see Note 9).</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320" w:top="455" w:right="3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Company has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The Company records accruals for estimated ongoing research costs. When evaluating the adequacy of the accrued liabilities, the Company analyzes progress of the studies, including the phase or completion of events, invoices received and contracted costs.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costs primarily consist of laboratory costs and other supplies, and the cost to acquire licenses.</w:t>
      </w:r>
    </w:p>
    <w:p>
      <w:pPr>
        <w:spacing w:after="0" w:line="212"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 xml:space="preserve">Income taxes are recorded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(“NOL”) carryforwards and research and development tax credit (“R&amp;D Credit”) carryforwards. Valuation allowances are provided, if based upon the weight of available evidence, it is more likely than not that some or all of the deferred tax assets will not be realized. The Company has recorded a full valuation allowance to reduce its net deferred income tax assets to zero. In the event the Company were to determine that it would be able to realize some or all its deferred income tax assets in the future, an adjustment to the deferred income tax asset valuation allowance would increase income in the period such determination was made.</w:t>
      </w:r>
    </w:p>
    <w:p>
      <w:pPr>
        <w:spacing w:after="0" w:line="180"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At December 31, 2019, the Company had no liability for income tax associated with uncertain tax positions. The Company would recognize any corresponding interest and penalties associated with its income tax positions in income tax expense. There was no income tax interest or penalties incurred in 2019 since Inception.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300" w:firstLine="562"/>
        <w:spacing w:after="0" w:line="276" w:lineRule="auto"/>
        <w:rPr>
          <w:sz w:val="20"/>
          <w:szCs w:val="20"/>
          <w:color w:val="auto"/>
        </w:rPr>
      </w:pPr>
      <w:r>
        <w:rPr>
          <w:rFonts w:ascii="Arial" w:cs="Arial" w:eastAsia="Arial" w:hAnsi="Arial"/>
          <w:sz w:val="18"/>
          <w:szCs w:val="18"/>
          <w:color w:val="auto"/>
        </w:rPr>
        <w:t>Comprehensive loss is equal to net loss as presented in the accompanying statement of operations, as the Company did not have any other comprehensive income or loss for the period presented.</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320" w:top="455" w:right="37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shares outstanding during the period. Diluted net loss per share is the same as basic net loss per share, since the effects of potentially dilutive securities are antidilutive given the Company has reported a net loss in 2019 since Inception. There were no potentially dilutive securities outstanding at any point during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 xml:space="preserve">In May 2014, the FASB issued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This guidance applies to any entity that either enters into contracts with customers to transfer goods or services or enters into contracts for the transfer of nonfinancial assets unless those contracts are within the scope of other standards. The core principle of this guidance is that an entity should recognize revenue to depict the transfer of promised goods or services to customers in an amount that reflects the consideration to which the entity expects to be entitled in exchange for those goods or services. This guidance supersedes existing revenue recognition guidance, including most industry-specific guidance, as well as certain related guidance on accounting for contract costs. The Company early adopted ASC 606 upon its Inception. As the Company does not have any contracts with customers, the adoption of this guidance did not have any impact on the Company’s financial statements.</w:t>
      </w:r>
    </w:p>
    <w:p>
      <w:pPr>
        <w:spacing w:after="0" w:line="18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 xml:space="preserve">In June 2018, the FASB issued Accounting Standards Update (“ASU”) No. 2018-07,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(Topic 718) (“ASU 2018-07”). This update is intended to reduce cost and complexity and to improve financial reporting for share-based payments issued to non-employees (for example, service providers, external legal counsel, suppliers, etc.). The ASU expands the scope of Topic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ASU 2018-07 upon its Inception. The adoption of this ASU did not have a material effect on the Company’s financial statements at Inception. The Company applied this accounting pronouncement to the issuance of shares to the Board of Regents of the University of Texas System (see Note 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with guidance regarding the accounting for and disclosure of leases. This update requires lessees to recognize the liabilities related to all leases, including operating leases, with a term greater than 12 months on the balance sheet.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Company is currently evaluating the impact of this standard on its financial statements.</w:t>
      </w:r>
    </w:p>
    <w:p>
      <w:pPr>
        <w:spacing w:after="0" w:line="174" w:lineRule="exact"/>
        <w:rPr>
          <w:sz w:val="20"/>
          <w:szCs w:val="20"/>
          <w:color w:val="auto"/>
        </w:rPr>
      </w:pPr>
    </w:p>
    <w:p>
      <w:pPr>
        <w:ind w:right="480" w:firstLine="562"/>
        <w:spacing w:after="0" w:line="248"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and interim periods within those fiscal years,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455" w:right="3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beginning after December 15, 2020, with early adoption permitted. The Company is currently evaluating the impact of this standard on its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3—Research, Collaboration and License Agreements</w:t>
      </w:r>
    </w:p>
    <w:p>
      <w:pPr>
        <w:spacing w:after="0" w:line="106"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On November 19, 2019, the Company entered into a research, collaboration and license agreement (“UT Southwestern Agreement”) with the Board of Regents of the University of Texas System (“UT System”) on behalf of The University of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0"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79"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172"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As partial consideration for the license rights granted under the UT Southwestern Agreement, the Company 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 In 2019, total pass-through costs related to the UT Southwestern Agreement totaled approximately $16,000.</w:t>
      </w:r>
    </w:p>
    <w:p>
      <w:pPr>
        <w:spacing w:after="0" w:line="179"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color w:val="auto"/>
        </w:rPr>
        <w:t>The Company also has the right of first refusal for any shares that UT Southwestern wishes to sell that expires upon an initial public offering or change of control of the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455" w:right="35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The fair value of the shares issued was determined to be $980,000 which was recorded as an increase to common stock and additional paid-in capital and a corresponding research and development expense during the period from Inception through December 31, 2019. The cost to acquire this license is recorded within research and development expense in the statement of operations because the license relates to specific preclinical research and development activities that do not have an alternative future use. As the acquisition of the license was settled through the issuance of shares of the Company’s common stock, this transaction fell within the scope of ASC Topic 718 since equity was issued in exchange for goods (the license). Specifically, the Company recorded the cost of the license as a non-employee share based payment, measured at the grant date fair value of the common stock of $0.45 per share. The common shares were equity-classified. The anti-dilution provision was concluded to represent a performance condition tied to a future liquidity event, which was not considered probable of occurring at December 31, 2019 since it was deemed outside of the Company’s control.</w:t>
      </w:r>
    </w:p>
    <w:p>
      <w:pPr>
        <w:spacing w:after="0" w:line="176"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Since there is an absence of a public trading market for the Company’s common stock, the valuation of the common stock issued to UT System was performed using methodologies, approaches, and assumptions consistent with the American Institute of Certified Public Accountants Audit and Accounting Practice Aid Series: Valuation of Privately-Held-Company Equity Securities Issued as Compensation. The estimated fair value of the Company’s common stock was determined with the assistance of a third-party specialist using an Option-Pricing Method (“OPM”). Under the OPM, the Company used a backsolve method so that the enterprise value equaled the contemplated value of the Company determined by the Series A convertible preferred stock financing transaction which initially closed on March 4, 2020 (see Note 9), and giving consideration to any value-generating events that may have occurred between March 4, 2020 and the date the common shares were issued to UT System on November 19, 2019. A discount for lack of marketability (“DLOM”) of 20% was applied to derive the valuation price. The DLOM used was derived from the then-current estimates of the time to a liquidity event made by the Company’s board of directors, with input from the Company’s senior management. The estimates are based, in part, on subjective assumptions.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4—Research Grant Agreement</w:t>
      </w:r>
    </w:p>
    <w:p>
      <w:pPr>
        <w:spacing w:after="0" w:line="106"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In late December 2019, the Company entered into a research grant agreement (“RGA”) with Queen’s University at Kingston (“Queen’s”), for certain research and development activities related to the generation of AAV9 vector. The Company committed to fund $3.8 million under the RGA with Queen’s. The Company agreed to issue Queen’s a promise-to-pay note whereby any amounts paid directly by Queen’s for the manufacture of the vector for use in the funded research activities, to the extent such amounts have not already been funded by the Company to Queen’s, become a loan obligation for the Company (the “Note”), subject to an interest rate of 6%. Any amounts outstanding under the Note must be repaid, along with any accrued interest, by or before June 30, 2020. In the event of default, any amount outstanding shall be deemed immediately payable by RA Session II, the Company’s President and Chief Executive Officer, as a personal guarantor (see Note 5). For the period from Inception through December 31, 2019, the Company did not incur any expenses associated with the Queen’s RGA, and no amounts were due or outstanding under the Note as of December 31,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5—Related Party Transactions</w:t>
      </w:r>
    </w:p>
    <w:p>
      <w:pPr>
        <w:spacing w:after="0" w:line="106"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RA Session II, President and Chief Executive Officer and a member of the Company’s board of directors, is a guarantor under the Guaranty and Security Agreement between himself, Queen’s and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5" w:right="3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the Company, and in the event of the Company’s failure to fund its obligations under the RGA with Queen’s, has personally guaranteed payments due by the Company to Queen’s.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6—Stockholders’ Deficit</w:t>
      </w:r>
    </w:p>
    <w:p>
      <w:pPr>
        <w:spacing w:after="0" w:line="106"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At December 31, 2019, the Company was authorized to issue 10,895,000 shares of common stock with a par value of $0.00001 per share. RA Session II and one other individual were issued 8,661,524 and 54,475 shares of the Company’s common stock (“Founders Shares”), respectively, upon the formation of the Company on September 20, 2019. RA Session II and the other individual had not paid the Company for the aggregate par value, which approximated fair value at Inception, for these Founders Shares as of December 31, 2019. All amounts owed for the issuance of these Founders Shares were settled in July 2020.</w:t>
      </w:r>
    </w:p>
    <w:p>
      <w:pPr>
        <w:spacing w:after="0" w:line="172"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On November 19, 2019, the Company issued 2,179,000 shares of the Company’s common stock to UT System in exchange for a license agreement. The fair value of the shares on the date of issuance was $980,000 in the aggregate.</w:t>
      </w:r>
    </w:p>
    <w:p>
      <w:pPr>
        <w:spacing w:after="0" w:line="145" w:lineRule="exact"/>
        <w:rPr>
          <w:sz w:val="20"/>
          <w:szCs w:val="20"/>
          <w:color w:val="auto"/>
        </w:rPr>
      </w:pPr>
    </w:p>
    <w:p>
      <w:pPr>
        <w:ind w:right="220" w:firstLine="562"/>
        <w:spacing w:after="0" w:line="276" w:lineRule="auto"/>
        <w:rPr>
          <w:sz w:val="20"/>
          <w:szCs w:val="20"/>
          <w:color w:val="auto"/>
        </w:rPr>
      </w:pPr>
      <w:r>
        <w:rPr>
          <w:rFonts w:ascii="Arial" w:cs="Arial" w:eastAsia="Arial" w:hAnsi="Arial"/>
          <w:sz w:val="18"/>
          <w:szCs w:val="18"/>
          <w:color w:val="auto"/>
        </w:rPr>
        <w:t>Except for the issuance of common stock to UT System in connection with the UT Southwestern Agreement, the Company did not grant any equity-based awards during the period from its Inception through December 31, 2019.</w:t>
      </w:r>
    </w:p>
    <w:p>
      <w:pPr>
        <w:spacing w:after="0" w:line="145"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 Company amended its certificate of incorporation on March 4, 2020, July 2, 2020 and again on July 28, 2020 such that the total number of shares of common stock authorized to be issued was increased to 32,685,000, and the total number of shares of preferred stock authorized to be issued was increased to 15,647,052, of which 10,000,000 preferred shares are designated Series A preferred stock and 5,647,052 are designated Series B preferred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02"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 and valuation allowance</w:t>
      </w:r>
    </w:p>
    <w:p>
      <w:pPr>
        <w:spacing w:after="0" w:line="10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Deferred tax assets reflect the tax effects of NOLs, tax credit carryovers, and temporary differences between the carrying amounts of assets and liabilities for financial reporting purposes and the amounts used for income tax purposes. At December 31, 2019, the Company’s most significant deferred tax asset is intangible costs capitalized for income tax purposes but expensed for financial reporting. At December 31, 2019, the Company had no U.S. federal and state NOL carryforwards.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statutory federal income tax rate to the Company’s effective tax rate is as follows:</w:t>
      </w:r>
    </w:p>
    <w:p>
      <w:pPr>
        <w:sectPr>
          <w:pgSz w:w="11900" w:h="16838" w:orient="portrait"/>
          <w:cols w:equalWidth="0" w:num="1">
            <w:col w:w="11240"/>
          </w:cols>
          <w:pgMar w:left="320" w:top="4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significant components of the Company’s net deferred tax asset are as follows (in thousands):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Organizational and start-up costs</w:t>
      </w:r>
    </w:p>
    <w:p>
      <w:pPr>
        <w:ind w:left="360"/>
        <w:spacing w:after="0" w:line="235" w:lineRule="auto"/>
        <w:rPr>
          <w:sz w:val="20"/>
          <w:szCs w:val="20"/>
          <w:color w:val="auto"/>
        </w:rPr>
      </w:pPr>
      <w:r>
        <w:rPr>
          <w:rFonts w:ascii="Arial" w:cs="Arial" w:eastAsia="Arial" w:hAnsi="Arial"/>
          <w:sz w:val="18"/>
          <w:szCs w:val="18"/>
          <w:color w:val="auto"/>
        </w:rPr>
        <w:t>R&amp;D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For the period from</w:t>
      </w:r>
    </w:p>
    <w:p>
      <w:pPr>
        <w:spacing w:after="0" w:line="2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September 20, 2019</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(date of inception) to</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December 31, 2019</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21.0%</w:t>
      </w:r>
    </w:p>
    <w:p>
      <w:pPr>
        <w:jc w:val="right"/>
        <w:ind w:right="4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9086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9086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9086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179"/>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p>
      <w:pPr>
        <w:jc w:val="center"/>
        <w:ind w:left="-179"/>
        <w:spacing w:after="0"/>
        <w:rPr>
          <w:sz w:val="20"/>
          <w:szCs w:val="20"/>
          <w:color w:val="auto"/>
        </w:rPr>
      </w:pPr>
      <w:r>
        <w:rPr>
          <w:rFonts w:ascii="Arial" w:cs="Arial" w:eastAsia="Arial" w:hAnsi="Arial"/>
          <w:sz w:val="14"/>
          <w:szCs w:val="14"/>
          <w:b w:val="1"/>
          <w:bCs w:val="1"/>
          <w:color w:val="auto"/>
        </w:rPr>
        <w:t>2019</w:t>
      </w:r>
    </w:p>
    <w:p>
      <w:pPr>
        <w:spacing w:after="0" w:line="176" w:lineRule="exact"/>
        <w:rPr>
          <w:sz w:val="20"/>
          <w:szCs w:val="20"/>
          <w:color w:val="auto"/>
        </w:rPr>
      </w:pPr>
    </w:p>
    <w:p>
      <w:pPr>
        <w:ind w:left="1380" w:hanging="747"/>
        <w:spacing w:after="0"/>
        <w:tabs>
          <w:tab w:leader="none" w:pos="1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28</w:t>
      </w:r>
    </w:p>
    <w:p>
      <w:pPr>
        <w:spacing w:after="0" w:line="17" w:lineRule="exact"/>
        <w:rPr>
          <w:rFonts w:ascii="Arial" w:cs="Arial" w:eastAsia="Arial" w:hAnsi="Arial"/>
          <w:sz w:val="18"/>
          <w:szCs w:val="18"/>
          <w:color w:val="auto"/>
        </w:rPr>
      </w:pPr>
    </w:p>
    <w:p>
      <w:pPr>
        <w:ind w:left="1280"/>
        <w:spacing w:after="0" w:line="235" w:lineRule="auto"/>
        <w:rPr>
          <w:rFonts w:ascii="Arial" w:cs="Arial" w:eastAsia="Arial" w:hAnsi="Arial"/>
          <w:sz w:val="18"/>
          <w:szCs w:val="18"/>
          <w:color w:val="auto"/>
        </w:rPr>
      </w:pPr>
      <w:r>
        <w:rPr>
          <w:rFonts w:ascii="Arial" w:cs="Arial" w:eastAsia="Arial" w:hAnsi="Arial"/>
          <w:sz w:val="18"/>
          <w:szCs w:val="18"/>
          <w:color w:val="auto"/>
        </w:rPr>
        <w:t>206</w:t>
      </w:r>
    </w:p>
    <w:p>
      <w:pPr>
        <w:spacing w:after="0" w:line="1" w:lineRule="exact"/>
        <w:rPr>
          <w:sz w:val="20"/>
          <w:szCs w:val="20"/>
          <w:color w:val="auto"/>
        </w:rPr>
      </w:pPr>
    </w:p>
    <w:p>
      <w:pPr>
        <w:sectPr>
          <w:pgSz w:w="11900" w:h="16838" w:orient="portrait"/>
          <w:cols w:equalWidth="0" w:num="2">
            <w:col w:w="8820" w:space="720"/>
            <w:col w:w="1700"/>
          </w:cols>
          <w:pgMar w:left="320" w:top="45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10180" w:type="dxa"/>
            <w:vAlign w:val="bottom"/>
          </w:tcPr>
          <w:p>
            <w:pPr>
              <w:spacing w:after="0"/>
              <w:rPr>
                <w:sz w:val="20"/>
                <w:szCs w:val="20"/>
                <w:color w:val="auto"/>
              </w:rPr>
            </w:pPr>
            <w:r>
              <w:rPr>
                <w:rFonts w:ascii="Arial" w:cs="Arial" w:eastAsia="Arial" w:hAnsi="Arial"/>
                <w:sz w:val="18"/>
                <w:szCs w:val="18"/>
                <w:color w:val="auto"/>
              </w:rPr>
              <w:t>Total deferred income tax assets</w:t>
            </w: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03"/>
        </w:trPr>
        <w:tc>
          <w:tcPr>
            <w:tcW w:w="10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(234)</w:t>
            </w:r>
          </w:p>
        </w:tc>
      </w:tr>
      <w:tr>
        <w:trPr>
          <w:trHeight w:val="210"/>
        </w:trPr>
        <w:tc>
          <w:tcPr>
            <w:tcW w:w="1018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r>
      <w:tr>
        <w:trPr>
          <w:trHeight w:val="20"/>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00" w:firstLine="562"/>
        <w:spacing w:after="0" w:line="248" w:lineRule="auto"/>
        <w:rPr>
          <w:sz w:val="20"/>
          <w:szCs w:val="20"/>
          <w:color w:val="auto"/>
        </w:rPr>
      </w:pPr>
      <w:r>
        <w:rPr>
          <w:rFonts w:ascii="Arial" w:cs="Arial" w:eastAsia="Arial" w:hAnsi="Arial"/>
          <w:sz w:val="18"/>
          <w:szCs w:val="18"/>
          <w:color w:val="auto"/>
        </w:rPr>
        <w:t>The Company may be entitled to claim federal and state income tax credits for its 2019 R&amp;D activities, but these amounts have not yet been determined. Any R&amp;D Credits generated by the Company in 2019 would result in an additional deferred tax asset that would be subject to a full valuation allowance. Future changes in ownership may limit the utilization of R&amp;D Credits due to Section 383 of the Internal Revenue Code of 1986, as amended, and similar provisions.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initial tax year was 2019, which remains open for the assessment of income taxes.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the Company was not a party to any leasing agreements.</w:t>
      </w:r>
    </w:p>
    <w:p>
      <w:pPr>
        <w:spacing w:after="0" w:line="212" w:lineRule="exact"/>
        <w:rPr>
          <w:sz w:val="20"/>
          <w:szCs w:val="20"/>
          <w:color w:val="auto"/>
        </w:rPr>
      </w:pPr>
    </w:p>
    <w:p>
      <w:pPr>
        <w:jc w:val="both"/>
        <w:ind w:right="400" w:firstLine="562"/>
        <w:spacing w:after="0" w:line="255"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December 31, 2019. The Company does not anticipate recognizing any significant losses relating to these arrangements.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5" w:right="339" w:bottom="1440" w:gutter="0" w:footer="0" w:header="0"/>
          <w:type w:val="continuous"/>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106" w:lineRule="exact"/>
        <w:rPr>
          <w:sz w:val="20"/>
          <w:szCs w:val="20"/>
          <w:color w:val="auto"/>
        </w:rPr>
      </w:pPr>
    </w:p>
    <w:p>
      <w:pPr>
        <w:ind w:right="440" w:firstLine="562"/>
        <w:spacing w:after="0" w:line="255" w:lineRule="auto"/>
        <w:rPr>
          <w:sz w:val="20"/>
          <w:szCs w:val="20"/>
          <w:color w:val="auto"/>
        </w:rPr>
      </w:pPr>
      <w:r>
        <w:rPr>
          <w:rFonts w:ascii="Arial" w:cs="Arial" w:eastAsia="Arial" w:hAnsi="Arial"/>
          <w:sz w:val="18"/>
          <w:szCs w:val="18"/>
          <w:color w:val="auto"/>
        </w:rPr>
        <w:t>The Company has evaluated subsequent events through July 31, 2020, the date that these financial statements were originally issued, and, with respect to the stock split described below, through September 17, 2020. Except for the matters disclosed below and in Note 6, no additional subsequent events had occurred that would require recognition or disclosure in these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02"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18"/>
          <w:szCs w:val="18"/>
          <w:color w:val="auto"/>
        </w:rPr>
        <w:t>In January 2020, the Company entered into a secured promissory note with a related party, its President and Chief Executive Officer, RA Session II, for $1.67 million, with 10% interest. The Company secured the note with a first priority security interest in certain assets of the Company. During March 2020, the Company repaid $1.65 million of the note, and the remaining balance was repaid in July 2020. As a result, Mr. Session released his security interest in the collateral.</w:t>
      </w:r>
    </w:p>
    <w:p>
      <w:pPr>
        <w:spacing w:after="0" w:line="17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In March 2020, the Company entered into a services agreement with PBM Capital Group, LLC, an affiliate of PBM TGT Holdings, LLC (the lead investor in the Company’s Series A preferred stock financing discussed below, and who has the ability to designate two members of the Company’s board of directors), whereby PBM Capital Group, LLC provides accounting and other administrative and management services related to payroll administration, human resources, bookkeeping, preparation of financial statements and tax returns, accounts payable and receivable, and other similar functions for a fee of $2,500 per month.</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02"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(the “Licensed Technology” and,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and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177"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On April 2, 2020, the Company amended the UT Southwestern Agreement to include the addition of another licensed product and certain indications, and a right of first refusal to the Company over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455" w:right="3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certain patient dosing patents. No additional consideration was transferred in connection with this amendment.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 Financing Arrangements</w:t>
      </w:r>
    </w:p>
    <w:p>
      <w:pPr>
        <w:spacing w:after="0" w:line="102"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On March 4, 2020, the Company issued and sold 6,000,000 shares of its Series A convertible preferred stock for $18.0 million, or $3.00 per share. The Company also agreed to sell an additional 4,000,000 shares of its Series A convertible preferred stock to these same investors for the same price per share upon the attainment of certain defined clinical milestones. Moreover, such investors had the right, in their sole discretion, to purchase any or all such additional shares whether or not the Company achieved the specified milestones. In June and July 2020, such investors exercised in full their option to purchase these additional shares prior to the achievement of such milestones, and the Company issued and sold to such investors an aggregate of 4,000,000 shares of Series A convertible preferred stock at a purchase price of $3.00 per share for aggregate gross proceeds of $12.0 million. The Company issued and sold 8,166,667 shares to PBM TGT Holdings, LLC and 1,000,000 shares issued to Nolan Capital, LLC which are controlled by members of the Company’s board of directors.</w:t>
      </w:r>
    </w:p>
    <w:p>
      <w:pPr>
        <w:spacing w:after="0" w:line="180"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In July 2020, the Company entered into a purchase agreement (the “Series B Purchase Agreement”) for a private placement of up to 5,647,052 shares of Series B convertible preferred stock. As of July 31, 2020, the Company had sold 5,623,520 of Series B convertible preferred stock at a price of $ 17.00 per share in multiple closings during the month of July for gross proceeds of approximately $95.6 million. The majority of investors that participated in the Series B Purchase Agreement were new investors.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102" w:lineRule="exact"/>
        <w:rPr>
          <w:sz w:val="20"/>
          <w:szCs w:val="20"/>
          <w:color w:val="auto"/>
        </w:rPr>
      </w:pPr>
    </w:p>
    <w:p>
      <w:pPr>
        <w:jc w:val="both"/>
        <w:ind w:right="40" w:firstLine="562"/>
        <w:spacing w:after="0" w:line="248" w:lineRule="auto"/>
        <w:rPr>
          <w:sz w:val="20"/>
          <w:szCs w:val="20"/>
          <w:color w:val="auto"/>
        </w:rPr>
      </w:pPr>
      <w:r>
        <w:rPr>
          <w:rFonts w:ascii="Arial" w:cs="Arial" w:eastAsia="Arial" w:hAnsi="Arial"/>
          <w:sz w:val="18"/>
          <w:szCs w:val="18"/>
          <w:color w:val="auto"/>
        </w:rPr>
        <w:t>On July 1, 2020, the Company’s board of directors approved the 2020 Equity Incentive Plan (“2020 Plan”) which permits the granting of incentive stock options, non-statutory stock options, stock appreciation rights, restricted stock, restricted stock units and other stock-based awards to employees, directors, officers and consultants. On July 1, 2020, 3,529,412 shares of common stock were authorized for issuance under the 2020 Plan.</w:t>
      </w:r>
    </w:p>
    <w:p>
      <w:pPr>
        <w:spacing w:after="0" w:line="170"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On July 1, 2020, options to purchase 2,896,782 shares of common stock under the 2020 Plan were awarded to certain employees and consultants of the Company with an exercise price per share of $0.80, which are generally expected to vest over a 4-year term. RA Session II was also awarded 769,058 restricted stock awards under the 2020 Plan on July 1, 2020, which are expected to vest over a 3-year term.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During the early months of 2020, COVID-19 emerged and has subsequently spread world-wide. The World Health Organization has declared COVID-19 a pandemic resulting in federal, state and local governments and private entities mediating various restrictions, including travel restrictions, restrictions on public gatherings, stay at home orders, and advisories and quarantining people who may have been exposed to the virus. Management is currently evaluating the impact of the COVID-19 pandemic on its future plans and has concluded that while it is reasonably possible that the virus could have a negative effect on the Company’s financial position and results of its operations, the specific impact is not readily determinable as of the date of these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455" w:right="3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On September 16, 2020, the Company effected a 1.0895-for-one stock split of its authorized, issued and outstanding shares of common stock and a proportional adjustment to the existing conversion ratios for each series of the Company’s convertible preferred stock discussed above. Accordingly, all share and per share amounts for the period presented in the accompanying financial statements and notes thereto have been adjusted retroactively, where applicable, to reflect this stock split and adjustment of the convertible preferred stock conversion ratios. On September 16, 2020, the Company also increased the number of shares of common stock authorized for issuance under the 2020 Plan to 3,845,294.</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80"/>
          </w:cols>
          <w:pgMar w:left="320" w:top="455" w:right="39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74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83"/>
        </w:trPr>
        <w:tc>
          <w:tcPr>
            <w:tcW w:w="74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11,200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11,299</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74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11,318</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1,250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1,603</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Due to related party</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61</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Preferred stock tranche liability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17,176</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7"/>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4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20,090</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7"/>
        </w:trPr>
        <w:tc>
          <w:tcPr>
            <w:tcW w:w="740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20,090</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 - Note 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b w:val="1"/>
                <w:bCs w:val="1"/>
                <w:color w:val="auto"/>
              </w:rPr>
              <w:t>Convertible preferred stock</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0"/>
        </w:trPr>
        <w:tc>
          <w:tcPr>
            <w:tcW w:w="74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Series A convertible preferred stock, $0.00001 par value per share; no shares authorized,</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and outstanding as of December 31, 2019; 10,000,000 shares authorized,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6,200,000 shares issued and outstanding as of June 30, 2020; no shares authorized,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5"/>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or outstanding pro forma as of June 30, 2020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18,014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deficit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0"/>
        </w:trPr>
        <w:tc>
          <w:tcPr>
            <w:tcW w:w="74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Common stock, $0.00001 par value per share; 10,895,000 authorized, 10,894,999 issued</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outstanding as of December 31, 2019; 25,058,500 shares authorized, 10,894,999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and outstanding as of June 30, 2020; 25,058,500 shares authorized, 17,649,898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5"/>
        </w:trPr>
        <w:tc>
          <w:tcPr>
            <w:tcW w:w="7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pro forma as of June 30, 2020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980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980</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18,994</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8"/>
              </w:rPr>
              <w:t>(27,766)</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(27,766)</w:t>
            </w:r>
          </w:p>
        </w:tc>
      </w:tr>
      <w:tr>
        <w:trPr>
          <w:trHeight w:val="217"/>
        </w:trPr>
        <w:tc>
          <w:tcPr>
            <w:tcW w:w="740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(26,786)</w:t>
            </w:r>
          </w:p>
        </w:tc>
        <w:tc>
          <w:tcPr>
            <w:tcW w:w="5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20" w:type="dxa"/>
            <w:vAlign w:val="bottom"/>
          </w:tcPr>
          <w:p>
            <w:pPr>
              <w:spacing w:after="0"/>
              <w:rPr>
                <w:sz w:val="18"/>
                <w:szCs w:val="18"/>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 convertible preferred stock and stockholders’ deficit</w:t>
            </w:r>
          </w:p>
        </w:tc>
        <w:tc>
          <w:tcPr>
            <w:tcW w:w="4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11,318</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5" w:right="3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7"/>
        </w:trPr>
        <w:tc>
          <w:tcPr>
            <w:tcW w:w="10100" w:type="dxa"/>
            <w:vAlign w:val="bottom"/>
          </w:tcPr>
          <w:p>
            <w:pPr>
              <w:spacing w:after="0"/>
              <w:rPr>
                <w:sz w:val="15"/>
                <w:szCs w:val="15"/>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83"/>
        </w:trPr>
        <w:tc>
          <w:tcPr>
            <w:tcW w:w="10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10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10"/>
        </w:trPr>
        <w:tc>
          <w:tcPr>
            <w:tcW w:w="1010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10100" w:type="dxa"/>
            <w:vAlign w:val="bottom"/>
          </w:tcPr>
          <w:p>
            <w:pPr>
              <w:ind w:left="7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0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10"/>
        </w:trPr>
        <w:tc>
          <w:tcPr>
            <w:tcW w:w="101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(26,651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1010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10,894,999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common share,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10100" w:type="dxa"/>
            <w:vAlign w:val="bottom"/>
            <w:vMerge w:val="restart"/>
          </w:tcPr>
          <w:p>
            <w:pPr>
              <w:spacing w:after="0"/>
              <w:rPr>
                <w:sz w:val="20"/>
                <w:szCs w:val="20"/>
                <w:color w:val="auto"/>
              </w:rPr>
            </w:pPr>
            <w:r>
              <w:rPr>
                <w:rFonts w:ascii="Arial" w:cs="Arial" w:eastAsia="Arial" w:hAnsi="Arial"/>
                <w:sz w:val="18"/>
                <w:szCs w:val="18"/>
                <w:color w:val="auto"/>
              </w:rPr>
              <w:t>Pro forma weighted-average shares outstanding,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15,170,389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5" w:right="3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Convertible Preferred Stock and Stockholders’ Deficit</w:t>
      </w:r>
    </w:p>
    <w:p>
      <w:pPr>
        <w:jc w:val="center"/>
        <w:ind w:right="-39"/>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00"/>
          </w:cols>
          <w:pgMar w:left="320" w:top="455" w:right="379" w:bottom="1440" w:gutter="0" w:footer="0" w:header="0"/>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Series A</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56"/>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680" w:type="dxa"/>
            <w:vAlign w:val="bottom"/>
            <w:tcBorders>
              <w:top w:val="single" w:sz="8" w:color="auto"/>
            </w:tcBorders>
          </w:tcPr>
          <w:p>
            <w:pPr>
              <w:ind w:left="460"/>
              <w:spacing w:after="0" w:line="143" w:lineRule="exact"/>
              <w:rPr>
                <w:sz w:val="20"/>
                <w:szCs w:val="20"/>
                <w:color w:val="auto"/>
              </w:rPr>
            </w:pPr>
            <w:r>
              <w:rPr>
                <w:rFonts w:ascii="Arial" w:cs="Arial" w:eastAsia="Arial" w:hAnsi="Arial"/>
                <w:sz w:val="14"/>
                <w:szCs w:val="14"/>
                <w:b w:val="1"/>
                <w:bCs w:val="1"/>
                <w:color w:val="auto"/>
              </w:rPr>
              <w:t>—</w:t>
            </w:r>
          </w:p>
        </w:tc>
        <w:tc>
          <w:tcPr>
            <w:tcW w:w="160" w:type="dxa"/>
            <w:vAlign w:val="bottom"/>
            <w:gridSpan w:val="2"/>
          </w:tcPr>
          <w:p>
            <w:pPr>
              <w:spacing w:after="0"/>
              <w:rPr>
                <w:sz w:val="12"/>
                <w:szCs w:val="12"/>
                <w:color w:val="auto"/>
              </w:rPr>
            </w:pPr>
          </w:p>
        </w:tc>
        <w:tc>
          <w:tcPr>
            <w:tcW w:w="10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Issuance of Series A convertible preferred stock, net of</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Arial" w:cs="Arial" w:eastAsia="Arial" w:hAnsi="Arial"/>
                <w:sz w:val="14"/>
                <w:szCs w:val="14"/>
                <w:color w:val="auto"/>
              </w:rPr>
              <w:t>issuance costs of $440 and issuance of preferred stock</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Arial" w:cs="Arial" w:eastAsia="Arial" w:hAnsi="Arial"/>
                <w:sz w:val="14"/>
                <w:szCs w:val="14"/>
                <w:color w:val="auto"/>
              </w:rPr>
              <w:t>tranche liability of $1,050</w:t>
            </w:r>
          </w:p>
        </w:tc>
        <w:tc>
          <w:tcPr>
            <w:tcW w:w="700" w:type="dxa"/>
            <w:vAlign w:val="bottom"/>
            <w:gridSpan w:val="2"/>
          </w:tcPr>
          <w:p>
            <w:pPr>
              <w:jc w:val="center"/>
              <w:spacing w:after="0"/>
              <w:rPr>
                <w:sz w:val="20"/>
                <w:szCs w:val="20"/>
                <w:color w:val="auto"/>
              </w:rPr>
            </w:pPr>
            <w:r>
              <w:rPr>
                <w:rFonts w:ascii="Arial" w:cs="Arial" w:eastAsia="Arial" w:hAnsi="Arial"/>
                <w:sz w:val="14"/>
                <w:szCs w:val="14"/>
                <w:color w:val="auto"/>
              </w:rPr>
              <w:t>6,200,000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17,110</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Reclassification of preferred stock tranche liability upon</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ind w:left="160"/>
              <w:spacing w:after="0"/>
              <w:rPr>
                <w:sz w:val="20"/>
                <w:szCs w:val="20"/>
                <w:color w:val="auto"/>
              </w:rPr>
            </w:pPr>
            <w:r>
              <w:rPr>
                <w:rFonts w:ascii="Arial" w:cs="Arial" w:eastAsia="Arial" w:hAnsi="Arial"/>
                <w:sz w:val="14"/>
                <w:szCs w:val="14"/>
                <w:color w:val="auto"/>
              </w:rPr>
              <w:t>issuance of Series A milestone shares</w:t>
            </w:r>
          </w:p>
        </w:tc>
        <w:tc>
          <w:tcPr>
            <w:tcW w:w="8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20"/>
                <w:szCs w:val="20"/>
                <w:color w:val="auto"/>
              </w:rPr>
            </w:pPr>
            <w:r>
              <w:rPr>
                <w:rFonts w:ascii="Arial" w:cs="Arial" w:eastAsia="Arial" w:hAnsi="Arial"/>
                <w:sz w:val="14"/>
                <w:szCs w:val="14"/>
                <w:color w:val="auto"/>
              </w:rPr>
              <w:t>Net loss</w:t>
            </w:r>
          </w:p>
        </w:tc>
        <w:tc>
          <w:tcPr>
            <w:tcW w:w="8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20"/>
                <w:szCs w:val="20"/>
                <w:color w:val="auto"/>
              </w:rPr>
            </w:pPr>
            <w:r>
              <w:rPr>
                <w:rFonts w:ascii="Arial" w:cs="Arial" w:eastAsia="Arial" w:hAnsi="Arial"/>
                <w:sz w:val="14"/>
                <w:szCs w:val="14"/>
                <w:b w:val="1"/>
                <w:bCs w:val="1"/>
                <w:color w:val="auto"/>
              </w:rPr>
              <w:t>Balance as of June 30, 2020</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6,200,000</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3030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132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800" w:type="dxa"/>
            <w:vAlign w:val="bottom"/>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4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10,894,999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ind w:left="660"/>
              <w:spacing w:after="0"/>
              <w:rPr>
                <w:sz w:val="20"/>
                <w:szCs w:val="20"/>
                <w:color w:val="auto"/>
              </w:rPr>
            </w:pPr>
            <w:r>
              <w:rPr>
                <w:rFonts w:ascii="Arial" w:cs="Arial" w:eastAsia="Arial" w:hAnsi="Arial"/>
                <w:sz w:val="14"/>
                <w:szCs w:val="14"/>
                <w:b w:val="1"/>
                <w:bCs w:val="1"/>
                <w:color w:val="auto"/>
                <w:w w:val="94"/>
              </w:rPr>
              <w:t>980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(1,115)</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2"/>
        </w:trPr>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(26,651)</w:t>
            </w:r>
          </w:p>
        </w:tc>
        <w:tc>
          <w:tcPr>
            <w:tcW w:w="1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(26,651)</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10,894,999</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b w:val="1"/>
                <w:bCs w:val="1"/>
                <w:color w:val="auto"/>
                <w:w w:val="94"/>
              </w:rPr>
              <w:t>980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(27,766)</w:t>
            </w:r>
          </w:p>
        </w:tc>
        <w:tc>
          <w:tcPr>
            <w:tcW w:w="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300"/>
            <w:col w:w="5280"/>
          </w:cols>
          <w:pgMar w:left="320" w:top="455" w:right="379" w:bottom="1440" w:gutter="0" w:footer="0" w:header="0"/>
          <w:type w:val="continuous"/>
        </w:sectPr>
      </w:pP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320" w:top="455" w:right="379" w:bottom="1440" w:gutter="0" w:footer="0" w:header="0"/>
          <w:type w:val="continuous"/>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62"/>
        </w:trPr>
        <w:tc>
          <w:tcPr>
            <w:tcW w:w="98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9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7"/>
        </w:trPr>
        <w:tc>
          <w:tcPr>
            <w:tcW w:w="98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preferred stock tranche liability</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17,030</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 license expense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986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9860" w:type="dxa"/>
            <w:vAlign w:val="bottom"/>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9"/>
        </w:trPr>
        <w:tc>
          <w:tcPr>
            <w:tcW w:w="9860" w:type="dxa"/>
            <w:vAlign w:val="bottom"/>
          </w:tcPr>
          <w:p>
            <w:pPr>
              <w:ind w:left="720"/>
              <w:spacing w:after="0" w:line="202" w:lineRule="exact"/>
              <w:rPr>
                <w:sz w:val="20"/>
                <w:szCs w:val="20"/>
                <w:color w:val="auto"/>
              </w:rPr>
            </w:pPr>
            <w:r>
              <w:rPr>
                <w:rFonts w:ascii="Arial" w:cs="Arial" w:eastAsia="Arial" w:hAnsi="Arial"/>
                <w:sz w:val="18"/>
                <w:szCs w:val="18"/>
                <w:color w:val="auto"/>
              </w:rPr>
              <w:t>Due to related party</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77"/>
        </w:trPr>
        <w:tc>
          <w:tcPr>
            <w:tcW w:w="9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research and development license</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0"/>
        </w:trPr>
        <w:tc>
          <w:tcPr>
            <w:tcW w:w="986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9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Proceeds from issuances of Series A convertible preferred stock</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18,600</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Series A convertible preferred stock issuance costs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Proceeds from notes payable to related party</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 of note payable to related party</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0"/>
        </w:trPr>
        <w:tc>
          <w:tcPr>
            <w:tcW w:w="986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increase in cash and cash equivalents</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09"/>
        </w:trPr>
        <w:tc>
          <w:tcPr>
            <w:tcW w:w="9860" w:type="dxa"/>
            <w:vAlign w:val="bottom"/>
          </w:tcPr>
          <w:p>
            <w:pPr>
              <w:spacing w:after="0" w:line="202" w:lineRule="exact"/>
              <w:rPr>
                <w:sz w:val="20"/>
                <w:szCs w:val="20"/>
                <w:color w:val="auto"/>
              </w:rPr>
            </w:pPr>
            <w:r>
              <w:rPr>
                <w:rFonts w:ascii="Arial" w:cs="Arial" w:eastAsia="Arial" w:hAnsi="Arial"/>
                <w:sz w:val="18"/>
                <w:szCs w:val="18"/>
                <w:b w:val="1"/>
                <w:bCs w:val="1"/>
                <w:color w:val="auto"/>
              </w:rPr>
              <w:t>Cash at the beginning of the period</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at the end of the period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11,200</w:t>
            </w:r>
          </w:p>
        </w:tc>
        <w:tc>
          <w:tcPr>
            <w:tcW w:w="0" w:type="dxa"/>
            <w:vAlign w:val="bottom"/>
          </w:tcPr>
          <w:p>
            <w:pPr>
              <w:spacing w:after="0"/>
              <w:rPr>
                <w:sz w:val="1"/>
                <w:szCs w:val="1"/>
                <w:color w:val="auto"/>
              </w:rPr>
            </w:pPr>
          </w:p>
        </w:tc>
      </w:tr>
      <w:tr>
        <w:trPr>
          <w:trHeight w:val="20"/>
        </w:trPr>
        <w:tc>
          <w:tcPr>
            <w:tcW w:w="98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8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offering costs not yet paid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Capital expenditures not yet paid</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 convertible preferred stock issuance costs not yet paid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9860" w:type="dxa"/>
            <w:vAlign w:val="bottom"/>
          </w:tcPr>
          <w:p>
            <w:pPr>
              <w:spacing w:after="0" w:line="202" w:lineRule="exact"/>
              <w:rPr>
                <w:sz w:val="20"/>
                <w:szCs w:val="20"/>
                <w:color w:val="auto"/>
              </w:rPr>
            </w:pPr>
            <w:r>
              <w:rPr>
                <w:rFonts w:ascii="Arial" w:cs="Arial" w:eastAsia="Arial" w:hAnsi="Arial"/>
                <w:sz w:val="18"/>
                <w:szCs w:val="18"/>
                <w:color w:val="auto"/>
              </w:rPr>
              <w:t>Reclassification of preferred stock tranche liability upon share issuance</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3"/>
        </w:trPr>
        <w:tc>
          <w:tcPr>
            <w:tcW w:w="9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Allocation of preferred stock tranche liability</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5" w:right="3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 Operations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Taysha Gene Therapies, Inc. (the “Company” or “Taysha”) was originally formed under the laws of the State of Texas 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September 20, 2019 (“Inception”). Taysha converted to a Delaware corporation on February 13, 2020, which had no impact to the Company’s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 value or issued and authorized capital structure.</w:t>
      </w:r>
    </w:p>
    <w:p>
      <w:pPr>
        <w:spacing w:after="0" w:line="190"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Taysha is a patient-centric gene therapy company focused on developing and commercializing AAV-based gene therapies for the treatment of monogenic diseases of the central nervous system in both rare and large patient populations.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480" w:firstLine="562"/>
        <w:spacing w:after="0" w:line="276" w:lineRule="auto"/>
        <w:rPr>
          <w:sz w:val="20"/>
          <w:szCs w:val="20"/>
          <w:color w:val="auto"/>
        </w:rPr>
      </w:pPr>
      <w:r>
        <w:rPr>
          <w:rFonts w:ascii="Arial" w:cs="Arial" w:eastAsia="Arial" w:hAnsi="Arial"/>
          <w:sz w:val="18"/>
          <w:szCs w:val="18"/>
          <w:color w:val="auto"/>
        </w:rPr>
        <w:t>The Company has incurred operating losses since Inception, and expects to continue to incur significant operating losses for the foreseeable future and may never become profitable. As of June 30, 2020, the Company had an accumulated deficit of $27.8 million.</w:t>
      </w:r>
    </w:p>
    <w:p>
      <w:pPr>
        <w:spacing w:after="0" w:line="145" w:lineRule="exact"/>
        <w:rPr>
          <w:sz w:val="20"/>
          <w:szCs w:val="20"/>
          <w:color w:val="auto"/>
        </w:rPr>
      </w:pPr>
    </w:p>
    <w:p>
      <w:pPr>
        <w:ind w:right="460" w:firstLine="562"/>
        <w:spacing w:after="0" w:line="255" w:lineRule="auto"/>
        <w:rPr>
          <w:sz w:val="20"/>
          <w:szCs w:val="20"/>
          <w:color w:val="auto"/>
        </w:rPr>
      </w:pPr>
      <w:r>
        <w:rPr>
          <w:rFonts w:ascii="Arial" w:cs="Arial" w:eastAsia="Arial" w:hAnsi="Arial"/>
          <w:sz w:val="18"/>
          <w:szCs w:val="18"/>
          <w:color w:val="auto"/>
        </w:rPr>
        <w:t>Between March and July 2020, the Company closed on the sale of an aggregate of 10,000,000 shares of Series A convertible preferred stock for gross proceeds of $30.0 million. Between July and August 2020, the Company closed on the sale of an aggregate of 5,647,048 shares of Series B convertible preferred stock for gross proceeds of $96.0 million (see Note 10).</w:t>
      </w:r>
    </w:p>
    <w:p>
      <w:pPr>
        <w:spacing w:after="0" w:line="164"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Due to the sale of its Series A and Series B convertible preferred stock, management believes that its existing financial resources are sufficient to continue operating activities at least one year past the issuance date of these interim condensed consolidated financial statements. 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at terms acceptable to the Company.</w:t>
      </w:r>
    </w:p>
    <w:p>
      <w:pPr>
        <w:spacing w:after="0" w:line="174"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During the early months of 2020, COVID-19 emerged and has subsequently spread worldwide. The World Health Organization has declared COVID-19 a pandemic resulting in federal, state and local governments and private entities implementing various restrictions, including travel restrictions, restrictions on public gatherings, stay at home orders, and advisories and quarantining people who may have been exposed to the virus. The Company has been actively monitoring the novel coronavirus (“COVID-19”) situation and its impact globally. Management believes the financial results for the six months ended June 30, 2020 were not significantly impacted by COVID-19. In addition, management believes the remote working arrangements and travel restrictions imposed by various governmental jurisdictions have had limited impact on the Company’s ability to maintain internal operations during the six months ended June 30, 2020.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COVID-19.</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5" w:right="3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6"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The accompanying interim condensed consolidated financial statements have been prepared in accordance with generally accepted accounting principles in the United States of America (“GAAP”) as determined by the Financial Accounting Standards Board (“FASB”) Accounting Standards Codification (“ASC”).</w:t>
      </w:r>
    </w:p>
    <w:p>
      <w:pPr>
        <w:spacing w:after="0" w:line="164" w:lineRule="exact"/>
        <w:rPr>
          <w:sz w:val="20"/>
          <w:szCs w:val="20"/>
          <w:color w:val="auto"/>
        </w:rPr>
      </w:pPr>
    </w:p>
    <w:p>
      <w:pPr>
        <w:ind w:right="60" w:firstLine="562"/>
        <w:spacing w:after="0" w:line="306" w:lineRule="auto"/>
        <w:rPr>
          <w:sz w:val="20"/>
          <w:szCs w:val="20"/>
          <w:color w:val="auto"/>
        </w:rPr>
      </w:pPr>
      <w:r>
        <w:rPr>
          <w:rFonts w:ascii="Arial" w:cs="Arial" w:eastAsia="Arial" w:hAnsi="Arial"/>
          <w:sz w:val="17"/>
          <w:szCs w:val="17"/>
          <w:color w:val="auto"/>
        </w:rPr>
        <w:t>The accompanying interim condensed consolidated financial statements include the accounts of Taysha and its inactive wholly owned U.S. subsidiaries that were incorporated during 2020. All intercompany transactions and balances have been eliminated in consolidation.</w:t>
      </w:r>
    </w:p>
    <w:p>
      <w:pPr>
        <w:spacing w:after="0" w:line="123"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The accompanying condensed consolidated balance sheet as of June 30, 2020, the condensed consolidated statements of operations, convertible preferred stock and stockholders’ deficit, and cash flows for the six months ended June 30, 2020, are unaudited. The interim condensed consolidated financial statements have been prepared on the same basis as the audited annual financial statements and, in management’s opinion, include all adjustments consisting of only normal recurring adjustments necessary for the fair statement of the Company’s financial position as of June 30, 2020 and its results of operations and cash flows for the six months ended June 30, 2020. The results of operations for the six months ended June 30, 2020 are not necessarily indicative of the results to be expected for the full fiscal year or any other period.</w:t>
      </w:r>
    </w:p>
    <w:p>
      <w:pPr>
        <w:spacing w:after="0" w:line="179"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financial statements for the period from September 20, 2019 (date of inception) through December 31, 2019 included elsewhere in this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6"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These estimates and assumptions are based on current facts, historical experience as well as other pertinent industry and regulatory authority information, including the potential future effects of COVID-19,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06"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The Company’s significant accounting policies are disclosed in the audited financial statements as of December 31, 2019 and for the period from September 20, 2019 (date of inception) through December 31, 2019 included elsewhere in this prospectus. Since the date of those financial statements, there have been no changes to the Company’s significant accounting policies except as noted below.</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Cash and cash equivalents consist of funds held in a standard checking account. The Company considers all highly liquid investments with an original maturity of three months or less at the date 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5" w:right="3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purchase to be cash equivalents. As of June 30, 2020, the Company does not have any cash equivalents.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 xml:space="preserve">The Company’s financial assets and liabilities are accounted for in accordance with ASC 820, </w:t>
      </w:r>
      <w:r>
        <w:rPr>
          <w:rFonts w:ascii="Arial" w:cs="Arial" w:eastAsia="Arial" w:hAnsi="Arial"/>
          <w:sz w:val="18"/>
          <w:szCs w:val="18"/>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defines fair value as the exchange price that would be received for an asset or paid to transfer a liability (an exit price)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quoted prices in active markets for identical assets or liabilities.</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in which there is little or no market data, which require the reporting entity to develop its own assumptions.</w:t>
      </w:r>
    </w:p>
    <w:p>
      <w:pPr>
        <w:spacing w:after="0" w:line="21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carrying values reported in the Company’s condensed consolidated balance sheet for cash and cash equivalents, accounts payable, and accrued expenses are reasonable estimates of their fair values due to the short-term nature of these items.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for further information about Level 3 inputs.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Deferred offering costs consist of legal fees incurred through the balance sheet date that are directly related to the Series B convertible preferred stock offering and planned initial public offering (“IPO”) and will be reflected as issuance costs upon the completion of the planned offerings. Should the planned offerings prove to be unsuccessful, these deferred costs as well as any additional expenses to be incurred will be charged to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320" w:top="455" w:right="3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Property and equipment are stated at cost less accumulated depreciation and consist solely of computer equipment. Depreciation expense is recognized using the straight-line method over its estimated useful life of 3 years.</w:t>
      </w:r>
    </w:p>
    <w:p>
      <w:pPr>
        <w:spacing w:after="0" w:line="145" w:lineRule="exact"/>
        <w:rPr>
          <w:sz w:val="20"/>
          <w:szCs w:val="20"/>
          <w:color w:val="auto"/>
        </w:rPr>
      </w:pPr>
    </w:p>
    <w:p>
      <w:pPr>
        <w:jc w:val="both"/>
        <w:ind w:right="20" w:firstLine="562"/>
        <w:spacing w:after="0" w:line="276"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The Company evaluates its long-lived assets, which consist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six months ended June 30,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7"/>
          <w:szCs w:val="17"/>
          <w:color w:val="auto"/>
        </w:rPr>
        <w:t xml:space="preserve">The Company records shares of convertible preferred stock at their respective fair values on the dates of issuance, net of issuance costs. The Company has applied the guidance in ASC 480-10-S99-3A, </w:t>
      </w:r>
      <w:r>
        <w:rPr>
          <w:rFonts w:ascii="Arial" w:cs="Arial" w:eastAsia="Arial" w:hAnsi="Arial"/>
          <w:sz w:val="17"/>
          <w:szCs w:val="17"/>
          <w:i w:val="1"/>
          <w:iCs w:val="1"/>
          <w:color w:val="auto"/>
        </w:rPr>
        <w:t>SEC Staff Announcement: Classification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Redeemable Securities </w:t>
      </w:r>
      <w:r>
        <w:rPr>
          <w:rFonts w:ascii="Arial" w:cs="Arial" w:eastAsia="Arial" w:hAnsi="Arial"/>
          <w:sz w:val="17"/>
          <w:szCs w:val="17"/>
          <w:color w:val="auto"/>
        </w:rPr>
        <w:t>and has therefore classified the Series A convertible preferred stock as mezzanine equity. The convertible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is recorded outside of stockholders’ deficit because, in the event of certain deemed liquidation events considered not solely within the Company’s control, such as a merger, acquisition and sale of all or substantially all of the Company’s assets (a “Deemed Liquidation Event”), the convertible preferred stock will become redeemable at the option of the holders. In the event of a change of control of the Company, proceeds received from the sale of such shares will be distributed in accordance with the liquidation preferences set forth in the Company’s Amended and Restated Certificate of Incorporation. The Company has determined not to adjust the carrying values of the convertible preferred stock to the liquidation preferences of such shares because of the uncertainty of whether or when such an event would occur.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Tranche Liability</w:t>
      </w:r>
    </w:p>
    <w:p>
      <w:pPr>
        <w:spacing w:after="0" w:line="104"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The Company has determined that its obligation to issue, and the Company’s investors’ right to purchase, additional shares of Series A convertible preferred stock pursuant to the milestone closings (see Note 5) represent a freestanding financial instrument (the “tranche liability”). The tranche liability was initially recorded at fair value. The proceeds from the sale of the convertible preferred stock are first allocated to the fair value of the tranche liability with the remaining proceeds from the sale of the convertible preferred stock allocated to the Series A convertible preferred stock. The tranche liability is remeasured at each reporting period and upon the exercise or expiration of the obligation, with gains and losses arising from subsequent changes in its fair value recognized in other expense in the condensed consolidated statement of operations. At the time of the exercise or expiration of the tranche liability, any remaining value of the tranche liability is reclassified to convertible preferred stock on the condensed consolidated balance sheet.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80"/>
          </w:cols>
          <w:pgMar w:left="320" w:top="455" w:right="39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Immediately prior to the completion of an IPO of the Company’s common stock, all outstanding shares of the Company’s convertible preferred stock will automatically convert into shares of its common stock. Pro forma basic and diluted net loss per common share has been computed to give effect to the automatic conversion of all outstanding shares of the Company’s convertible preferred stock into shares of its common stock. The unaudited pro forma net loss per common share for the six months ended June 30, 2020 has been computed using the weighted-average number of shares of common stock outstanding, including the pro forma effect of the automatic conversion of all outstanding shares of the Company’s convertible preferred stock into shares of its common stock as if the IPO had occurred at the beginning of the period or their issuance dates, if later. The pro forma basic and diluted net loss per common share does not include (i) the issuance of 3,800,000 shares of the Company’s Series A convertible preferred stock and 5,647,048 shares of the Company’s Series B convertible preferred stock sold subsequent to June 30, 2020 (see Note 10), and the conversion of these preferred shares into an aggregate of 10,292,511 shares of common stock, and (ii) the shares of common stock expected to be sold in, and related proceeds to be received from, the IPO.</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with guidance regarding the accounting for and disclosure of leases. This update requires lessees to recognize the liabilities related to all leases, including operating leases, with a term greater than 12 months on the balance sheet.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Company is currently evaluating the impact of this standard on its interim condensed consolidated financial statements.</w:t>
      </w:r>
    </w:p>
    <w:p>
      <w:pPr>
        <w:spacing w:after="0" w:line="174" w:lineRule="exact"/>
        <w:rPr>
          <w:sz w:val="20"/>
          <w:szCs w:val="20"/>
          <w:color w:val="auto"/>
        </w:rPr>
      </w:pPr>
    </w:p>
    <w:p>
      <w:pPr>
        <w:ind w:right="300" w:firstLine="562"/>
        <w:spacing w:after="0" w:line="26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interim condensed consolidated 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3—Supplemental Financial Information</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r>
      <w:tr>
        <w:trPr>
          <w:trHeight w:val="177"/>
        </w:trPr>
        <w:tc>
          <w:tcPr>
            <w:tcW w:w="4140" w:type="dxa"/>
            <w:vAlign w:val="bottom"/>
            <w:tcBorders>
              <w:bottom w:val="single" w:sz="8" w:color="CCEEFF"/>
            </w:tcBorders>
          </w:tcPr>
          <w:p>
            <w:pPr>
              <w:spacing w:after="0"/>
              <w:rPr>
                <w:sz w:val="15"/>
                <w:szCs w:val="15"/>
                <w:color w:val="auto"/>
              </w:rPr>
            </w:pPr>
          </w:p>
        </w:tc>
        <w:tc>
          <w:tcPr>
            <w:tcW w:w="48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research and development</w:t>
            </w:r>
          </w:p>
        </w:tc>
        <w:tc>
          <w:tcPr>
            <w:tcW w:w="4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666</w:t>
            </w:r>
          </w:p>
        </w:tc>
        <w:tc>
          <w:tcPr>
            <w:tcW w:w="60" w:type="dxa"/>
            <w:vAlign w:val="bottom"/>
            <w:shd w:val="clear" w:color="auto" w:fill="CCEEFF"/>
          </w:tcPr>
          <w:p>
            <w:pPr>
              <w:spacing w:after="0"/>
              <w:rPr>
                <w:sz w:val="17"/>
                <w:szCs w:val="17"/>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Accrued legal</w:t>
            </w:r>
          </w:p>
        </w:tc>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460</w:t>
            </w: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4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318</w:t>
            </w:r>
          </w:p>
        </w:tc>
      </w:tr>
      <w:tr>
        <w:trPr>
          <w:trHeight w:val="27"/>
        </w:trPr>
        <w:tc>
          <w:tcPr>
            <w:tcW w:w="41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expenses</w:t>
            </w:r>
          </w:p>
        </w:tc>
        <w:tc>
          <w:tcPr>
            <w:tcW w:w="4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1,603</w:t>
            </w:r>
          </w:p>
        </w:tc>
      </w:tr>
      <w:tr>
        <w:trPr>
          <w:trHeight w:val="20"/>
        </w:trPr>
        <w:tc>
          <w:tcPr>
            <w:tcW w:w="4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2"/>
        </w:trPr>
        <w:tc>
          <w:tcPr>
            <w:tcW w:w="4140" w:type="dxa"/>
            <w:vAlign w:val="bottom"/>
          </w:tcPr>
          <w:p>
            <w:pPr>
              <w:spacing w:after="0"/>
              <w:rPr>
                <w:sz w:val="24"/>
                <w:szCs w:val="24"/>
                <w:color w:val="auto"/>
              </w:rPr>
            </w:pPr>
          </w:p>
        </w:tc>
        <w:tc>
          <w:tcPr>
            <w:tcW w:w="5060" w:type="dxa"/>
            <w:vAlign w:val="bottom"/>
            <w:gridSpan w:val="2"/>
          </w:tcPr>
          <w:p>
            <w:pPr>
              <w:ind w:left="1300"/>
              <w:spacing w:after="0"/>
              <w:rPr>
                <w:sz w:val="20"/>
                <w:szCs w:val="20"/>
                <w:color w:val="auto"/>
              </w:rPr>
            </w:pPr>
            <w:r>
              <w:rPr>
                <w:rFonts w:ascii="Arial" w:cs="Arial" w:eastAsia="Arial" w:hAnsi="Arial"/>
                <w:sz w:val="18"/>
                <w:szCs w:val="18"/>
                <w:color w:val="auto"/>
              </w:rPr>
              <w:t>F-26</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4—Research, Collaboration and License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 Southwestern Agreement</w:t>
      </w:r>
    </w:p>
    <w:p>
      <w:pPr>
        <w:spacing w:after="0" w:line="10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On November 19, 2019, the Company entered into a research, collaboration and license agreement (“UT Southwestern Agreement”) with the Board of Regents of the University of Texas System (“UT System”) on behalf of The University of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0"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79"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w:t>
      </w:r>
    </w:p>
    <w:p>
      <w:pPr>
        <w:spacing w:after="0" w:line="16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172"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w:t>
      </w:r>
    </w:p>
    <w:p>
      <w:pPr>
        <w:spacing w:after="0" w:line="179"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color w:val="auto"/>
        </w:rPr>
        <w:t>The Company also has the right of first refusal for any shares that UT Southwestern wishes to sell that expires upon an initial public offering or change of control of the Company.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320" w:top="455" w:right="3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Queen’s Agreement</w:t>
      </w:r>
    </w:p>
    <w:p>
      <w:pPr>
        <w:spacing w:after="0" w:line="104"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In late December 2019, the Company entered into a research grant agreement (“RGA”) with Queen’s University at Kingston (“Queen’s”), for certain research and development activities related to the generation of AAV9 vector. The Company committed to fund $3.8 million under the RGA with Queen’s. The Company agreed to issue Queen’s a promise-to-pay note whereby any amounts paid directly by Queen’s for the manufacture of the vector for use in the funded research activities, to the extent such amounts have not already been funded by the Company to Queen’s, become a loan obligation for the Company (the “Note”), subject to an interest rate of 6%. Any amounts outstanding under the Note must be repaid, along with any accrued interest, by or before June 30, 2020. In the event of default, any amount outstanding shall be deemed immediately payable by RA Session II, the Company’s President and Chief Executive Officer, as a personal guarantor (see Note 7). For the six months ended June 30, 2020, the Company paid all expenses associated with the Queen’s RGA, thus no amounts were due or outstanding under the Note as of June 30, 2020.</w:t>
      </w:r>
    </w:p>
    <w:p>
      <w:pPr>
        <w:spacing w:after="0" w:line="176"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(the “Licensed Technology” and,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is recorded in research and development expenses in the condensed consolidated statement of operations and included as an investing outflow in the statement of cash flows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5—Convertible Preferred Stock, Tranche Liability and Stockholders’ Deficit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June 30, 2020, convertible preferred stock consisted of the following (in thousands, except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Issuance</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Issued and</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Price per</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Carrying</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r>
      <w:tr>
        <w:trPr>
          <w:trHeight w:val="177"/>
        </w:trPr>
        <w:tc>
          <w:tcPr>
            <w:tcW w:w="3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Authorized</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Outstanding</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Value</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2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w:t>
            </w: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18,014</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18,014</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w:t>
            </w:r>
          </w:p>
        </w:tc>
        <w:tc>
          <w:tcPr>
            <w:tcW w:w="6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3060" w:type="dxa"/>
            <w:vAlign w:val="bottom"/>
          </w:tcPr>
          <w:p>
            <w:pPr>
              <w:spacing w:after="0"/>
              <w:rPr>
                <w:sz w:val="24"/>
                <w:szCs w:val="24"/>
                <w:color w:val="auto"/>
              </w:rPr>
            </w:pPr>
          </w:p>
        </w:tc>
        <w:tc>
          <w:tcPr>
            <w:tcW w:w="3800" w:type="dxa"/>
            <w:vAlign w:val="bottom"/>
            <w:gridSpan w:val="3"/>
          </w:tcPr>
          <w:p>
            <w:pPr>
              <w:ind w:left="2380"/>
              <w:spacing w:after="0"/>
              <w:rPr>
                <w:sz w:val="20"/>
                <w:szCs w:val="20"/>
                <w:color w:val="auto"/>
              </w:rPr>
            </w:pPr>
            <w:r>
              <w:rPr>
                <w:rFonts w:ascii="Arial" w:cs="Arial" w:eastAsia="Arial" w:hAnsi="Arial"/>
                <w:sz w:val="18"/>
                <w:szCs w:val="18"/>
                <w:color w:val="auto"/>
              </w:rPr>
              <w:t>F-28</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On March 4, 2020, the Company entered into a purchase agreement (the “Series A Purchase Agreement”) for a private placement of up to 10,000,000 shares of Series A convertible preferred stock at an original issuance price of $3.00 per share, subject to separate closings, including: (1) 6,000,000 shares at the initial closing on March 4, 2020, and (2) 2,000,000 shares at each of two subsequent closings triggered by the achievement of specific clinical milestones. The Series A Purchase Agreement obligated the Company to issue and sell and the Series A investors to purchase up to a total of 4,000,000 additional shares of Series A convertible preferred stock (the “Milestone Shares”) at the same price per share upon the achievement of certain defined clinical milestones (the “tranche liability”). The determination as to whether the milestone events had been met was subject to certification by the Board of Directors. Each Series A investor had the right, but not the obligation, to purchase all or any portion of the Milestone Shares at any time in its sole option and in its sole and absolute discretion, whether or not the Company had achieved the applicable clinical milestone.</w:t>
      </w:r>
    </w:p>
    <w:p>
      <w:pPr>
        <w:spacing w:after="0" w:line="176"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On June 30, 2020, several affiliated Series A investors elected to exercise in full their options to purchase their pro-rata portion of the Milestone Shares prior to the Company’s achievement of the clinical milestones for gross proceeds of $0.6 million. The remainder of the Series A investors exercised in full their options to purchase their remaining pro-rata portion of the Milestone Shares prior to the Company’s achievement of the clinical milestones for gross proceeds of $11.4 million between July 1, 2020 and July 2, 2020.</w:t>
      </w:r>
    </w:p>
    <w:p>
      <w:pPr>
        <w:spacing w:after="0" w:line="170" w:lineRule="exact"/>
        <w:rPr>
          <w:sz w:val="20"/>
          <w:szCs w:val="20"/>
          <w:color w:val="auto"/>
        </w:rPr>
      </w:pPr>
    </w:p>
    <w:p>
      <w:pPr>
        <w:ind w:right="220" w:firstLine="562"/>
        <w:spacing w:after="0" w:line="276" w:lineRule="auto"/>
        <w:rPr>
          <w:sz w:val="20"/>
          <w:szCs w:val="20"/>
          <w:color w:val="auto"/>
        </w:rPr>
      </w:pPr>
      <w:r>
        <w:rPr>
          <w:rFonts w:ascii="Arial" w:cs="Arial" w:eastAsia="Arial" w:hAnsi="Arial"/>
          <w:sz w:val="18"/>
          <w:szCs w:val="18"/>
          <w:color w:val="auto"/>
        </w:rPr>
        <w:t>As of June 30, 2020, 6,200,000 shares of the Series A convertible preferred stock were issued and outstanding. These shares were issued in exchange for gross proceeds of $18.6 million, net of issuance costs of approximately $0.4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02" w:lineRule="exact"/>
        <w:rPr>
          <w:sz w:val="20"/>
          <w:szCs w:val="20"/>
          <w:color w:val="auto"/>
        </w:rPr>
      </w:pPr>
    </w:p>
    <w:p>
      <w:pPr>
        <w:ind w:right="40" w:firstLine="562"/>
        <w:spacing w:after="0" w:line="306" w:lineRule="auto"/>
        <w:rPr>
          <w:sz w:val="20"/>
          <w:szCs w:val="20"/>
          <w:color w:val="auto"/>
        </w:rPr>
      </w:pPr>
      <w:r>
        <w:rPr>
          <w:rFonts w:ascii="Arial" w:cs="Arial" w:eastAsia="Arial" w:hAnsi="Arial"/>
          <w:sz w:val="17"/>
          <w:szCs w:val="17"/>
          <w:color w:val="auto"/>
        </w:rPr>
        <w:t>The holders of Series A convertible preferred stock are not entitled to receive dividends unless declared by the Board of Directors in accordance with the Company’s certificate of incorporation, as amended from time to time. No dividends have been declared since inception.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102"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In the event of any voluntary or involuntary liquidation, dissolution or winding up of the Company, holders of Series A convertible preferred stock are entitled to receive, prior and in preference to holders of common stock, an amount equal to the original issuance price of $3.00 per share (subject to adjustment in the event of any stock dividend, stock split, combination or other similar recapitalization with respect to the Series A convertible preferred stock) plus any declared but unpaid dividends thereon. If upon occurrence of such an event, the assets and funds to be distributed among the holders of Series A convertible preferred stock are insufficient to permit full payment to such holders, the entire assets and funds of the Company legally available for distribution will be distributed ratably among the holders of the Series A convertible preferred stock. All remaining legally available assets of the Company are to be distributed pro rata to the holders of Series A convertible preferred stock and common stock, on an as-converted basis.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102"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Shares of Series A convertible preferred stock are convertible into such number of fully paid and non-assessable shares of common stock as determined by dividing the Series A convertible preferred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5" w:right="3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stock original issuance price by the conversion price then in effect. The conversion price per share of the Series A convertible preferred stock is $2.75, subject to adjustment in the event of certain dilutive issuances. The Series A convertible preferred stock original issuance price and conversion price are each subject to adjustment in the event of any stock dividend, stock split, combination or other similar recapitalization with respect to the Series A convertible preferred stock.</w:t>
      </w:r>
    </w:p>
    <w:p>
      <w:pPr>
        <w:spacing w:after="0" w:line="170"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Each share of Series A convertible preferred stock is convertible at any time at the option of the holder at the conversion ratio then in effect. In addition, each share of Series A convertible preferred stock will be automatically converted into common stock at the conversion ratio then in effect upon either (a) the consummation of an underwritten public offering resulting in gross proceeds to the Company of at least $50 million at a price per share of at least $13.77 (subject to adjustment in the event of any stock dividend, stock split, combination or other similar recapitalization with respect to the Series A convertible preferred stock), or (b) the date and time, or the occurrence of an event, specified by the vote or written consent of the holders of a majority of the then outstanding shares of Series A convertible preferred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02"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Holders of Series A convertible preferred stock are entitled to vote as a single class together with the holders of common stock and have one vote for each share of common stock into which the Series A convertible preferred stock is convertible.</w:t>
      </w:r>
    </w:p>
    <w:p>
      <w:pPr>
        <w:spacing w:after="0" w:line="145"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The holders of Series A convertible preferred stock are entitled to elect two directors to the Board of Directors. The holders of Series A convertible preferred stock and the holders of common stock, each voting as a separate class, are entitled to jointly elect one director to the Board of Directors. The holders of common stock, exclusively and as a separate class, are entitled to elect one director to the Board of Directors. The Company has concluded that the holders of its Series A convertible preferred stock control the Board of Directors.</w:t>
      </w:r>
    </w:p>
    <w:p>
      <w:pPr>
        <w:spacing w:after="0" w:line="170" w:lineRule="exact"/>
        <w:rPr>
          <w:sz w:val="20"/>
          <w:szCs w:val="20"/>
          <w:color w:val="auto"/>
        </w:rPr>
      </w:pPr>
    </w:p>
    <w:p>
      <w:pPr>
        <w:jc w:val="both"/>
        <w:ind w:right="80" w:firstLine="562"/>
        <w:spacing w:after="0" w:line="255" w:lineRule="auto"/>
        <w:rPr>
          <w:sz w:val="20"/>
          <w:szCs w:val="20"/>
          <w:color w:val="auto"/>
        </w:rPr>
      </w:pPr>
      <w:r>
        <w:rPr>
          <w:rFonts w:ascii="Arial" w:cs="Arial" w:eastAsia="Arial" w:hAnsi="Arial"/>
          <w:sz w:val="18"/>
          <w:szCs w:val="18"/>
          <w:color w:val="auto"/>
        </w:rPr>
        <w:t>A majority of the outstanding shares of Series A convertible preferred stock is necessary for approving certain protective provisions in the Company’s amended and restated certificate of incorporation, including the ability to either increase or decrease the authorized number of directors constituting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preferred stock tranche liability</w:t>
      </w:r>
    </w:p>
    <w:p>
      <w:pPr>
        <w:spacing w:after="0" w:line="104" w:lineRule="exact"/>
        <w:rPr>
          <w:sz w:val="20"/>
          <w:szCs w:val="20"/>
          <w:color w:val="auto"/>
        </w:rPr>
      </w:pPr>
    </w:p>
    <w:p>
      <w:pPr>
        <w:jc w:val="both"/>
        <w:ind w:right="80" w:firstLine="562"/>
        <w:spacing w:after="0" w:line="276" w:lineRule="auto"/>
        <w:rPr>
          <w:sz w:val="20"/>
          <w:szCs w:val="20"/>
          <w:color w:val="auto"/>
        </w:rPr>
      </w:pPr>
      <w:r>
        <w:rPr>
          <w:rFonts w:ascii="Arial" w:cs="Arial" w:eastAsia="Arial" w:hAnsi="Arial"/>
          <w:sz w:val="18"/>
          <w:szCs w:val="18"/>
          <w:color w:val="auto"/>
        </w:rPr>
        <w:t>The Company concluded that the tranche liability met the definition of a freestanding financial instrument, as it was legally detachable and separately exercisable from the initial closing of the Series A convertible preferred stock.</w:t>
      </w:r>
    </w:p>
    <w:p>
      <w:pPr>
        <w:spacing w:after="0" w:line="145"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The estimated fair value of the tranche liability was determined using a Monte Carlo simulation at the initial issuance date. As of March 4, 2020, the simulations occurred based on the implied aggregate equity value of the Company derived from the Series A convertible preferred stock offering price of $3.00 per share, along with, in part, the following subjective assumptions: risk-free rate of 0.59%, an expected volatility of 80%, the expected term to a liquidity event of 1 year, and a 60% probability of achieving the clinical milestones and timing thereof. Subsequently, the estimated fair value of the tranche liability was determined using a backsolve approach at June 30, 2020, which was calculated based on the aggregate equity value of the Company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5" w:right="3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ind w:right="360" w:firstLine="562"/>
        <w:spacing w:after="0" w:line="276" w:lineRule="auto"/>
        <w:rPr>
          <w:sz w:val="20"/>
          <w:szCs w:val="20"/>
          <w:color w:val="auto"/>
        </w:rPr>
      </w:pPr>
      <w:r>
        <w:rPr>
          <w:rFonts w:ascii="Arial" w:cs="Arial" w:eastAsia="Arial" w:hAnsi="Arial"/>
          <w:sz w:val="18"/>
          <w:szCs w:val="18"/>
          <w:color w:val="auto"/>
        </w:rPr>
        <w:t>Based on the analysis, the Company recorded a preferred stock tranche liability of $1.1 million at the issue date to account for the obligation to issue the Milestone Shares at a predetermined fixed price at a future settlement date.</w:t>
      </w:r>
    </w:p>
    <w:p>
      <w:pPr>
        <w:spacing w:after="0" w:line="145"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At June 30, 2020, ahead of the anticipated closing of the Series B Purchase Agreement for $17.00 per share that occurred on July 2, 2020 (see Note 10), certain investors elected to exercise in full their options to purchase their pro-rata portion of the Milestone Shares prior to the Company’s achievement of the clinical milestones and purchased 200,000 shares of Series A convertible preferred stock. The Company remeasured the fair value of the entire tranche liability at June 30, 2020, and recognized a non-cash expense of $ 17.0 million in the condensed consolidated statement of operations. As 200,000 of the Milestone Shares were also issued to certain investors on</w:t>
      </w:r>
    </w:p>
    <w:p>
      <w:pPr>
        <w:spacing w:after="0" w:line="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June 30, 2020, the related tranche liability was extinguished, and the Company reclassified $0.9 million to convertible preferred stock on the condensed consolidated balance sheet. The Company concluded that no beneficial conversion feature (“BCF”) existed as the effective conversion price of the Series A convertible preferred stock exceeded the fair value of the Company’s common stock at each of the commitment dates. Specifically at the commitment date of June 30, 2020, when 200,000 Milestone Shares were issued, the deemed proceeds were equal to the cash proceeds received for the shares of Series A convertible preferred stock and the fair value of the tranche liability that related to the Milestone Shares, or $7.52 per share. As the effective conversion price exceeded the fair value of the Company’s common stock, no BCF existed.</w:t>
      </w:r>
    </w:p>
    <w:p>
      <w:pPr>
        <w:spacing w:after="0" w:line="181" w:lineRule="exact"/>
        <w:rPr>
          <w:sz w:val="20"/>
          <w:szCs w:val="20"/>
          <w:color w:val="auto"/>
        </w:rPr>
      </w:pPr>
    </w:p>
    <w:p>
      <w:pPr>
        <w:ind w:right="400" w:firstLine="562"/>
        <w:spacing w:after="0" w:line="276" w:lineRule="auto"/>
        <w:rPr>
          <w:sz w:val="20"/>
          <w:szCs w:val="20"/>
          <w:color w:val="auto"/>
        </w:rPr>
      </w:pPr>
      <w:r>
        <w:rPr>
          <w:rFonts w:ascii="Arial" w:cs="Arial" w:eastAsia="Arial" w:hAnsi="Arial"/>
          <w:sz w:val="18"/>
          <w:szCs w:val="18"/>
          <w:color w:val="auto"/>
        </w:rPr>
        <w:t>The following table provides a reconciliation of the preferred stock tranche liability measured at fair value using Level 3 significant unobservable inputs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Fair value at issuance of Series A convertible preferred stock (March 2020)</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17,030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60" w:type="dxa"/>
            <w:vAlign w:val="bottom"/>
          </w:tcPr>
          <w:p>
            <w:pPr>
              <w:spacing w:after="0" w:line="202" w:lineRule="exact"/>
              <w:rPr>
                <w:sz w:val="20"/>
                <w:szCs w:val="20"/>
                <w:color w:val="auto"/>
              </w:rPr>
            </w:pPr>
            <w:r>
              <w:rPr>
                <w:rFonts w:ascii="Arial" w:cs="Arial" w:eastAsia="Arial" w:hAnsi="Arial"/>
                <w:sz w:val="18"/>
                <w:szCs w:val="18"/>
                <w:color w:val="auto"/>
              </w:rPr>
              <w:t>Settlement of preferred stock tranche liability due to partial issuance of Milestone Shares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2020</w:t>
            </w:r>
          </w:p>
        </w:tc>
        <w:tc>
          <w:tcPr>
            <w:tcW w:w="11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17,176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8"/>
                <w:szCs w:val="18"/>
                <w:color w:val="auto"/>
              </w:rPr>
              <w:t>Shares of common stock reserved at June 30, 2020 for issuance of the remaining Milestone Shares</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4,140,097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 and equity awards</w:t>
      </w:r>
    </w:p>
    <w:p>
      <w:pPr>
        <w:spacing w:after="0" w:line="104" w:lineRule="exact"/>
        <w:rPr>
          <w:sz w:val="20"/>
          <w:szCs w:val="20"/>
          <w:color w:val="auto"/>
        </w:rPr>
      </w:pPr>
    </w:p>
    <w:p>
      <w:pPr>
        <w:ind w:right="160" w:firstLine="562"/>
        <w:spacing w:after="0" w:line="248" w:lineRule="auto"/>
        <w:rPr>
          <w:sz w:val="20"/>
          <w:szCs w:val="20"/>
          <w:color w:val="auto"/>
        </w:rPr>
      </w:pPr>
      <w:r>
        <w:rPr>
          <w:rFonts w:ascii="Arial" w:cs="Arial" w:eastAsia="Arial" w:hAnsi="Arial"/>
          <w:sz w:val="18"/>
          <w:szCs w:val="18"/>
          <w:color w:val="auto"/>
        </w:rPr>
        <w:t>The Company amended its certificate of incorporation on March 4, 2020, July 2, 2020 and again on July 28, 2020 such that the total number of shares of common stock authorized to be issued was increased to 32,685,000, and the total number of shares of preferred stock authorized to be issued was increased to 15,647,052, of which 10,000,000 preferred shares are designated Series A convertible preferred stock and 5,647,052 are designated Series B convertible preferred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did not grant any equity-based awards during the six months ended June 30,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Loss Per Common Share</w:t>
      </w:r>
    </w:p>
    <w:p>
      <w:pPr>
        <w:spacing w:after="0" w:line="106" w:lineRule="exact"/>
        <w:rPr>
          <w:sz w:val="20"/>
          <w:szCs w:val="20"/>
          <w:color w:val="auto"/>
        </w:rPr>
      </w:pPr>
    </w:p>
    <w:p>
      <w:pPr>
        <w:ind w:right="460" w:firstLine="562"/>
        <w:spacing w:after="0" w:line="255" w:lineRule="auto"/>
        <w:rPr>
          <w:sz w:val="20"/>
          <w:szCs w:val="20"/>
          <w:color w:val="auto"/>
        </w:rPr>
      </w:pPr>
      <w:r>
        <w:rPr>
          <w:rFonts w:ascii="Arial" w:cs="Arial" w:eastAsia="Arial" w:hAnsi="Arial"/>
          <w:sz w:val="18"/>
          <w:szCs w:val="18"/>
          <w:color w:val="auto"/>
        </w:rPr>
        <w:t>Basic net loss per common share is computed by dividing net loss attributable to common stockholders by the weighted-average number of shares of common stock outstanding for the period. Diluted net loss per common share excludes the potential impact of the Company’s convertible preferred stock because their effect would be anti-dilutive due to the Company’s net loss. Since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55" w:right="3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Company had a net loss in the period presented, basic and diluted net loss per common share are the same.</w:t>
      </w:r>
    </w:p>
    <w:p>
      <w:pPr>
        <w:spacing w:after="0" w:line="212" w:lineRule="exact"/>
        <w:rPr>
          <w:sz w:val="20"/>
          <w:szCs w:val="20"/>
          <w:color w:val="auto"/>
        </w:rPr>
      </w:pPr>
    </w:p>
    <w:p>
      <w:pPr>
        <w:ind w:right="680" w:firstLine="562"/>
        <w:spacing w:after="0" w:line="276" w:lineRule="auto"/>
        <w:rPr>
          <w:sz w:val="20"/>
          <w:szCs w:val="20"/>
          <w:color w:val="auto"/>
        </w:rPr>
      </w:pPr>
      <w:r>
        <w:rPr>
          <w:rFonts w:ascii="Arial" w:cs="Arial" w:eastAsia="Arial" w:hAnsi="Arial"/>
          <w:sz w:val="18"/>
          <w:szCs w:val="18"/>
          <w:color w:val="auto"/>
        </w:rPr>
        <w:t>The table below provides potentially dilutive securities not included in the calculation of the diluted net loss per common share because to do so would be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For the</w:t>
            </w:r>
          </w:p>
        </w:tc>
      </w:t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Ended</w:t>
            </w:r>
          </w:p>
        </w:tc>
      </w:tr>
      <w:tr>
        <w:trPr>
          <w:trHeight w:val="162"/>
        </w:trPr>
        <w:tc>
          <w:tcPr>
            <w:tcW w:w="1010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June 30,</w:t>
            </w:r>
          </w:p>
        </w:tc>
      </w:tr>
      <w:tr>
        <w:trPr>
          <w:trHeight w:val="177"/>
        </w:trPr>
        <w:tc>
          <w:tcPr>
            <w:tcW w:w="10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196"/>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issuable upon conversion of Series A convertible preferred stock</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6,754,899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10100" w:type="dxa"/>
            <w:vAlign w:val="bottom"/>
          </w:tcPr>
          <w:p>
            <w:pPr>
              <w:ind w:left="36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6,754,899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0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Common Share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represents the calculation of basic and diluted pro forma net loss per common share for the six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June 30, 2020 (dollars 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0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7"/>
        </w:trPr>
        <w:tc>
          <w:tcPr>
            <w:tcW w:w="10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1"/>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0"/>
        </w:trPr>
        <w:tc>
          <w:tcPr>
            <w:tcW w:w="1010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outstanding used to compute net loss per common share, basic and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10,894,999</w:t>
            </w:r>
          </w:p>
        </w:tc>
        <w:tc>
          <w:tcPr>
            <w:tcW w:w="0" w:type="dxa"/>
            <w:vAlign w:val="bottom"/>
          </w:tcPr>
          <w:p>
            <w:pPr>
              <w:spacing w:after="0"/>
              <w:rPr>
                <w:sz w:val="1"/>
                <w:szCs w:val="1"/>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adjustments to reflect conversion of convertible preferred stock</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4,275,390</w:t>
            </w:r>
          </w:p>
        </w:tc>
        <w:tc>
          <w:tcPr>
            <w:tcW w:w="0" w:type="dxa"/>
            <w:vAlign w:val="bottom"/>
          </w:tcPr>
          <w:p>
            <w:pPr>
              <w:spacing w:after="0"/>
              <w:rPr>
                <w:sz w:val="1"/>
                <w:szCs w:val="1"/>
                <w:color w:val="auto"/>
              </w:rPr>
            </w:pPr>
          </w:p>
        </w:tc>
      </w:tr>
      <w:tr>
        <w:trPr>
          <w:trHeight w:val="210"/>
        </w:trPr>
        <w:tc>
          <w:tcPr>
            <w:tcW w:w="10100" w:type="dxa"/>
            <w:vAlign w:val="bottom"/>
          </w:tcPr>
          <w:p>
            <w:pPr>
              <w:spacing w:after="0"/>
              <w:rPr>
                <w:sz w:val="20"/>
                <w:szCs w:val="20"/>
                <w:color w:val="auto"/>
              </w:rPr>
            </w:pPr>
            <w:r>
              <w:rPr>
                <w:rFonts w:ascii="Arial" w:cs="Arial" w:eastAsia="Arial" w:hAnsi="Arial"/>
                <w:sz w:val="18"/>
                <w:szCs w:val="18"/>
                <w:color w:val="auto"/>
              </w:rPr>
              <w:t>Weighted-average shares to compute pro forma net loss per common share, basic and diluted</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15,170,389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common share, basic and diluted</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10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For the six months ended June 30, 2020, basic and diluted pro forma net loss per common share were the same, as there were no potentially dilutive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7—Related Party Transactions</w:t>
      </w:r>
    </w:p>
    <w:p>
      <w:pPr>
        <w:spacing w:after="0" w:line="106" w:lineRule="exact"/>
        <w:rPr>
          <w:sz w:val="20"/>
          <w:szCs w:val="20"/>
          <w:color w:val="auto"/>
        </w:rPr>
      </w:pPr>
    </w:p>
    <w:p>
      <w:pPr>
        <w:ind w:right="380" w:firstLine="562"/>
        <w:spacing w:after="0" w:line="255" w:lineRule="auto"/>
        <w:rPr>
          <w:sz w:val="20"/>
          <w:szCs w:val="20"/>
          <w:color w:val="auto"/>
        </w:rPr>
      </w:pPr>
      <w:r>
        <w:rPr>
          <w:rFonts w:ascii="Arial" w:cs="Arial" w:eastAsia="Arial" w:hAnsi="Arial"/>
          <w:sz w:val="18"/>
          <w:szCs w:val="18"/>
          <w:color w:val="auto"/>
        </w:rPr>
        <w:t>RA Session II, President and Chief Executive Officer and a member of the Company’s board of directors, is a guarantor under the Guaranty and Security Agreement between himself, Queen’s and the Company, and in the event of the Company’s failure to fund its obligations under the RGA with Queen’s, has personally guaranteed payments due by the Company to Queen’s.</w:t>
      </w:r>
    </w:p>
    <w:p>
      <w:pPr>
        <w:spacing w:after="0" w:line="16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In January 2020, the Company entered into two secured promissory notes with a related party, its President and Chief Executive Officer, RA Session II, for an aggregate of $1.67 million, with 10% interest. The Company secured the notes with a first priority security interest in certain assets of the Company. During March 2020, the Company repaid $1.65 million of the notes, and the remaining balance of approximately $28,000, which is included in due to related party in the condensed consolidated balance sheet, was repaid in July 2020. As a result, Mr. Session released his security interest in the collateral.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5" w:right="3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In March 2020, the Company entered into a services agreement with PBM Capital Group, LLC (“PBM”), an affiliate of PBM TGT Holdings, LLC (the lead investor in the Company’s convertible Series A preferred stock financing discussed below, and who has the ability to designate two members of the Company’s board of directors), whereby PBM provides accounting and other administrative and management services related to payroll administration, human resources, bookkeeping, preparation of financial statements and tax returns, accounts payable and receivable, and other similar functions for a fee of $2,500 per month. As of June 30, 2020, inclusive of certain pass-through direct costs, the Company has approximately $33,000 due to PBM, which is included in due to related party in the condensed consolidated balance sheet.</w:t>
      </w:r>
    </w:p>
    <w:p>
      <w:pPr>
        <w:spacing w:after="0" w:line="179" w:lineRule="exact"/>
        <w:rPr>
          <w:sz w:val="20"/>
          <w:szCs w:val="20"/>
          <w:color w:val="auto"/>
        </w:rPr>
      </w:pPr>
    </w:p>
    <w:p>
      <w:pPr>
        <w:ind w:right="220" w:firstLine="562"/>
        <w:spacing w:after="0" w:line="276" w:lineRule="auto"/>
        <w:rPr>
          <w:sz w:val="20"/>
          <w:szCs w:val="20"/>
          <w:color w:val="auto"/>
        </w:rPr>
      </w:pPr>
      <w:r>
        <w:rPr>
          <w:rFonts w:ascii="Arial" w:cs="Arial" w:eastAsia="Arial" w:hAnsi="Arial"/>
          <w:sz w:val="18"/>
          <w:szCs w:val="18"/>
          <w:color w:val="auto"/>
        </w:rPr>
        <w:t>As of June 30, 2020, 4,900,000 and 600,000 shares of the Series A convertible preferred stock were issued to PBM TGT Holdings, LLC and Nolan Capital, LLC, respectively, which are controlled by members of the Company’s board of directors.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106"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Based on its history of operating losses, the Company believes that it is more likely than not that the benefit of its deferred tax assets will not be realized. Accordingly, the Company has provided a full valuation allowance for its deferred tax assets as of June 30, 2020 and December 31, 2019.</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27, 2020, the U.S. President signed into law the CARES Act, an economic relief package in response to</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The Company is still evaluating the impact but does not currently expect the provisions of the CARES Act to have a material effect on the realizability of deferred income tax assets or tax expense.</w:t>
      </w:r>
    </w:p>
    <w:p>
      <w:pPr>
        <w:spacing w:after="0" w:line="179"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As of June 30, 2020, there were no material changes to either the nature or the amounts of the uncertain tax positions previously determined for the period from September 20, 2019 (date of inception) through December 31,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80"/>
          </w:cols>
          <w:pgMar w:left="320" w:top="455" w:right="39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2020, the Company was not a party to any leasing agreements.</w:t>
      </w:r>
    </w:p>
    <w:p>
      <w:pPr>
        <w:spacing w:after="0" w:line="212"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June 30, 2020. The Company does not anticipate recognizing any significant losses relating to these arrangements.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106"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The Company has evaluated subsequent events through September 2, 2020, the date that these interim condensed consolidated financial statements were originally issued, and, with respect to the stock split described below, through September 17, 2020. Except for the matters disclosed below, no additional subsequent events had occurred that would require recognition or disclosure in these interim condensed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102"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In August 2020, the Company entered into license and inventory purchase agreements with Abeona Therapeutics Inc. (“Abeona”) for worldwide exclusive rights to certain intellectual property rights and know -how relating to the research, development and manufacture of ABO-202, an AAV-based gene therapy for CLN1 disease (also known as infantile Batten disease). Under the terms of the agreements, the Company will make initial cash payments to Abeona of $7.0 million, and up to $ 26.0 million in regulatory-related milestones and up to $30.0 million in sales-related milestones per licensed product. The Company will also pay an annual earned royalty in the high single digits on net sales of any licensed products for CLN1.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 Financing Arrangements</w:t>
      </w:r>
    </w:p>
    <w:p>
      <w:pPr>
        <w:spacing w:after="0" w:line="102"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In July 2020, the remaining investors in the Series A convertible preferred stock exercised in full their option to purchase their pro-rata portion of the Milestone Shares prior to the achievement of such milestones, and the Company issued and sold to such investors an aggregate of 3,800,000 shares of Series A convertible preferred stock at a purchase price of $3.00 per share for aggregate gross proceeds of $11.4 million. As part of this issuance, the Company issued and sold 3,266,667 shares to PBM TGT Holdings, LLC and 400,000 shares to Nolan Capital, LLC which are controlled by members of the Company’s board of directors.</w:t>
      </w:r>
    </w:p>
    <w:p>
      <w:pPr>
        <w:spacing w:after="0" w:line="17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 July 2020, the Company entered into a purchase agreement (the “Series B Purchase Agreement”) for a private placement of up to 5,647,052 shares of Series B convertible preferred stock. In August 2020, at the close of the Series B convertible preferred stock offering, the Company had sold 5,647,048 of Series B convertible preferred stock at a price of $17.00 per share in multiple closings for gross proceeds of $96.0 million. The majority of investors that participated in the Series B Purchase Agreement were new investors.</w:t>
      </w:r>
    </w:p>
    <w:p>
      <w:pPr>
        <w:spacing w:after="0" w:line="170" w:lineRule="exact"/>
        <w:rPr>
          <w:sz w:val="20"/>
          <w:szCs w:val="20"/>
          <w:color w:val="auto"/>
        </w:rPr>
      </w:pPr>
    </w:p>
    <w:p>
      <w:pPr>
        <w:ind w:right="300" w:firstLine="562"/>
        <w:spacing w:after="0" w:line="277" w:lineRule="auto"/>
        <w:rPr>
          <w:sz w:val="20"/>
          <w:szCs w:val="20"/>
          <w:color w:val="auto"/>
        </w:rPr>
      </w:pPr>
      <w:r>
        <w:rPr>
          <w:rFonts w:ascii="Arial" w:cs="Arial" w:eastAsia="Arial" w:hAnsi="Arial"/>
          <w:sz w:val="17"/>
          <w:szCs w:val="17"/>
          <w:color w:val="auto"/>
        </w:rPr>
        <w:t>The holders of Series B convertible preferred stock have similar voting, dividend and conversion rights as the holders of Series A convertible preferred stock, except that the original issuance price of the Series B convertible preferred stock is $17.00 per share, and the conversion price per share of the Series B convertible preferred stock is $15.60 (subject to adjustment in the event of any stock dividend,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455" w:right="3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Taysha Gene Therapies,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22"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stock split, combination or other similar recapitalization with respect to the Series B convertible preferred stock). The Series B convertible preferred stock is not redeemable except in the event of a Deemed Liquidation Event.</w:t>
      </w:r>
    </w:p>
    <w:p>
      <w:pPr>
        <w:spacing w:after="0" w:line="14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In addition, each share of Series A and Series B convertible preferred stock will be automatically converted into common stock at the conversion ratio then in effect upon either (a) the consummation of an underwritten public offering resulting in gross proceeds to the Company of at least $50 million at a price per share of at least $15.60 (subject to adjustment in the event of any stock dividend, stock split, combination or other similar recapitalization with respect to the Series A convertible preferred stock), including the approval of at least one Series A Director, or (b) the date and time, or the occurrence of an event, specified by the vote or written consent of (i) the holders of a majority of the then outstanding shares of Series A and Series B convertible preferred stock, and (ii) a majority of the then outstanding shares of Series B convertible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102" w:lineRule="exact"/>
        <w:rPr>
          <w:sz w:val="20"/>
          <w:szCs w:val="20"/>
          <w:color w:val="auto"/>
        </w:rPr>
      </w:pPr>
    </w:p>
    <w:p>
      <w:pPr>
        <w:jc w:val="both"/>
        <w:ind w:right="40" w:firstLine="562"/>
        <w:spacing w:after="0" w:line="248" w:lineRule="auto"/>
        <w:rPr>
          <w:sz w:val="20"/>
          <w:szCs w:val="20"/>
          <w:color w:val="auto"/>
        </w:rPr>
      </w:pPr>
      <w:r>
        <w:rPr>
          <w:rFonts w:ascii="Arial" w:cs="Arial" w:eastAsia="Arial" w:hAnsi="Arial"/>
          <w:sz w:val="18"/>
          <w:szCs w:val="18"/>
          <w:color w:val="auto"/>
        </w:rPr>
        <w:t>On July 1, 2020, the Company’s board of directors approved the 2020 Equity Incentive Plan (“2020 Plan”) which permits the granting of incentive stock options, non-statutory stock options, stock appreciation rights, restricted stock, restricted stock units and other stock-based awards to employees, directors, officers and consultants. On July 1, 2020, 3,529,412 shares of common stock were authorized for issuance under the 2020 Plan.</w:t>
      </w:r>
    </w:p>
    <w:p>
      <w:pPr>
        <w:spacing w:after="0" w:line="170"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On July 1, 2020, options to purchase 2,896,782 shares of common stock under the 2020 Plan were awarded to certain employees and consultants of the Company with an exercise price per share of $0.80, all of which were subsequently cancelled. In exchange, the Company awarded 2,518,932 restricted stock units on September 2, 2020, which are expected to vest over a four-year term. The estimated fair value of these restricted stock units at the grant date was $ 14.90 per share. Such shares are not accounted for as outstanding until they vest. RA Session II was also awarded 769,058 restricted stock awards under the 2020 Plan on July 1, 2020, which are expected to vest over a three-year term. The fair value of these restricted stock awards at the grant date of July 1, 2020 was $5.28 per share.</w:t>
      </w:r>
    </w:p>
    <w:p>
      <w:pPr>
        <w:spacing w:after="0" w:line="17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On September 2, 2020, options to purchase 16,342 shares of common stock under the 2020 Plan were awarded to certain directors of the Company with an exercise price per share of $14.90, which are generally expected to vest over a four-year term and expire in ten years. On this date, the Company also granted an additional 331,121 restricted stock units with a grant date fair value of $14.90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102"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On September 16, 2020, the Company effected a 1.0895-for-one stock split of its authorized, issued and outstanding shares of common stock and a proportional adjustment to the existing conversion ratios for each series of the Company’s convertible preferred stock discussed above and in Note 5. Accordingly, all share and per share amounts for the periods presented in the accompanying condensed consolidated financial statements and notes thereto have been adjusted retroactively, where applicable, to reflect this stock split and adjustment of the convertible preferred stock conversion ratios. On September 16, 2020, the Company also increased the number of shares of common stock authorized for issuance under the 2020 Plan to 3,845,294.</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320" w:top="455" w:right="3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6,578,950 Shares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814070</wp:posOffset>
            </wp:positionV>
            <wp:extent cx="2228850" cy="5397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2288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900" w:val="left"/>
          <w:tab w:leader="none" w:pos="1018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Morgan Stanley</w:t>
      </w:r>
      <w:r>
        <w:rPr>
          <w:sz w:val="20"/>
          <w:szCs w:val="20"/>
          <w:color w:val="auto"/>
        </w:rPr>
        <w:tab/>
      </w:r>
      <w:r>
        <w:rPr>
          <w:rFonts w:ascii="Arial" w:cs="Arial" w:eastAsia="Arial" w:hAnsi="Arial"/>
          <w:sz w:val="25"/>
          <w:szCs w:val="25"/>
          <w:b w:val="1"/>
          <w:bCs w:val="1"/>
          <w:color w:val="auto"/>
        </w:rPr>
        <w:t>Jefferies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firstLine="562"/>
        <w:spacing w:after="0" w:line="252" w:lineRule="auto"/>
        <w:rPr>
          <w:sz w:val="20"/>
          <w:szCs w:val="20"/>
          <w:color w:val="auto"/>
        </w:rPr>
      </w:pPr>
      <w:r>
        <w:rPr>
          <w:rFonts w:ascii="Arial" w:cs="Arial" w:eastAsia="Arial" w:hAnsi="Arial"/>
          <w:sz w:val="18"/>
          <w:szCs w:val="18"/>
          <w:b w:val="1"/>
          <w:bCs w:val="1"/>
          <w:color w:val="auto"/>
        </w:rPr>
        <w:t>Through and including , 2020 (the 25th day after the commencement of this 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0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196"/>
        </w:trPr>
        <w:tc>
          <w:tcPr>
            <w:tcW w:w="10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19,641</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18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23,198</w:t>
            </w: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Market initial listing fee</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225,000</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Accountants’ fees and expenses</w:t>
            </w:r>
          </w:p>
        </w:tc>
        <w:tc>
          <w:tcPr>
            <w:tcW w:w="18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950,000</w:t>
            </w: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1,300,000</w:t>
            </w: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Transfer agent’s fees and expenses</w:t>
            </w:r>
          </w:p>
        </w:tc>
        <w:tc>
          <w:tcPr>
            <w:tcW w:w="18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4,500</w:t>
            </w: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350,000</w:t>
            </w:r>
          </w:p>
        </w:tc>
      </w:tr>
      <w:tr>
        <w:trPr>
          <w:trHeight w:val="209"/>
        </w:trPr>
        <w:tc>
          <w:tcPr>
            <w:tcW w:w="10100" w:type="dxa"/>
            <w:vAlign w:val="bottom"/>
          </w:tcPr>
          <w:p>
            <w:pPr>
              <w:spacing w:after="0" w:line="202" w:lineRule="exact"/>
              <w:rPr>
                <w:sz w:val="20"/>
                <w:szCs w:val="20"/>
                <w:color w:val="auto"/>
              </w:rPr>
            </w:pPr>
            <w:r>
              <w:rPr>
                <w:rFonts w:ascii="Arial" w:cs="Arial" w:eastAsia="Arial" w:hAnsi="Arial"/>
                <w:sz w:val="18"/>
                <w:szCs w:val="18"/>
                <w:color w:val="auto"/>
              </w:rPr>
              <w:t>Miscellaneous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127,661</w:t>
            </w:r>
          </w:p>
        </w:tc>
        <w:tc>
          <w:tcPr>
            <w:tcW w:w="60" w:type="dxa"/>
            <w:vAlign w:val="bottom"/>
          </w:tcPr>
          <w:p>
            <w:pPr>
              <w:spacing w:after="0"/>
              <w:rPr>
                <w:sz w:val="18"/>
                <w:szCs w:val="18"/>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3,000,000</w:t>
            </w:r>
          </w:p>
        </w:tc>
      </w:tr>
      <w:tr>
        <w:trPr>
          <w:trHeight w:val="20"/>
        </w:trPr>
        <w:tc>
          <w:tcPr>
            <w:tcW w:w="10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04"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72"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80"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 Law; (ii) we may, in our discretion, indemnify our officers, employees and agents as set forth in the Delaware General Corporation Law; (iii) we are required, upon satisfaction of certain conditions, to advance all expenses incurred by our directors in connection with certain legal proceedings; (iv) the</w:t>
      </w:r>
    </w:p>
    <w:p>
      <w:pPr>
        <w:sectPr>
          <w:pgSz w:w="11900" w:h="16838" w:orient="portrait"/>
          <w:cols w:equalWidth="0" w:num="1">
            <w:col w:w="11240"/>
          </w:cols>
          <w:pgMar w:left="320" w:top="455" w:right="3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color w:val="auto"/>
        </w:rPr>
        <w:t>rights conferred in the bylaws are not exclusive; and (v) we are authorized to enter into indemnification agreements with our directors, officers, employees and agents.</w:t>
      </w:r>
    </w:p>
    <w:p>
      <w:pPr>
        <w:spacing w:after="0" w:line="14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176"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64" w:lineRule="exact"/>
        <w:rPr>
          <w:sz w:val="20"/>
          <w:szCs w:val="20"/>
          <w:color w:val="auto"/>
        </w:rPr>
      </w:pPr>
    </w:p>
    <w:p>
      <w:pPr>
        <w:ind w:right="440" w:firstLine="562"/>
        <w:spacing w:after="0" w:line="248"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04"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The following list sets forth information regarding all unregistered securities sold by us since our inception through the date of the prospectus that forms a part of this registration statement.</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Issuances of Common Stock</w:t>
      </w:r>
    </w:p>
    <w:p>
      <w:pPr>
        <w:spacing w:after="0" w:line="104"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In September 2019, we issued an aggregate of 8,715,999 shares of our common stock to two accredited investors at a purchase price of $0.000009 per share, for aggregate consideration of $80.00.</w:t>
      </w:r>
    </w:p>
    <w:p>
      <w:pPr>
        <w:spacing w:after="0" w:line="145"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In November 2019, we issued 2,179,000 shares of our common stock to one investor as consideration for entering into a research, collaboration and license agreement.</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Issuances of Preferred Stock</w:t>
      </w:r>
    </w:p>
    <w:p>
      <w:pPr>
        <w:spacing w:after="0" w:line="104" w:lineRule="exact"/>
        <w:rPr>
          <w:sz w:val="20"/>
          <w:szCs w:val="20"/>
          <w:color w:val="auto"/>
        </w:rPr>
      </w:pPr>
    </w:p>
    <w:p>
      <w:pPr>
        <w:ind w:right="760" w:firstLine="562"/>
        <w:spacing w:after="0" w:line="276" w:lineRule="auto"/>
        <w:rPr>
          <w:sz w:val="20"/>
          <w:szCs w:val="20"/>
          <w:color w:val="auto"/>
        </w:rPr>
      </w:pPr>
      <w:r>
        <w:rPr>
          <w:rFonts w:ascii="Arial" w:cs="Arial" w:eastAsia="Arial" w:hAnsi="Arial"/>
          <w:sz w:val="18"/>
          <w:szCs w:val="18"/>
          <w:color w:val="auto"/>
        </w:rPr>
        <w:t>In March 2020, we issued an aggregate of 6,000,000 shares of our Series A convertible preferred stock to nine investors at a purchase price of $3.00 per share, for aggregate consideration of $18.0 million.</w:t>
      </w:r>
    </w:p>
    <w:p>
      <w:pPr>
        <w:spacing w:after="0" w:line="145"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In June 2020, we issued an aggregate of 200,000 shares of our Series A convertible preferred stock to six investors at a purchase price of $3.00 per share, for aggregate consideration of $0.6 million.</w:t>
      </w:r>
    </w:p>
    <w:p>
      <w:pPr>
        <w:spacing w:after="0" w:line="145"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In July 2020, we issued an aggregate of 3,800,000 shares of our Series A convertible preferred stock to three investors at a purchase price of $3.00 per share, for aggregate consideration of $11.4 million.</w:t>
      </w:r>
    </w:p>
    <w:p>
      <w:pPr>
        <w:sectPr>
          <w:pgSz w:w="11900" w:h="16838" w:orient="portrait"/>
          <w:cols w:equalWidth="0" w:num="1">
            <w:col w:w="11240"/>
          </w:cols>
          <w:pgMar w:left="320" w:top="455" w:right="3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In July and August 2020, we issued an aggregate of 5,647,048 shares of our Series B convertible preferred stock to 31 investors at a purchase price of $17.00 per share, for aggregate consideration of $96.0 million.</w:t>
      </w:r>
    </w:p>
    <w:p>
      <w:pPr>
        <w:spacing w:after="0" w:line="25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Issuances Pursuant to our Equity Plans</w:t>
      </w:r>
    </w:p>
    <w:p>
      <w:pPr>
        <w:spacing w:after="0" w:line="10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From September 20, 2019 (the date of our inception) through the date of this registration statement, we granted options under our 2020 Equity Incentive Plan to purchase an aggregate of 16,342 shares of common stock, at an exercise price of $14.90 per share, to certain of our employees, directors and consultants. Of these, no shares have been issued upon the exercise of options. We have also granted restricted stock unit awards with respect to 2,850,053 shares of common stock and restricted stock awards with respect to 769,058 shares of common stock under our 2020 Equity Incentive Plan during the same time period.</w:t>
      </w:r>
    </w:p>
    <w:p>
      <w:pPr>
        <w:spacing w:after="0" w:line="172" w:lineRule="exact"/>
        <w:rPr>
          <w:sz w:val="20"/>
          <w:szCs w:val="20"/>
          <w:color w:val="auto"/>
        </w:rPr>
      </w:pPr>
    </w:p>
    <w:p>
      <w:pPr>
        <w:jc w:val="both"/>
        <w:ind w:right="120" w:firstLine="562"/>
        <w:spacing w:after="0" w:line="262"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w:t>
      </w:r>
    </w:p>
    <w:p>
      <w:pPr>
        <w:ind w:right="40" w:firstLine="8"/>
        <w:spacing w:after="0" w:line="238" w:lineRule="auto"/>
        <w:tabs>
          <w:tab w:leader="none" w:pos="27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below are filed as part of this registration.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4220" w:type="dxa"/>
            <w:vAlign w:val="bottom"/>
            <w:gridSpan w:val="3"/>
          </w:tcPr>
          <w:p>
            <w:pPr>
              <w:spacing w:after="0"/>
              <w:rPr>
                <w:sz w:val="15"/>
                <w:szCs w:val="15"/>
                <w:color w:val="auto"/>
              </w:rPr>
            </w:pPr>
          </w:p>
        </w:tc>
      </w:tr>
      <w:tr>
        <w:trPr>
          <w:trHeight w:val="321"/>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Form of Underwriting Agreement</w:t>
              </w:r>
            </w:hyperlink>
          </w:p>
        </w:tc>
      </w:tr>
      <w:tr>
        <w:trPr>
          <w:trHeight w:val="310"/>
        </w:trPr>
        <w:tc>
          <w:tcPr>
            <w:tcW w:w="620" w:type="dxa"/>
            <w:vAlign w:val="bottom"/>
            <w:gridSpan w:val="2"/>
          </w:tcPr>
          <w:p>
            <w:pPr>
              <w:jc w:val="center"/>
              <w:ind w:right="28"/>
              <w:spacing w:after="0"/>
              <w:rPr>
                <w:sz w:val="20"/>
                <w:szCs w:val="20"/>
                <w:color w:val="auto"/>
              </w:rPr>
            </w:pPr>
            <w:r>
              <w:rPr>
                <w:rFonts w:ascii="Arial" w:cs="Arial" w:eastAsia="Arial" w:hAnsi="Arial"/>
                <w:sz w:val="18"/>
                <w:szCs w:val="18"/>
                <w:color w:val="auto"/>
                <w:w w:val="99"/>
              </w:rPr>
              <w:t>3.1*</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r:id="rId336">
              <w:r>
                <w:rPr>
                  <w:rFonts w:ascii="Arial" w:cs="Arial" w:eastAsia="Arial" w:hAnsi="Arial"/>
                  <w:sz w:val="18"/>
                  <w:szCs w:val="18"/>
                  <w:u w:val="single" w:color="auto"/>
                  <w:color w:val="0000EE"/>
                </w:rPr>
                <w:t>Amended and Restated Certificate of Incorporation of the Registrant (as amended and currently in effect)</w:t>
              </w:r>
            </w:hyperlink>
          </w:p>
        </w:tc>
      </w:tr>
      <w:tr>
        <w:trPr>
          <w:trHeight w:val="310"/>
        </w:trPr>
        <w:tc>
          <w:tcPr>
            <w:tcW w:w="620" w:type="dxa"/>
            <w:vAlign w:val="bottom"/>
            <w:gridSpan w:val="2"/>
          </w:tcPr>
          <w:p>
            <w:pPr>
              <w:jc w:val="center"/>
              <w:ind w:right="28"/>
              <w:spacing w:after="0"/>
              <w:rPr>
                <w:sz w:val="20"/>
                <w:szCs w:val="20"/>
                <w:color w:val="auto"/>
              </w:rPr>
            </w:pPr>
            <w:r>
              <w:rPr>
                <w:rFonts w:ascii="Arial" w:cs="Arial" w:eastAsia="Arial" w:hAnsi="Arial"/>
                <w:sz w:val="18"/>
                <w:szCs w:val="18"/>
                <w:color w:val="auto"/>
                <w:w w:val="99"/>
              </w:rPr>
              <w:t>3.2*</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r:id="rId337">
              <w:r>
                <w:rPr>
                  <w:rFonts w:ascii="Arial" w:cs="Arial" w:eastAsia="Arial" w:hAnsi="Arial"/>
                  <w:sz w:val="18"/>
                  <w:szCs w:val="18"/>
                  <w:u w:val="single" w:color="auto"/>
                  <w:color w:val="0000EE"/>
                </w:rPr>
                <w:t>Amended and Restated Bylaws of the Registrant (currently in effect)</w:t>
              </w:r>
            </w:hyperlink>
          </w:p>
        </w:tc>
      </w:tr>
      <w:tr>
        <w:trPr>
          <w:trHeight w:val="311"/>
        </w:trPr>
        <w:tc>
          <w:tcPr>
            <w:tcW w:w="620" w:type="dxa"/>
            <w:vAlign w:val="bottom"/>
            <w:gridSpan w:val="2"/>
          </w:tcPr>
          <w:p>
            <w:pPr>
              <w:jc w:val="center"/>
              <w:ind w:right="28"/>
              <w:spacing w:after="0"/>
              <w:rPr>
                <w:sz w:val="20"/>
                <w:szCs w:val="20"/>
                <w:color w:val="auto"/>
              </w:rPr>
            </w:pPr>
            <w:r>
              <w:rPr>
                <w:rFonts w:ascii="Arial" w:cs="Arial" w:eastAsia="Arial" w:hAnsi="Arial"/>
                <w:sz w:val="18"/>
                <w:szCs w:val="18"/>
                <w:color w:val="auto"/>
                <w:w w:val="99"/>
              </w:rPr>
              <w:t>3.3*</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r:id="rId338">
              <w:r>
                <w:rPr>
                  <w:rFonts w:ascii="Arial" w:cs="Arial" w:eastAsia="Arial" w:hAnsi="Arial"/>
                  <w:sz w:val="18"/>
                  <w:szCs w:val="18"/>
                  <w:u w:val="single" w:color="auto"/>
                  <w:color w:val="0000EE"/>
                </w:rPr>
                <w:t>Form of Amended and Restated Certificate of Incorporation of the Registrant (to be effective upon the closing of this offering)</w:t>
              </w:r>
            </w:hyperlink>
          </w:p>
        </w:tc>
      </w:tr>
      <w:tr>
        <w:trPr>
          <w:trHeight w:val="310"/>
        </w:trPr>
        <w:tc>
          <w:tcPr>
            <w:tcW w:w="620" w:type="dxa"/>
            <w:vAlign w:val="bottom"/>
            <w:gridSpan w:val="2"/>
          </w:tcPr>
          <w:p>
            <w:pPr>
              <w:jc w:val="center"/>
              <w:ind w:right="28"/>
              <w:spacing w:after="0"/>
              <w:rPr>
                <w:sz w:val="20"/>
                <w:szCs w:val="20"/>
                <w:color w:val="auto"/>
              </w:rPr>
            </w:pPr>
            <w:r>
              <w:rPr>
                <w:rFonts w:ascii="Arial" w:cs="Arial" w:eastAsia="Arial" w:hAnsi="Arial"/>
                <w:sz w:val="18"/>
                <w:szCs w:val="18"/>
                <w:color w:val="auto"/>
                <w:w w:val="99"/>
              </w:rPr>
              <w:t>3.4*</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r:id="rId339">
              <w:r>
                <w:rPr>
                  <w:rFonts w:ascii="Arial" w:cs="Arial" w:eastAsia="Arial" w:hAnsi="Arial"/>
                  <w:sz w:val="18"/>
                  <w:szCs w:val="18"/>
                  <w:u w:val="single" w:color="auto"/>
                  <w:color w:val="0000EE"/>
                </w:rPr>
                <w:t>Form of Amended and Restated Bylaws of the Registrant (to be effective upon the closing of this offering)</w:t>
              </w:r>
            </w:hyperlink>
          </w:p>
        </w:tc>
      </w:tr>
      <w:tr>
        <w:trPr>
          <w:trHeight w:val="266"/>
        </w:trPr>
        <w:tc>
          <w:tcPr>
            <w:tcW w:w="620" w:type="dxa"/>
            <w:vAlign w:val="bottom"/>
            <w:gridSpan w:val="2"/>
          </w:tcPr>
          <w:p>
            <w:pPr>
              <w:jc w:val="center"/>
              <w:ind w:right="28"/>
              <w:spacing w:after="0"/>
              <w:rPr>
                <w:sz w:val="20"/>
                <w:szCs w:val="20"/>
                <w:color w:val="auto"/>
              </w:rPr>
            </w:pPr>
            <w:r>
              <w:rPr>
                <w:rFonts w:ascii="Arial" w:cs="Arial" w:eastAsia="Arial" w:hAnsi="Arial"/>
                <w:sz w:val="18"/>
                <w:szCs w:val="18"/>
                <w:color w:val="auto"/>
                <w:w w:val="99"/>
              </w:rPr>
              <w:t>4.1*</w:t>
            </w:r>
          </w:p>
        </w:tc>
        <w:tc>
          <w:tcPr>
            <w:tcW w:w="520" w:type="dxa"/>
            <w:vAlign w:val="bottom"/>
          </w:tcPr>
          <w:p>
            <w:pPr>
              <w:spacing w:after="0"/>
              <w:rPr>
                <w:sz w:val="23"/>
                <w:szCs w:val="23"/>
                <w:color w:val="auto"/>
              </w:rPr>
            </w:pPr>
          </w:p>
        </w:tc>
        <w:tc>
          <w:tcPr>
            <w:tcW w:w="10020" w:type="dxa"/>
            <w:vAlign w:val="bottom"/>
            <w:tcBorders>
              <w:bottom w:val="single" w:sz="8" w:color="0000EE"/>
            </w:tcBorders>
            <w:gridSpan w:val="6"/>
          </w:tcPr>
          <w:p>
            <w:pPr>
              <w:spacing w:after="0"/>
              <w:rPr>
                <w:rFonts w:ascii="Arial" w:cs="Arial" w:eastAsia="Arial" w:hAnsi="Arial"/>
                <w:sz w:val="18"/>
                <w:szCs w:val="18"/>
                <w:color w:val="0000EE"/>
              </w:rPr>
            </w:pPr>
            <w:hyperlink r:id="rId340">
              <w:r>
                <w:rPr>
                  <w:rFonts w:ascii="Arial" w:cs="Arial" w:eastAsia="Arial" w:hAnsi="Arial"/>
                  <w:sz w:val="18"/>
                  <w:szCs w:val="18"/>
                  <w:color w:val="0000EE"/>
                </w:rPr>
                <w:t>Amended and Restated Investors’ Rights Agreement, by and among the Registrant and certain of its stockholders, dated July</w:t>
              </w:r>
            </w:hyperlink>
          </w:p>
        </w:tc>
      </w:tr>
      <w:tr>
        <w:trPr>
          <w:trHeight w:val="183"/>
        </w:trPr>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r:id="rId340">
              <w:r>
                <w:rPr>
                  <w:rFonts w:ascii="Arial" w:cs="Arial" w:eastAsia="Arial" w:hAnsi="Arial"/>
                  <w:sz w:val="18"/>
                  <w:szCs w:val="18"/>
                  <w:color w:val="0000EE"/>
                  <w:w w:val="96"/>
                </w:rPr>
                <w:t>2, 2020</w:t>
              </w:r>
            </w:hyperlink>
          </w:p>
        </w:tc>
        <w:tc>
          <w:tcPr>
            <w:tcW w:w="3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5"/>
        </w:trPr>
        <w:tc>
          <w:tcPr>
            <w:tcW w:w="620" w:type="dxa"/>
            <w:vAlign w:val="bottom"/>
            <w:gridSpan w:val="2"/>
          </w:tcPr>
          <w:p>
            <w:pPr>
              <w:jc w:val="center"/>
              <w:ind w:right="28"/>
              <w:spacing w:after="0"/>
              <w:rPr>
                <w:sz w:val="20"/>
                <w:szCs w:val="20"/>
                <w:color w:val="auto"/>
              </w:rPr>
            </w:pPr>
            <w:r>
              <w:rPr>
                <w:rFonts w:ascii="Arial" w:cs="Arial" w:eastAsia="Arial" w:hAnsi="Arial"/>
                <w:sz w:val="18"/>
                <w:szCs w:val="18"/>
                <w:color w:val="auto"/>
                <w:w w:val="99"/>
              </w:rPr>
              <w:t>5.1*</w:t>
            </w:r>
          </w:p>
        </w:tc>
        <w:tc>
          <w:tcPr>
            <w:tcW w:w="520" w:type="dxa"/>
            <w:vAlign w:val="bottom"/>
          </w:tcPr>
          <w:p>
            <w:pPr>
              <w:spacing w:after="0"/>
              <w:rPr>
                <w:sz w:val="24"/>
                <w:szCs w:val="24"/>
                <w:color w:val="auto"/>
              </w:rPr>
            </w:pPr>
          </w:p>
        </w:tc>
        <w:tc>
          <w:tcPr>
            <w:tcW w:w="10020" w:type="dxa"/>
            <w:vAlign w:val="bottom"/>
            <w:gridSpan w:val="6"/>
          </w:tcPr>
          <w:p>
            <w:pPr>
              <w:spacing w:after="0"/>
              <w:rPr>
                <w:rFonts w:ascii="Arial" w:cs="Arial" w:eastAsia="Arial" w:hAnsi="Arial"/>
                <w:sz w:val="18"/>
                <w:szCs w:val="18"/>
                <w:u w:val="single" w:color="auto"/>
                <w:color w:val="0000EE"/>
              </w:rPr>
            </w:pPr>
            <w:hyperlink r:id="rId341">
              <w:r>
                <w:rPr>
                  <w:rFonts w:ascii="Arial" w:cs="Arial" w:eastAsia="Arial" w:hAnsi="Arial"/>
                  <w:sz w:val="18"/>
                  <w:szCs w:val="18"/>
                  <w:u w:val="single" w:color="auto"/>
                  <w:color w:val="0000EE"/>
                </w:rPr>
                <w:t>Opinion of Cooley LLP</w:t>
              </w:r>
            </w:hyperlink>
          </w:p>
        </w:tc>
      </w:tr>
      <w:tr>
        <w:trPr>
          <w:trHeight w:val="266"/>
        </w:trPr>
        <w:tc>
          <w:tcPr>
            <w:tcW w:w="620" w:type="dxa"/>
            <w:vAlign w:val="bottom"/>
            <w:gridSpan w:val="2"/>
          </w:tcPr>
          <w:p>
            <w:pPr>
              <w:jc w:val="center"/>
              <w:ind w:right="28"/>
              <w:spacing w:after="0"/>
              <w:rPr>
                <w:sz w:val="20"/>
                <w:szCs w:val="20"/>
                <w:color w:val="auto"/>
              </w:rPr>
            </w:pPr>
            <w:r>
              <w:rPr>
                <w:rFonts w:ascii="Arial" w:cs="Arial" w:eastAsia="Arial" w:hAnsi="Arial"/>
                <w:sz w:val="18"/>
                <w:szCs w:val="18"/>
                <w:color w:val="auto"/>
                <w:w w:val="99"/>
              </w:rPr>
              <w:t>10.1†*</w:t>
            </w:r>
          </w:p>
        </w:tc>
        <w:tc>
          <w:tcPr>
            <w:tcW w:w="520" w:type="dxa"/>
            <w:vAlign w:val="bottom"/>
          </w:tcPr>
          <w:p>
            <w:pPr>
              <w:spacing w:after="0"/>
              <w:rPr>
                <w:sz w:val="23"/>
                <w:szCs w:val="23"/>
                <w:color w:val="auto"/>
              </w:rPr>
            </w:pPr>
          </w:p>
        </w:tc>
        <w:tc>
          <w:tcPr>
            <w:tcW w:w="10020" w:type="dxa"/>
            <w:vAlign w:val="bottom"/>
            <w:gridSpan w:val="6"/>
          </w:tcPr>
          <w:p>
            <w:pPr>
              <w:spacing w:after="0"/>
              <w:rPr>
                <w:rFonts w:ascii="Arial" w:cs="Arial" w:eastAsia="Arial" w:hAnsi="Arial"/>
                <w:sz w:val="18"/>
                <w:szCs w:val="18"/>
                <w:color w:val="0000EE"/>
              </w:rPr>
            </w:pPr>
            <w:hyperlink r:id="rId342">
              <w:r>
                <w:rPr>
                  <w:rFonts w:ascii="Arial" w:cs="Arial" w:eastAsia="Arial" w:hAnsi="Arial"/>
                  <w:sz w:val="18"/>
                  <w:szCs w:val="18"/>
                  <w:color w:val="0000EE"/>
                </w:rPr>
                <w:t>Research, Collaboration &amp; License Agreement, by and between the Registrant and The Board of Regents of the University of</w:t>
              </w:r>
            </w:hyperlink>
          </w:p>
        </w:tc>
      </w:tr>
      <w:tr>
        <w:trPr>
          <w:trHeight w:val="236"/>
        </w:trPr>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r:id="rId342">
              <w:r>
                <w:rPr>
                  <w:rFonts w:ascii="Arial" w:cs="Arial" w:eastAsia="Arial" w:hAnsi="Arial"/>
                  <w:sz w:val="18"/>
                  <w:szCs w:val="18"/>
                  <w:u w:val="single" w:color="auto"/>
                  <w:color w:val="0000EE"/>
                </w:rPr>
                <w:t>Texas System on behalf of The University of Texas Southwestern Medical Center, dated as of November 19, 2019</w:t>
              </w:r>
            </w:hyperlink>
          </w:p>
        </w:tc>
        <w:tc>
          <w:tcPr>
            <w:tcW w:w="20" w:type="dxa"/>
            <w:vAlign w:val="bottom"/>
          </w:tcPr>
          <w:p>
            <w:pPr>
              <w:spacing w:after="0"/>
              <w:rPr>
                <w:sz w:val="20"/>
                <w:szCs w:val="20"/>
                <w:color w:val="auto"/>
              </w:rPr>
            </w:pPr>
          </w:p>
        </w:tc>
      </w:tr>
      <w:tr>
        <w:trPr>
          <w:trHeight w:val="257"/>
        </w:trPr>
        <w:tc>
          <w:tcPr>
            <w:tcW w:w="620" w:type="dxa"/>
            <w:vAlign w:val="bottom"/>
            <w:gridSpan w:val="2"/>
          </w:tcPr>
          <w:p>
            <w:pPr>
              <w:jc w:val="center"/>
              <w:ind w:right="28"/>
              <w:spacing w:after="0"/>
              <w:rPr>
                <w:sz w:val="20"/>
                <w:szCs w:val="20"/>
                <w:color w:val="auto"/>
              </w:rPr>
            </w:pPr>
            <w:r>
              <w:rPr>
                <w:rFonts w:ascii="Arial" w:cs="Arial" w:eastAsia="Arial" w:hAnsi="Arial"/>
                <w:sz w:val="18"/>
                <w:szCs w:val="18"/>
                <w:color w:val="auto"/>
                <w:w w:val="99"/>
              </w:rPr>
              <w:t>10.2†*</w:t>
            </w:r>
          </w:p>
        </w:tc>
        <w:tc>
          <w:tcPr>
            <w:tcW w:w="520" w:type="dxa"/>
            <w:vAlign w:val="bottom"/>
          </w:tcPr>
          <w:p>
            <w:pPr>
              <w:spacing w:after="0"/>
              <w:rPr>
                <w:sz w:val="22"/>
                <w:szCs w:val="22"/>
                <w:color w:val="auto"/>
              </w:rPr>
            </w:pPr>
          </w:p>
        </w:tc>
        <w:tc>
          <w:tcPr>
            <w:tcW w:w="10020" w:type="dxa"/>
            <w:vAlign w:val="bottom"/>
            <w:gridSpan w:val="6"/>
          </w:tcPr>
          <w:p>
            <w:pPr>
              <w:spacing w:after="0"/>
              <w:rPr>
                <w:rFonts w:ascii="Arial" w:cs="Arial" w:eastAsia="Arial" w:hAnsi="Arial"/>
                <w:sz w:val="18"/>
                <w:szCs w:val="18"/>
                <w:color w:val="0000EE"/>
              </w:rPr>
            </w:pPr>
            <w:hyperlink r:id="rId343">
              <w:r>
                <w:rPr>
                  <w:rFonts w:ascii="Arial" w:cs="Arial" w:eastAsia="Arial" w:hAnsi="Arial"/>
                  <w:sz w:val="18"/>
                  <w:szCs w:val="18"/>
                  <w:color w:val="0000EE"/>
                </w:rPr>
                <w:t>Amendment to Research, Collaboration &amp; License Agreement, by and between the Registrant and The Board of Regents of</w:t>
              </w:r>
            </w:hyperlink>
          </w:p>
        </w:tc>
      </w:tr>
      <w:tr>
        <w:trPr>
          <w:trHeight w:val="236"/>
        </w:trPr>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80" w:type="dxa"/>
            <w:vAlign w:val="bottom"/>
            <w:tcBorders>
              <w:top w:val="single" w:sz="8" w:color="0000EE"/>
            </w:tcBorders>
            <w:gridSpan w:val="4"/>
          </w:tcPr>
          <w:p>
            <w:pPr>
              <w:spacing w:after="0"/>
              <w:rPr>
                <w:rFonts w:ascii="Arial" w:cs="Arial" w:eastAsia="Arial" w:hAnsi="Arial"/>
                <w:sz w:val="18"/>
                <w:szCs w:val="18"/>
                <w:u w:val="single" w:color="auto"/>
                <w:color w:val="0000EE"/>
                <w:w w:val="99"/>
              </w:rPr>
            </w:pPr>
            <w:hyperlink r:id="rId343">
              <w:r>
                <w:rPr>
                  <w:rFonts w:ascii="Arial" w:cs="Arial" w:eastAsia="Arial" w:hAnsi="Arial"/>
                  <w:sz w:val="18"/>
                  <w:szCs w:val="18"/>
                  <w:u w:val="single" w:color="auto"/>
                  <w:color w:val="0000EE"/>
                  <w:w w:val="99"/>
                </w:rPr>
                <w:t>the University of Texas System on behalf of The University of Texas Southwestern Medical Center, dated as of April 2, 2020</w:t>
              </w:r>
            </w:hyperlink>
          </w:p>
        </w:tc>
        <w:tc>
          <w:tcPr>
            <w:tcW w:w="140" w:type="dxa"/>
            <w:vAlign w:val="bottom"/>
            <w:gridSpan w:val="2"/>
          </w:tcPr>
          <w:p>
            <w:pPr>
              <w:spacing w:after="0"/>
              <w:rPr>
                <w:sz w:val="20"/>
                <w:szCs w:val="20"/>
                <w:color w:val="auto"/>
              </w:rPr>
            </w:pPr>
          </w:p>
        </w:tc>
      </w:tr>
    </w:tbl>
    <w:p>
      <w:pPr>
        <w:sectPr>
          <w:pgSz w:w="11900" w:h="16838" w:orient="portrait"/>
          <w:cols w:equalWidth="0" w:num="1">
            <w:col w:w="11180"/>
          </w:cols>
          <w:pgMar w:left="320" w:top="455" w:right="39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7"/>
        </w:trPr>
        <w:tc>
          <w:tcPr>
            <w:tcW w:w="14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4180" w:type="dxa"/>
            <w:vAlign w:val="bottom"/>
            <w:gridSpan w:val="3"/>
          </w:tcPr>
          <w:p>
            <w:pPr>
              <w:spacing w:after="0"/>
              <w:rPr>
                <w:sz w:val="15"/>
                <w:szCs w:val="15"/>
                <w:color w:val="auto"/>
              </w:rPr>
            </w:pPr>
          </w:p>
        </w:tc>
      </w:tr>
      <w:tr>
        <w:trPr>
          <w:trHeight w:val="322"/>
        </w:trPr>
        <w:tc>
          <w:tcPr>
            <w:tcW w:w="700" w:type="dxa"/>
            <w:vAlign w:val="bottom"/>
            <w:gridSpan w:val="2"/>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45">
              <w:r>
                <w:rPr>
                  <w:rFonts w:ascii="Arial" w:cs="Arial" w:eastAsia="Arial" w:hAnsi="Arial"/>
                  <w:sz w:val="18"/>
                  <w:szCs w:val="18"/>
                  <w:u w:val="single" w:color="auto"/>
                  <w:color w:val="0000EE"/>
                </w:rPr>
                <w:t>License Agreement, by and between the Registrant and Queen’s University at Kingston, dated as of February 21, 2020</w:t>
              </w:r>
            </w:hyperlink>
          </w:p>
        </w:tc>
      </w:tr>
      <w:tr>
        <w:trPr>
          <w:trHeight w:val="310"/>
        </w:trPr>
        <w:tc>
          <w:tcPr>
            <w:tcW w:w="700" w:type="dxa"/>
            <w:vAlign w:val="bottom"/>
            <w:gridSpan w:val="2"/>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46">
              <w:r>
                <w:rPr>
                  <w:rFonts w:ascii="Arial" w:cs="Arial" w:eastAsia="Arial" w:hAnsi="Arial"/>
                  <w:sz w:val="18"/>
                  <w:szCs w:val="18"/>
                  <w:u w:val="single" w:color="auto"/>
                  <w:color w:val="0000EE"/>
                </w:rPr>
                <w:t>License Agreement, by and between the Registrant and Abeona Therapeutics Inc., dated as of August 14, 2020</w:t>
              </w:r>
            </w:hyperlink>
          </w:p>
        </w:tc>
      </w:tr>
      <w:tr>
        <w:trPr>
          <w:trHeight w:val="266"/>
        </w:trPr>
        <w:tc>
          <w:tcPr>
            <w:tcW w:w="700" w:type="dxa"/>
            <w:vAlign w:val="bottom"/>
            <w:gridSpan w:val="2"/>
          </w:tcPr>
          <w:p>
            <w:pPr>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3"/>
                <w:szCs w:val="23"/>
                <w:color w:val="auto"/>
              </w:rPr>
            </w:pPr>
          </w:p>
        </w:tc>
        <w:tc>
          <w:tcPr>
            <w:tcW w:w="9980" w:type="dxa"/>
            <w:vAlign w:val="bottom"/>
            <w:gridSpan w:val="8"/>
          </w:tcPr>
          <w:p>
            <w:pPr>
              <w:spacing w:after="0"/>
              <w:rPr>
                <w:rFonts w:ascii="Arial" w:cs="Arial" w:eastAsia="Arial" w:hAnsi="Arial"/>
                <w:sz w:val="18"/>
                <w:szCs w:val="18"/>
                <w:color w:val="0000EE"/>
              </w:rPr>
            </w:pPr>
            <w:hyperlink r:id="rId347">
              <w:r>
                <w:rPr>
                  <w:rFonts w:ascii="Arial" w:cs="Arial" w:eastAsia="Arial" w:hAnsi="Arial"/>
                  <w:sz w:val="18"/>
                  <w:szCs w:val="18"/>
                  <w:color w:val="0000EE"/>
                </w:rPr>
                <w:t>2020 Equity Incentive Plan and Forms of Option Grant Notice and Agreement, Exercise Notice, Early Exercise Notice and</w:t>
              </w:r>
            </w:hyperlink>
          </w:p>
        </w:tc>
      </w:tr>
      <w:tr>
        <w:trPr>
          <w:trHeight w:val="183"/>
        </w:trPr>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347">
              <w:r>
                <w:rPr>
                  <w:rFonts w:ascii="Arial" w:cs="Arial" w:eastAsia="Arial" w:hAnsi="Arial"/>
                  <w:sz w:val="18"/>
                  <w:szCs w:val="18"/>
                  <w:color w:val="0000EE"/>
                </w:rPr>
                <w:t>Restricted Stock Award Notice (as amended)</w:t>
              </w:r>
            </w:hyperlink>
          </w:p>
        </w:tc>
        <w:tc>
          <w:tcPr>
            <w:tcW w:w="280" w:type="dxa"/>
            <w:vAlign w:val="bottom"/>
          </w:tcPr>
          <w:p>
            <w:pPr>
              <w:spacing w:after="0"/>
              <w:rPr>
                <w:sz w:val="15"/>
                <w:szCs w:val="15"/>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91"/>
        </w:trPr>
        <w:tc>
          <w:tcPr>
            <w:tcW w:w="700" w:type="dxa"/>
            <w:vAlign w:val="bottom"/>
            <w:gridSpan w:val="2"/>
          </w:tcPr>
          <w:p>
            <w:pPr>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color w:val="0000EE"/>
              </w:rPr>
            </w:pPr>
            <w:hyperlink r:id="rId348">
              <w:r>
                <w:rPr>
                  <w:rFonts w:ascii="Arial" w:cs="Arial" w:eastAsia="Arial" w:hAnsi="Arial"/>
                  <w:sz w:val="18"/>
                  <w:szCs w:val="18"/>
                  <w:color w:val="0000EE"/>
                </w:rPr>
                <w:t>2020 Stock Incentive Plan and Forms of Stock Option Grant Notice, Stock Option Agreement, Restricted Stock Unit Grant</w:t>
              </w:r>
            </w:hyperlink>
          </w:p>
        </w:tc>
      </w:tr>
      <w:tr>
        <w:trPr>
          <w:trHeight w:val="183"/>
        </w:trPr>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r:id="rId348">
              <w:r>
                <w:rPr>
                  <w:rFonts w:ascii="Arial" w:cs="Arial" w:eastAsia="Arial" w:hAnsi="Arial"/>
                  <w:sz w:val="18"/>
                  <w:szCs w:val="18"/>
                  <w:color w:val="0000EE"/>
                  <w:w w:val="99"/>
                </w:rPr>
                <w:t>Notice and Restricted Stock Unit Award Agreement</w:t>
              </w:r>
            </w:hyperlink>
          </w:p>
        </w:tc>
        <w:tc>
          <w:tcPr>
            <w:tcW w:w="5600" w:type="dxa"/>
            <w:vAlign w:val="bottom"/>
            <w:tcBorders>
              <w:top w:val="single" w:sz="8" w:color="0000EE"/>
            </w:tcBorders>
            <w:gridSpan w:val="3"/>
          </w:tcPr>
          <w:p>
            <w:pPr>
              <w:spacing w:after="0"/>
              <w:rPr>
                <w:sz w:val="15"/>
                <w:szCs w:val="15"/>
                <w:color w:val="auto"/>
              </w:rPr>
            </w:pPr>
          </w:p>
        </w:tc>
        <w:tc>
          <w:tcPr>
            <w:tcW w:w="300" w:type="dxa"/>
            <w:vAlign w:val="bottom"/>
            <w:gridSpan w:val="2"/>
          </w:tcPr>
          <w:p>
            <w:pPr>
              <w:spacing w:after="0"/>
              <w:rPr>
                <w:sz w:val="15"/>
                <w:szCs w:val="15"/>
                <w:color w:val="auto"/>
              </w:rPr>
            </w:pPr>
          </w:p>
        </w:tc>
      </w:tr>
      <w:tr>
        <w:trPr>
          <w:trHeight w:val="335"/>
        </w:trPr>
        <w:tc>
          <w:tcPr>
            <w:tcW w:w="700" w:type="dxa"/>
            <w:vAlign w:val="bottom"/>
            <w:gridSpan w:val="2"/>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49">
              <w:r>
                <w:rPr>
                  <w:rFonts w:ascii="Arial" w:cs="Arial" w:eastAsia="Arial" w:hAnsi="Arial"/>
                  <w:sz w:val="18"/>
                  <w:szCs w:val="18"/>
                  <w:u w:val="single" w:color="auto"/>
                  <w:color w:val="0000EE"/>
                </w:rPr>
                <w:t>2020 Employee Stock Purchase Plan</w:t>
              </w:r>
            </w:hyperlink>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50">
              <w:r>
                <w:rPr>
                  <w:rFonts w:ascii="Arial" w:cs="Arial" w:eastAsia="Arial" w:hAnsi="Arial"/>
                  <w:sz w:val="18"/>
                  <w:szCs w:val="18"/>
                  <w:u w:val="single" w:color="auto"/>
                  <w:color w:val="0000EE"/>
                </w:rPr>
                <w:t>Form of Indemnification Agreement with Executive Officers and Directors</w:t>
              </w:r>
            </w:hyperlink>
          </w:p>
        </w:tc>
      </w:tr>
      <w:tr>
        <w:trPr>
          <w:trHeight w:val="310"/>
        </w:trPr>
        <w:tc>
          <w:tcPr>
            <w:tcW w:w="700" w:type="dxa"/>
            <w:vAlign w:val="bottom"/>
            <w:gridSpan w:val="2"/>
          </w:tcPr>
          <w:p>
            <w:pPr>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51">
              <w:r>
                <w:rPr>
                  <w:rFonts w:ascii="Arial" w:cs="Arial" w:eastAsia="Arial" w:hAnsi="Arial"/>
                  <w:sz w:val="18"/>
                  <w:szCs w:val="18"/>
                  <w:u w:val="single" w:color="auto"/>
                  <w:color w:val="0000EE"/>
                </w:rPr>
                <w:t>Executive Employment Agreement, by and between the Registrant and RA Session II, dated as of April 1, 2020</w:t>
              </w:r>
            </w:hyperlink>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52">
              <w:r>
                <w:rPr>
                  <w:rFonts w:ascii="Arial" w:cs="Arial" w:eastAsia="Arial" w:hAnsi="Arial"/>
                  <w:sz w:val="18"/>
                  <w:szCs w:val="18"/>
                  <w:u w:val="single" w:color="auto"/>
                  <w:color w:val="0000EE"/>
                </w:rPr>
                <w:t>Non-Employee Director Compensation Policy</w:t>
              </w:r>
            </w:hyperlink>
          </w:p>
        </w:tc>
      </w:tr>
      <w:tr>
        <w:trPr>
          <w:trHeight w:val="310"/>
        </w:trPr>
        <w:tc>
          <w:tcPr>
            <w:tcW w:w="700" w:type="dxa"/>
            <w:vAlign w:val="bottom"/>
            <w:gridSpan w:val="2"/>
          </w:tcPr>
          <w:p>
            <w:pPr>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53">
              <w:r>
                <w:rPr>
                  <w:rFonts w:ascii="Arial" w:cs="Arial" w:eastAsia="Arial" w:hAnsi="Arial"/>
                  <w:sz w:val="18"/>
                  <w:szCs w:val="18"/>
                  <w:u w:val="single" w:color="auto"/>
                  <w:color w:val="0000EE"/>
                </w:rPr>
                <w:t>Change in Control Severance Plan and Form of Participation Agreement</w:t>
              </w:r>
            </w:hyperlink>
          </w:p>
        </w:tc>
      </w:tr>
      <w:tr>
        <w:trPr>
          <w:trHeight w:val="266"/>
        </w:trPr>
        <w:tc>
          <w:tcPr>
            <w:tcW w:w="700" w:type="dxa"/>
            <w:vAlign w:val="bottom"/>
            <w:gridSpan w:val="2"/>
          </w:tcPr>
          <w:p>
            <w:pPr>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23"/>
                <w:szCs w:val="23"/>
                <w:color w:val="auto"/>
              </w:rPr>
            </w:pPr>
          </w:p>
        </w:tc>
        <w:tc>
          <w:tcPr>
            <w:tcW w:w="9980" w:type="dxa"/>
            <w:vAlign w:val="bottom"/>
            <w:tcBorders>
              <w:bottom w:val="single" w:sz="8" w:color="0000EE"/>
            </w:tcBorders>
            <w:gridSpan w:val="8"/>
          </w:tcPr>
          <w:p>
            <w:pPr>
              <w:spacing w:after="0"/>
              <w:rPr>
                <w:rFonts w:ascii="Arial" w:cs="Arial" w:eastAsia="Arial" w:hAnsi="Arial"/>
                <w:sz w:val="18"/>
                <w:szCs w:val="18"/>
                <w:color w:val="0000EE"/>
                <w:w w:val="99"/>
              </w:rPr>
            </w:pPr>
            <w:hyperlink r:id="rId354">
              <w:r>
                <w:rPr>
                  <w:rFonts w:ascii="Arial" w:cs="Arial" w:eastAsia="Arial" w:hAnsi="Arial"/>
                  <w:sz w:val="18"/>
                  <w:szCs w:val="18"/>
                  <w:color w:val="0000EE"/>
                  <w:w w:val="99"/>
                </w:rPr>
                <w:t>Form of Amended and Restated Offer Letter, to be entered into by and between the Registrant and the Registrant’s Executive</w:t>
              </w:r>
            </w:hyperlink>
          </w:p>
        </w:tc>
      </w:tr>
      <w:tr>
        <w:trPr>
          <w:trHeight w:val="183"/>
        </w:trPr>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Borders>
              <w:bottom w:val="single" w:sz="8" w:color="0000EE"/>
            </w:tcBorders>
          </w:tcPr>
          <w:p>
            <w:pPr>
              <w:spacing w:after="0" w:line="182" w:lineRule="exact"/>
              <w:rPr>
                <w:rFonts w:ascii="Arial" w:cs="Arial" w:eastAsia="Arial" w:hAnsi="Arial"/>
                <w:sz w:val="18"/>
                <w:szCs w:val="18"/>
                <w:color w:val="0000EE"/>
                <w:w w:val="96"/>
              </w:rPr>
            </w:pPr>
            <w:hyperlink r:id="rId354">
              <w:r>
                <w:rPr>
                  <w:rFonts w:ascii="Arial" w:cs="Arial" w:eastAsia="Arial" w:hAnsi="Arial"/>
                  <w:sz w:val="18"/>
                  <w:szCs w:val="18"/>
                  <w:color w:val="0000EE"/>
                  <w:w w:val="96"/>
                </w:rPr>
                <w:t>Officers</w:t>
              </w:r>
            </w:hyperlink>
          </w:p>
        </w:tc>
        <w:tc>
          <w:tcPr>
            <w:tcW w:w="9360" w:type="dxa"/>
            <w:vAlign w:val="bottom"/>
            <w:gridSpan w:val="7"/>
          </w:tcPr>
          <w:p>
            <w:pPr>
              <w:spacing w:after="0"/>
              <w:rPr>
                <w:sz w:val="15"/>
                <w:szCs w:val="15"/>
                <w:color w:val="auto"/>
              </w:rPr>
            </w:pPr>
          </w:p>
        </w:tc>
      </w:tr>
      <w:tr>
        <w:trPr>
          <w:trHeight w:val="335"/>
        </w:trPr>
        <w:tc>
          <w:tcPr>
            <w:tcW w:w="700" w:type="dxa"/>
            <w:vAlign w:val="bottom"/>
            <w:gridSpan w:val="2"/>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w:anchor="page296">
              <w:r>
                <w:rPr>
                  <w:rFonts w:ascii="Arial" w:cs="Arial" w:eastAsia="Arial" w:hAnsi="Arial"/>
                  <w:sz w:val="18"/>
                  <w:szCs w:val="18"/>
                  <w:u w:val="single" w:color="auto"/>
                  <w:color w:val="0000EE"/>
                </w:rPr>
                <w:t>Consent of Deloitte &amp; Touche LLP, independent registered public accounting firm</w:t>
              </w:r>
            </w:hyperlink>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r:id="rId341">
              <w:r>
                <w:rPr>
                  <w:rFonts w:ascii="Arial" w:cs="Arial" w:eastAsia="Arial" w:hAnsi="Arial"/>
                  <w:sz w:val="18"/>
                  <w:szCs w:val="18"/>
                  <w:u w:val="single" w:color="auto"/>
                  <w:color w:val="0000EE"/>
                </w:rPr>
                <w:t>Consent of Cooley LLP (included in Exhibit 5.1)</w:t>
              </w:r>
            </w:hyperlink>
          </w:p>
        </w:tc>
      </w:tr>
      <w:tr>
        <w:trPr>
          <w:trHeight w:val="311"/>
        </w:trPr>
        <w:tc>
          <w:tcPr>
            <w:tcW w:w="700" w:type="dxa"/>
            <w:vAlign w:val="bottom"/>
            <w:gridSpan w:val="2"/>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u w:val="single" w:color="auto"/>
                <w:color w:val="0000EE"/>
              </w:rPr>
            </w:pPr>
            <w:hyperlink w:anchor="page254">
              <w:r>
                <w:rPr>
                  <w:rFonts w:ascii="Arial" w:cs="Arial" w:eastAsia="Arial" w:hAnsi="Arial"/>
                  <w:sz w:val="18"/>
                  <w:szCs w:val="18"/>
                  <w:u w:val="single" w:color="auto"/>
                  <w:color w:val="0000EE"/>
                </w:rPr>
                <w:t>Power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886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29" w:lineRule="exact"/>
        <w:rPr>
          <w:sz w:val="20"/>
          <w:szCs w:val="20"/>
          <w:color w:val="auto"/>
        </w:rPr>
      </w:pPr>
    </w:p>
    <w:p>
      <w:pPr>
        <w:ind w:left="560" w:hanging="552"/>
        <w:spacing w:after="0"/>
        <w:tabs>
          <w:tab w:leader="none" w:pos="5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3" w:lineRule="exact"/>
        <w:rPr>
          <w:sz w:val="20"/>
          <w:szCs w:val="20"/>
          <w:color w:val="auto"/>
        </w:rPr>
      </w:pPr>
    </w:p>
    <w:p>
      <w:pPr>
        <w:ind w:left="560" w:hanging="552"/>
        <w:spacing w:after="0"/>
        <w:tabs>
          <w:tab w:leader="none" w:pos="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Portions of this agreement (indicated by asterisks) have been omitted because the registrant has determined they are not material</w:t>
      </w:r>
    </w:p>
    <w:p>
      <w:pPr>
        <w:ind w:left="560"/>
        <w:spacing w:after="0" w:line="234" w:lineRule="auto"/>
        <w:rPr>
          <w:sz w:val="20"/>
          <w:szCs w:val="20"/>
          <w:color w:val="auto"/>
        </w:rPr>
      </w:pPr>
      <w:r>
        <w:rPr>
          <w:rFonts w:ascii="Arial" w:cs="Arial" w:eastAsia="Arial" w:hAnsi="Arial"/>
          <w:sz w:val="18"/>
          <w:szCs w:val="18"/>
          <w:color w:val="auto"/>
        </w:rPr>
        <w:t>and would likely cause competitive harm to the registrant if publicly disclosed.</w:t>
      </w:r>
    </w:p>
    <w:p>
      <w:pPr>
        <w:spacing w:after="0" w:line="1" w:lineRule="exact"/>
        <w:rPr>
          <w:sz w:val="20"/>
          <w:szCs w:val="20"/>
          <w:color w:val="auto"/>
        </w:rPr>
      </w:pPr>
    </w:p>
    <w:p>
      <w:pPr>
        <w:ind w:left="560" w:right="180" w:hanging="552"/>
        <w:spacing w:after="0" w:line="234" w:lineRule="auto"/>
        <w:tabs>
          <w:tab w:leader="none" w:pos="5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Certain schedules to this agreement have been omitted in accordance with Item 601(b)(2) of Regulation S-K. A copy of any omitted schedules will be furnished supplementally to the SEC upon request.</w:t>
      </w:r>
    </w:p>
    <w:p>
      <w:pPr>
        <w:spacing w:after="0" w:line="1" w:lineRule="exact"/>
        <w:rPr>
          <w:sz w:val="20"/>
          <w:szCs w:val="20"/>
          <w:color w:val="auto"/>
        </w:rPr>
      </w:pPr>
    </w:p>
    <w:p>
      <w:pPr>
        <w:ind w:left="560" w:hanging="552"/>
        <w:spacing w:after="0"/>
        <w:tabs>
          <w:tab w:leader="none" w:pos="5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(b) Financial Statement Schedules.</w:t>
      </w:r>
    </w:p>
    <w:p>
      <w:pPr>
        <w:spacing w:after="0" w:line="212"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04"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w:t>
      </w:r>
    </w:p>
    <w:p>
      <w:pPr>
        <w:sectPr>
          <w:pgSz w:w="11900" w:h="16838" w:orient="portrait"/>
          <w:cols w:equalWidth="0" w:num="1">
            <w:col w:w="11180"/>
          </w:cols>
          <w:pgMar w:left="320" w:top="455" w:right="39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question whether such indemnification by it is against public policy as expressed in the Securities Act and will be governed by the final adjudication of such issue.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1220" w:hanging="659"/>
        <w:spacing w:after="0" w:line="248" w:lineRule="auto"/>
        <w:tabs>
          <w:tab w:leader="none" w:pos="1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5" w:lineRule="exact"/>
        <w:rPr>
          <w:rFonts w:ascii="Arial" w:cs="Arial" w:eastAsia="Arial" w:hAnsi="Arial"/>
          <w:sz w:val="18"/>
          <w:szCs w:val="18"/>
          <w:color w:val="auto"/>
        </w:rPr>
      </w:pPr>
    </w:p>
    <w:p>
      <w:pPr>
        <w:ind w:left="1220" w:right="140" w:hanging="659"/>
        <w:spacing w:after="0" w:line="255" w:lineRule="auto"/>
        <w:tabs>
          <w:tab w:leader="none" w:pos="12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160"/>
          </w:cols>
          <w:pgMar w:left="320" w:top="455" w:right="41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Dallas, State of Texas, on this 17th day of September, 2020.</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TAYSHA GENE THERAPIES, INC.</w:t>
      </w:r>
    </w:p>
    <w:p>
      <w:pPr>
        <w:spacing w:after="0" w:line="25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11430</wp:posOffset>
            </wp:positionV>
            <wp:extent cx="261429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RA Session II</w:t>
      </w:r>
    </w:p>
    <w:p>
      <w:pPr>
        <w:spacing w:after="0" w:line="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190"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1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120" w:type="dxa"/>
            <w:vAlign w:val="bottom"/>
            <w:gridSpan w:val="3"/>
          </w:tcPr>
          <w:p>
            <w:pPr>
              <w:ind w:left="1920"/>
              <w:spacing w:after="0"/>
              <w:rPr>
                <w:sz w:val="20"/>
                <w:szCs w:val="20"/>
                <w:color w:val="auto"/>
              </w:rPr>
            </w:pPr>
            <w:r>
              <w:rPr>
                <w:rFonts w:ascii="Arial" w:cs="Arial" w:eastAsia="Arial" w:hAnsi="Arial"/>
                <w:sz w:val="14"/>
                <w:szCs w:val="14"/>
                <w:b w:val="1"/>
                <w:bCs w:val="1"/>
                <w:color w:val="auto"/>
              </w:rPr>
              <w:t>Title</w:t>
            </w:r>
          </w:p>
        </w:tc>
        <w:tc>
          <w:tcPr>
            <w:tcW w:w="190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200" w:type="dxa"/>
            <w:vAlign w:val="bottom"/>
            <w:gridSpan w:val="2"/>
          </w:tcPr>
          <w:p>
            <w:pPr>
              <w:spacing w:after="0"/>
              <w:rPr>
                <w:sz w:val="20"/>
                <w:szCs w:val="20"/>
                <w:color w:val="auto"/>
              </w:rPr>
            </w:pPr>
            <w:r>
              <w:rPr>
                <w:rFonts w:ascii="Arial" w:cs="Arial" w:eastAsia="Arial" w:hAnsi="Arial"/>
                <w:sz w:val="18"/>
                <w:szCs w:val="18"/>
                <w:color w:val="auto"/>
              </w:rPr>
              <w:t>/s/ RA Session II</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12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RA Session II</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20" w:type="dxa"/>
            <w:vAlign w:val="bottom"/>
            <w:gridSpan w:val="3"/>
            <w:vMerge w:val="continue"/>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880" w:type="dxa"/>
            <w:vAlign w:val="bottom"/>
            <w:gridSpan w:val="3"/>
          </w:tcPr>
          <w:p>
            <w:pPr>
              <w:spacing w:after="0"/>
              <w:rPr>
                <w:sz w:val="20"/>
                <w:szCs w:val="20"/>
                <w:color w:val="auto"/>
              </w:rPr>
            </w:pPr>
            <w:r>
              <w:rPr>
                <w:rFonts w:ascii="Arial" w:cs="Arial" w:eastAsia="Arial" w:hAnsi="Arial"/>
                <w:sz w:val="18"/>
                <w:szCs w:val="18"/>
                <w:color w:val="auto"/>
              </w:rPr>
              <w:t>/s/ Kamran Alam</w:t>
            </w: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and</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120" w:type="dxa"/>
            <w:vAlign w:val="bottom"/>
            <w:gridSpan w:val="3"/>
            <w:vMerge w:val="restart"/>
          </w:tcPr>
          <w:p>
            <w:pPr>
              <w:ind w:left="120"/>
              <w:spacing w:after="0"/>
              <w:rPr>
                <w:sz w:val="20"/>
                <w:szCs w:val="20"/>
                <w:color w:val="auto"/>
              </w:rPr>
            </w:pPr>
            <w:r>
              <w:rPr>
                <w:rFonts w:ascii="Arial" w:cs="Arial" w:eastAsia="Arial" w:hAnsi="Arial"/>
                <w:sz w:val="18"/>
                <w:szCs w:val="18"/>
                <w:i w:val="1"/>
                <w:iCs w:val="1"/>
                <w:color w:val="auto"/>
              </w:rPr>
              <w:t>Accounting Officer)</w:t>
            </w: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Kamran Alam</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20" w:type="dxa"/>
            <w:vAlign w:val="bottom"/>
            <w:gridSpan w:val="3"/>
            <w:vMerge w:val="continue"/>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Phillip B. Donenberg</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Sean P. Nolan</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Paul B. Manning</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left="193"/>
              <w:spacing w:after="0"/>
              <w:rPr>
                <w:sz w:val="20"/>
                <w:szCs w:val="20"/>
                <w:color w:val="auto"/>
              </w:rPr>
            </w:pPr>
            <w:r>
              <w:rPr>
                <w:rFonts w:ascii="Arial" w:cs="Arial" w:eastAsia="Arial" w:hAnsi="Arial"/>
                <w:sz w:val="18"/>
                <w:szCs w:val="18"/>
                <w:color w:val="auto"/>
                <w:w w:val="99"/>
              </w:rPr>
              <w:t>September 17, 2020</w:t>
            </w:r>
          </w:p>
        </w:tc>
        <w:tc>
          <w:tcPr>
            <w:tcW w:w="0" w:type="dxa"/>
            <w:vAlign w:val="bottom"/>
          </w:tcPr>
          <w:p>
            <w:pPr>
              <w:spacing w:after="0"/>
              <w:rPr>
                <w:sz w:val="1"/>
                <w:szCs w:val="1"/>
                <w:color w:val="auto"/>
              </w:rPr>
            </w:pPr>
          </w:p>
        </w:tc>
      </w:tr>
      <w:tr>
        <w:trPr>
          <w:trHeight w:val="236"/>
        </w:trPr>
        <w:tc>
          <w:tcPr>
            <w:tcW w:w="2880" w:type="dxa"/>
            <w:vAlign w:val="bottom"/>
            <w:gridSpan w:val="3"/>
          </w:tcPr>
          <w:p>
            <w:pPr>
              <w:spacing w:after="0"/>
              <w:rPr>
                <w:sz w:val="20"/>
                <w:szCs w:val="20"/>
                <w:color w:val="auto"/>
              </w:rPr>
            </w:pPr>
            <w:r>
              <w:rPr>
                <w:rFonts w:ascii="Arial" w:cs="Arial" w:eastAsia="Arial" w:hAnsi="Arial"/>
                <w:sz w:val="18"/>
                <w:szCs w:val="18"/>
                <w:color w:val="auto"/>
              </w:rPr>
              <w:t>Sukumar Nagendran, M.D.</w:t>
            </w:r>
          </w:p>
        </w:tc>
        <w:tc>
          <w:tcPr>
            <w:tcW w:w="1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80" w:type="dxa"/>
            <w:vAlign w:val="bottom"/>
            <w:gridSpan w:val="3"/>
          </w:tcPr>
          <w:p>
            <w:pPr>
              <w:spacing w:after="0"/>
              <w:rPr>
                <w:sz w:val="20"/>
                <w:szCs w:val="20"/>
                <w:color w:val="auto"/>
              </w:rPr>
            </w:pPr>
            <w:r>
              <w:rPr>
                <w:rFonts w:ascii="Arial" w:cs="Arial" w:eastAsia="Arial" w:hAnsi="Arial"/>
                <w:sz w:val="18"/>
                <w:szCs w:val="18"/>
                <w:color w:val="auto"/>
              </w:rPr>
              <w:t>*By:  /s/ RA Session II</w:t>
            </w: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2460" w:type="dxa"/>
            <w:vAlign w:val="bottom"/>
            <w:tcBorders>
              <w:top w:val="single" w:sz="8" w:color="auto"/>
            </w:tcBorders>
            <w:gridSpan w:val="2"/>
          </w:tcPr>
          <w:p>
            <w:pPr>
              <w:ind w:left="40"/>
              <w:spacing w:after="0" w:line="173" w:lineRule="exact"/>
              <w:rPr>
                <w:sz w:val="20"/>
                <w:szCs w:val="20"/>
                <w:color w:val="auto"/>
              </w:rPr>
            </w:pPr>
            <w:r>
              <w:rPr>
                <w:rFonts w:ascii="Arial" w:cs="Arial" w:eastAsia="Arial" w:hAnsi="Arial"/>
                <w:sz w:val="18"/>
                <w:szCs w:val="18"/>
                <w:color w:val="auto"/>
              </w:rPr>
              <w:t>RA Session II</w:t>
            </w:r>
          </w:p>
        </w:tc>
        <w:tc>
          <w:tcPr>
            <w:tcW w:w="160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460" w:type="dxa"/>
            <w:vAlign w:val="bottom"/>
            <w:gridSpan w:val="2"/>
          </w:tcPr>
          <w:p>
            <w:pPr>
              <w:ind w:left="40"/>
              <w:spacing w:after="0"/>
              <w:rPr>
                <w:sz w:val="20"/>
                <w:szCs w:val="20"/>
                <w:color w:val="auto"/>
              </w:rPr>
            </w:pPr>
            <w:r>
              <w:rPr>
                <w:rFonts w:ascii="Arial" w:cs="Arial" w:eastAsia="Arial" w:hAnsi="Arial"/>
                <w:sz w:val="18"/>
                <w:szCs w:val="18"/>
                <w:color w:val="auto"/>
              </w:rPr>
              <w:t>Attorney-in-fact</w:t>
            </w:r>
          </w:p>
        </w:tc>
        <w:tc>
          <w:tcPr>
            <w:tcW w:w="1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5" w:right="37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10282-2198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Taysha Gene Therapies, Inc., a Delaware corporation (the “Company”), proposes, subject to the terms and conditions stated in this agreement (this “Agreement”), to issue and sell to the Underwriters named in Schedule I hereto (the “Underwriters”), for whom you are acting as the representatives (the “Representatives”), an aggregate of [•] shares (the “Firm Shares”) and, at the election of the Underwriters, up to [•] additional shares (the “Optional Shares”) of common stock, par value $[•] per share (“Stock”), of the Company (the Firm Shares and the Optional Shares that the Underwriters elect to purchase pursuant to Section 2 hereof being collectively called the “Shares”).</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Goldman Sachs &amp; Co. LLC (the “Directed Share Underwriter”) has agreed to reserve up to [●] Shares of the Shares to be purchased by it under this Agreement for sale at the direction of the Company to certain parties related to the Company (collectively, “Participants”). The Shares to be sold by the Directed Share Underwriter pursuant to the Directed Share Program are hereinafter called the “Directed Shares.” Any Directed Shares not confirmed for purchase by the deadline established therefor by the Directed Share Underwriter in consultation with the Company will be offered to the public by the Underwriters as set forth in the Prospectus (as defined herein).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Company represents and warrants to, and agrees with, each of the Underwriters that:</w:t>
      </w:r>
    </w:p>
    <w:p>
      <w:pPr>
        <w:spacing w:after="0" w:line="225" w:lineRule="exact"/>
        <w:rPr>
          <w:sz w:val="20"/>
          <w:szCs w:val="20"/>
          <w:color w:val="auto"/>
        </w:rPr>
      </w:pPr>
    </w:p>
    <w:p>
      <w:pPr>
        <w:jc w:val="both"/>
        <w:ind w:right="120" w:firstLine="436"/>
        <w:spacing w:after="0" w:line="266"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S-1 (File No. 333-248559) (the “Initial Registration Statement”) in respect of the Shares has been filed with the Securities and Exchange Commission (the “Commission”); the Initial Registration Statement and any post-effective amendment thereto, each in the form heretofore delivered to the</w:t>
      </w:r>
    </w:p>
    <w:p>
      <w:pPr>
        <w:sectPr>
          <w:pgSz w:w="11900" w:h="16838" w:orient="portrait"/>
          <w:cols w:equalWidth="0" w:num="1">
            <w:col w:w="11020"/>
          </w:cols>
          <w:pgMar w:left="440" w:top="117" w:right="439" w:bottom="1440" w:gutter="0" w:footer="0" w:header="0"/>
        </w:sectPr>
      </w:pPr>
    </w:p>
    <w:bookmarkStart w:id="255" w:name="page256"/>
    <w:bookmarkEnd w:id="25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Representatives,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under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192" w:lineRule="exact"/>
        <w:rPr>
          <w:sz w:val="20"/>
          <w:szCs w:val="20"/>
          <w:color w:val="auto"/>
        </w:rPr>
      </w:pPr>
    </w:p>
    <w:p>
      <w:pPr>
        <w:ind w:right="40" w:firstLine="436"/>
        <w:spacing w:after="0" w:line="256" w:lineRule="auto"/>
        <w:tabs>
          <w:tab w:leader="none" w:pos="69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No order preventing or suspending the use of any Preliminary Prospectus or any Issuer Free Writing Prospectus has been issued by the Commission, and (ii)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any statements or omissions made in reliance upon and in conformity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Information (as defined in Section 9(b) of this Agreement);</w:t>
      </w:r>
    </w:p>
    <w:p>
      <w:pPr>
        <w:spacing w:after="0" w:line="187" w:lineRule="exact"/>
        <w:rPr>
          <w:rFonts w:ascii="Times New Roman" w:cs="Times New Roman" w:eastAsia="Times New Roman" w:hAnsi="Times New Roman"/>
          <w:sz w:val="18"/>
          <w:szCs w:val="18"/>
          <w:color w:val="auto"/>
        </w:rPr>
      </w:pPr>
    </w:p>
    <w:p>
      <w:pPr>
        <w:ind w:right="40" w:firstLine="436"/>
        <w:spacing w:after="0" w:line="258" w:lineRule="auto"/>
        <w:tabs>
          <w:tab w:leader="none" w:pos="68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“Applicable Time” is [•] [a.m./p.m.]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(as supplemented by any post-effective amendment thereto) will not, include any untrue statement of a material fact or omit to state any material fact necessary in order to make the statements therein, in the light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56" w:name="page257"/>
    <w:bookmarkEnd w:id="256"/>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circumstances under which they were made, not misleading; and each Issuer Free Writing Prospectus and each Testing-the-Waters Communication does not conflict with the information contained in the Registration Statement, the Pricing Prospectus or the Prospectus and each Issuer Free Writing Prospectus and each Testing-the-Waters Communication, as supplemented by and taken together with the Pricing Disclosure Package, as of the Applicable Time, did not , and as of each Time of Delivery (as supplemented by any post-effective amendment thereto)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189" w:lineRule="exact"/>
        <w:rPr>
          <w:sz w:val="20"/>
          <w:szCs w:val="20"/>
          <w:color w:val="auto"/>
        </w:rPr>
      </w:pPr>
    </w:p>
    <w:p>
      <w:pPr>
        <w:ind w:left="4" w:right="120" w:firstLine="436"/>
        <w:spacing w:after="0" w:line="282" w:lineRule="auto"/>
        <w:tabs>
          <w:tab w:leader="none" w:pos="69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documents were filed with the Commission since the Commission’s close of business on the business day immediately prior to the date of this Agreement and prior to the execution of this Agreement, except as set forth on Schedule II(b) hereto;</w:t>
      </w:r>
    </w:p>
    <w:p>
      <w:pPr>
        <w:spacing w:after="0" w:line="161"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8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at the time it was declared effective, conformed, and the Prospectus and any further amendments or supplements to the Registration Statement and the Prospectus, as of the date of the Prospectus or such amendment or supplement,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88"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since the date of the latest audited financial statements included in the Pricing Prospectus and the Prospectus,</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or incurred any liability or obligation, direct or contingent, that is material to the Company, in each case otherwise than as set forth or contemplated in the Pricing Prospectus and the Prospectus; and, since the respective dates as of which information is given in the Registration Statement, the Pricing Prospectus and the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Company securities as described in the Pricing Prospectus and the Prospectus) or long-term debt of the Company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stockholders’ equity, prospects or results</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57" w:name="page258"/>
    <w:bookmarkEnd w:id="257"/>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operations of the Company, except as set forth or contemplated in the Pricing Prospectus and the Prospectus, or (ii) the ability of the Company to perform its obligations under this Agreement, including the issuance and sale of the Shares, or to consummate the transactions contemplated in the Pricing Prospectus and the Prospectus;</w:t>
      </w:r>
    </w:p>
    <w:p>
      <w:pPr>
        <w:spacing w:after="0" w:line="176" w:lineRule="exact"/>
        <w:rPr>
          <w:sz w:val="20"/>
          <w:szCs w:val="20"/>
          <w:color w:val="auto"/>
        </w:rPr>
      </w:pPr>
    </w:p>
    <w:p>
      <w:pPr>
        <w:ind w:right="80" w:firstLine="436"/>
        <w:spacing w:after="0" w:line="256"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good and marketable title in fee simple to all real property, if any, and good and marketable title to all personal property owned by it, in each case free and clear of all liens, encumbrances and defects except such as are described in the Pricing Prospectus and the Prospectus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enforceable leases with such exceptions as are not material and do not materially interfere with the use made and proposed to be made of such property and buildings by the Company;</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 duly organized and is validly existing and in good standing under the laws of its jurisdiction of organization, with power and authority (corporate and other) to own and/or lease its properties and conduct its business as described in the Pricing Prospectus and the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the Company has no subsidiaries;</w:t>
      </w:r>
    </w:p>
    <w:p>
      <w:pPr>
        <w:spacing w:after="0" w:line="187" w:lineRule="exact"/>
        <w:rPr>
          <w:rFonts w:ascii="Times New Roman" w:cs="Times New Roman" w:eastAsia="Times New Roman" w:hAnsi="Times New Roman"/>
          <w:sz w:val="18"/>
          <w:szCs w:val="18"/>
          <w:color w:val="auto"/>
        </w:rPr>
      </w:pPr>
    </w:p>
    <w:p>
      <w:pPr>
        <w:ind w:right="20" w:firstLine="436"/>
        <w:spacing w:after="0" w:line="266"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Pricing Prospectus and the Prospectus and all of the issued shares of capital stock of the Company have been duly and validly authorized and issued and are fully paid and non-assessable and conform in all material respects to the description of the Stock contained in the Pricing Disclosure Package and the Prospectus;</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except as have been validly waived or complied with in connection with the offering of the Shares;</w:t>
      </w:r>
    </w:p>
    <w:p>
      <w:pPr>
        <w:spacing w:after="0" w:line="179"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Shares and the compliance by the Company with this Agreement and the consummation of the transactions contemplated in this Agreement and the Pricing Prospectus and the Prospectus will not conflict with or result in a breach or violation of any of the terms or provisions of, or constitute a default under, (i) any indenture, mortgage, deed of trust, loan agreement or other agreement or instrument to which the Company is a party or by which the Company is bound or to which any of the property or assets of the Company is subject, (ii) the certificate of incorporation or by-laws (or other applicable organizational document) of the Company, or (iii) any statute or any judgment, order, rule or regulation of any court or governmental agency or body having jurisdiction over the Company or any of its properties, except, in the case of clauses (i) and (iii) for such defaults, breaches, or violations that would not, individually or in the aggregate,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58" w:name="page259"/>
    <w:bookmarkEnd w:id="258"/>
    <w:p>
      <w:pPr>
        <w:ind w:right="3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the Shares on The Nasdaq Global Market (“Nasdaq”) and such consents, approvals, authorizations, registrations or qualifications as may be required under state securities or Blue Sky laws in connection with the purchase and distribution of the Shares by the Underwriters;</w:t>
      </w:r>
    </w:p>
    <w:p>
      <w:pPr>
        <w:spacing w:after="0" w:line="187" w:lineRule="exact"/>
        <w:rPr>
          <w:sz w:val="20"/>
          <w:szCs w:val="20"/>
          <w:color w:val="auto"/>
        </w:rPr>
      </w:pPr>
    </w:p>
    <w:p>
      <w:pPr>
        <w:ind w:right="20" w:firstLine="436"/>
        <w:spacing w:after="0" w:line="256" w:lineRule="auto"/>
        <w:tabs>
          <w:tab w:leader="none" w:pos="65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 in violation of its certificate of incorporation or by-laws (or other applicable organizational document), (ii) in violation of any statute or any judgment, order, rule or regulation of any court or governmental agency or body having jurisdiction over the Company or any of its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180" w:firstLine="436"/>
        <w:spacing w:after="0" w:line="261" w:lineRule="auto"/>
        <w:tabs>
          <w:tab w:leader="none" w:pos="74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the Pricing Prospectus and the Prospectus under the captions “Description of Capital Stock” and “Shares Eligible for Future Sale”, insofar as they purport to constitute a summary of the terms of the Stock, and under the caption “Material U.S. Federal Income Tax Consequences to Non-U.S. Holders”, insofar as they purport to describe the provisions of the laws and documents referred to therein, are accurate, complete and fair in all material respects;</w:t>
      </w:r>
    </w:p>
    <w:p>
      <w:pPr>
        <w:spacing w:after="0" w:line="179"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and the Prospectus, there are no legal or governmental proceedings pending to which the Company or, to the Company’s knowledge, any officer or director of the Company, is a party or of which any property of the Company or, to the Company’s knowledge, any officer or director of the Company, is the subject which, if determined adversely to the Company (or such officer or director), would individually or in the aggregate reasonably be expected to have a Material Adverse Effect; and, to the Company’s knowledge, no such proceedings are threatened or contemplated by governmental authorities or others;</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the Pricing Prospectus and the Prospectus, will not be an “investment company”, as such term is defined in the Investment Company Act of 1940, as amended (the “Investment Company Act”);</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&amp; Touche LLP, who have certified certain financial statements of the Company, are independent public accountants as required by the Act and the rules and regulations of the Commission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259" w:name="page260"/>
    <w:bookmarkEnd w:id="259"/>
    <w:p>
      <w:pPr>
        <w:ind w:firstLine="436"/>
        <w:spacing w:after="0" w:line="253" w:lineRule="auto"/>
        <w:tabs>
          <w:tab w:leader="none" w:pos="6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maintains a system of internal control over financial reporting (as such term is defined in Rule 13a-15(f) under the Securities Exchange Act of 1934, as amended (the “Exchange Act”)) that (i)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 is designed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 is not aware of any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w:t>
      </w:r>
      <w:r>
        <w:rPr>
          <w:rFonts w:ascii="Times New Roman" w:cs="Times New Roman" w:eastAsia="Times New Roman" w:hAnsi="Times New Roman"/>
          <w:sz w:val="18"/>
          <w:szCs w:val="18"/>
          <w:b w:val="1"/>
          <w:bCs w:val="1"/>
          <w:color w:val="auto"/>
        </w:rPr>
        <w:t>;</w:t>
      </w:r>
    </w:p>
    <w:p>
      <w:pPr>
        <w:spacing w:after="0" w:line="191"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7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in the Pricing Prospectus and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175" w:lineRule="exact"/>
        <w:rPr>
          <w:rFonts w:ascii="Times New Roman" w:cs="Times New Roman" w:eastAsia="Times New Roman" w:hAnsi="Times New Roman"/>
          <w:sz w:val="18"/>
          <w:szCs w:val="18"/>
          <w:color w:val="auto"/>
        </w:rPr>
      </w:pPr>
    </w:p>
    <w:p>
      <w:pPr>
        <w:ind w:right="60" w:firstLine="436"/>
        <w:spacing w:after="0" w:line="266"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13a-15(e) under the Exchange Act) that have been designed to ensure that material information relating to the Company is made known to the Company’s principal executive officer and principal financial officer by others within the Company; and such disclosure controls and procedures are effective in all material respects;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director, officer or employee nor, to the knowledge of the Company, any agent, affiliate or other person, while acting on behalf of the Company (i) has made, offered, promised or authorized any unlawful contribution, gift, entertainment or other unlawful expense or taken any act in furtherance thereof; (ii) has made, offered, promised or authorized any direct or indirect unlawful payment; (iii) has violated or is in violation of any applicable provision of the Foreign Corrupt Practices Act of 1977, as amended, the Bribery Act 2010 of the United Kingdom or any other applicable anti-bribery or anti-corruption law; or (iv) will use, directly or indirectly, the proceeds of the offering in furtherance of an offer, promise or authorization of any unlawful contribution, gift, entertainment or other unlawful expense in violation of any applicable anti-corruption laws; and the Company has conducted its business in compliance with applicable anti-corruption laws and has instituted, will continue to institute and will maintain policies and procedures reasonably designed to promote and achieve compliance with such laws and with the representations and warranties contained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60" w:name="page261"/>
    <w:bookmarkEnd w:id="260"/>
    <w:p>
      <w:pPr>
        <w:ind w:right="60" w:firstLine="436"/>
        <w:spacing w:after="0" w:line="258" w:lineRule="auto"/>
        <w:tabs>
          <w:tab w:leader="none" w:pos="73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operations of the Company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conducts business (collectively, the “Money Laundering Laws”) and no action, suit or proceeding by or before any court or governmental agency, authority or body or any arbitrator involving the Company with respect to the Money Laundering Laws is pending or, to the knowledge of the Company, threatened;</w:t>
      </w:r>
    </w:p>
    <w:p>
      <w:pPr>
        <w:spacing w:after="0" w:line="183"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director, officer or employee nor, to the knowledge of the Company, any agent, affiliate or representative of the Company is an individual or entity (“Person”) that is, or is 50% or more owned or otherwise controlled by one or more Persons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nor is the Company located, organized or resident in a country or territory that is the subject or target of Sanctions (currently, Cuba, Iran, North Korea, Syria or the Crimea Region,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and the Company has not knowingly engaged in and is not now knowingly engaged in, and will not engage in, any dealings or transactions with any individual or entity, or in any country or territory, that at the time of the dealing or transaction is or was the subject of Sanctions;</w:t>
      </w:r>
    </w:p>
    <w:p>
      <w:pPr>
        <w:spacing w:after="0" w:line="187"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the Pricing Prospectus and the Prospectus, together with the related schedules and notes, present fairly in all material respects the financial position of the Company at the dates indicated and the statement of operations, stockholders’ equity and cash flows of the Company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61" w:name="page262"/>
    <w:bookmarkEnd w:id="261"/>
    <w:p>
      <w:pPr>
        <w:jc w:val="both"/>
        <w:ind w:right="120" w:firstLine="436"/>
        <w:spacing w:after="0" w:line="312" w:lineRule="auto"/>
        <w:tabs>
          <w:tab w:leader="none" w:pos="68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are no persons with registration rights or other similar rights to have any securities registered pursuant to the Registration Statement or otherwise registered by the Company under the Act except as have been validly waived or complied with in connection with the offering of the Shares;</w:t>
      </w:r>
    </w:p>
    <w:p>
      <w:pPr>
        <w:spacing w:after="0" w:line="140" w:lineRule="exact"/>
        <w:rPr>
          <w:sz w:val="20"/>
          <w:szCs w:val="20"/>
          <w:color w:val="auto"/>
        </w:rPr>
      </w:pPr>
    </w:p>
    <w:p>
      <w:pPr>
        <w:jc w:val="both"/>
        <w:ind w:right="660" w:firstLine="436"/>
        <w:spacing w:after="0" w:line="261" w:lineRule="auto"/>
        <w:tabs>
          <w:tab w:leader="none" w:pos="76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disturbance by or dispute with current or former employees or officers of the Company exists or, to the Company’s knowledge, is contemplated or threatened, and the Company is not aware of any existing or imminent labor disturbance by, or dispute with, the employees of any of the Company’s principal suppliers, manufacturers or contractors. The Company is not a party to any collective bargaining agreement;</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7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insurance covering its respective properties, operations, personnel and businesses, including business interruption insurance, which insurance is in amounts and insures against such losses and risks as are reasonable and is ordinary and customary for comparable companies in the same or similar businesses; and Company has not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7" w:lineRule="exact"/>
        <w:rPr>
          <w:rFonts w:ascii="Times New Roman" w:cs="Times New Roman" w:eastAsia="Times New Roman" w:hAnsi="Times New Roman"/>
          <w:sz w:val="18"/>
          <w:szCs w:val="18"/>
          <w:color w:val="auto"/>
        </w:rPr>
      </w:pPr>
    </w:p>
    <w:p>
      <w:pPr>
        <w:ind w:right="120" w:firstLine="436"/>
        <w:spacing w:after="0" w:line="266" w:lineRule="auto"/>
        <w:tabs>
          <w:tab w:leader="none" w:pos="76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meets the independence requirements of, and has established an audit committee, a compensation committee and a nominating and corporate governance committee, in each case, that meets the independence requirements of, the rules and regulations of the Commission and Nasdaq, including the phase-in periods provided by the rules and regulations of the Commission and Nasdaq;</w:t>
      </w:r>
    </w:p>
    <w:p>
      <w:pPr>
        <w:spacing w:after="0" w:line="175" w:lineRule="exact"/>
        <w:rPr>
          <w:rFonts w:ascii="Times New Roman" w:cs="Times New Roman" w:eastAsia="Times New Roman" w:hAnsi="Times New Roman"/>
          <w:sz w:val="18"/>
          <w:szCs w:val="18"/>
          <w:color w:val="auto"/>
        </w:rPr>
      </w:pPr>
    </w:p>
    <w:p>
      <w:pPr>
        <w:ind w:firstLine="436"/>
        <w:spacing w:after="0" w:line="268" w:lineRule="auto"/>
        <w:tabs>
          <w:tab w:leader="none" w:pos="78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directors, officers and employees, and to the Company’s knowledge, its respective agents, affiliates and representatives, are, and at all times have been, in material compliance with all Health Care Laws (defined herein), including, but not limited to, the rules and regulations of the Food and Drug Administration (“FDA”), the U.S. Department of Health and Human Services Office of Inspector General, the Centers for Medicare &amp; Medicaid Services, the Office for Civil Rights, the Department of Justice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For purposes of this Agreement, “Health Care Laws” shall mean the federal Anti-kickback Statute (42 U.S.C. § 1320a-7b(b)), the Physician Payments Sunshine Act (42 U.S.C. §</w:t>
      </w:r>
    </w:p>
    <w:p>
      <w:pPr>
        <w:spacing w:after="0" w:line="2" w:lineRule="exact"/>
        <w:rPr>
          <w:rFonts w:ascii="Times New Roman" w:cs="Times New Roman" w:eastAsia="Times New Roman" w:hAnsi="Times New Roman"/>
          <w:sz w:val="17"/>
          <w:szCs w:val="17"/>
          <w:color w:val="auto"/>
        </w:rPr>
      </w:pPr>
    </w:p>
    <w:p>
      <w:pPr>
        <w:ind w:right="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1320a-7h), the civil False Claims Act (31 U.S.C. §§ 3729 et seq.), the criminal False Claims Act (42 U.S.C. § 1320a-7b(a)), all criminal laws relating to health care fraud and abuse, including but not limited to 18 U.S.C. Sections 286, 287, 1347 and 1349, and the health care fraud criminal provisions under the Health Insurance Portability and Accountability Act of 1996 (42 U.S.C. §§ 1320d et seq.) (“HIPAA”), the exclusion laws (42 U.S.C. §</w:t>
      </w:r>
    </w:p>
    <w:p>
      <w:pPr>
        <w:spacing w:after="0" w:line="1" w:lineRule="exact"/>
        <w:rPr>
          <w:rFonts w:ascii="Times New Roman" w:cs="Times New Roman" w:eastAsia="Times New Roman" w:hAnsi="Times New Roman"/>
          <w:sz w:val="17"/>
          <w:szCs w:val="17"/>
          <w:color w:val="auto"/>
        </w:rPr>
      </w:pPr>
    </w:p>
    <w:p>
      <w:pPr>
        <w:ind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1320a-7), the civil monetary penalties law (42 U.S.C. § 1320a-7a), the Stark Law (42 U.S.C. § 1395nn), HIPAA, as amended by the Health Information Technology for Economic and Clinical Health Act (42 U.S.C. §§ 17921 et seq.), the Federal Food, Drug, and Cosmetic Act (21 U.S.C. §§ 301 et seq.), Medicare (Title XVIII of the Social Security Act), Medicaid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62" w:name="page263"/>
    <w:bookmarkEnd w:id="262"/>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 XIX of the Social Security Act), the Public Health Service Act (42 U.S.C. §§ 201 et seq.), or any analogous rules and regulations of any other national, supranatural, federal, state or local governmental or regulatory body or authority. The Company has filed,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The Company is not a party to 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communication, including, without limitation, any FDA Form 483, notice of adverse finding, warning letter, untitled letter or other correspondence or written notice from the FDA or any similar regulatory authority, or any notification of any pending or threatened claim, suit, proceeding, hearing, enforcement, investigation, arbitration or other action, from any arbitrator or regulatory or governmental authority or third party alleging potential or actual non-compliance by, or liability of, the Company under any Health Care Laws;</w:t>
      </w:r>
    </w:p>
    <w:p>
      <w:pPr>
        <w:spacing w:after="0" w:line="192" w:lineRule="exact"/>
        <w:rPr>
          <w:sz w:val="20"/>
          <w:szCs w:val="20"/>
          <w:color w:val="auto"/>
        </w:rPr>
      </w:pPr>
    </w:p>
    <w:p>
      <w:pPr>
        <w:ind w:firstLine="436"/>
        <w:spacing w:after="0" w:line="254" w:lineRule="auto"/>
        <w:tabs>
          <w:tab w:leader="none" w:pos="7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possessed and currently possesses, and is in material compliance with the terms of, all applications, certificates, approvals, clearances, registrations, exemptions, franchises, licenses, permits, consents and other authorizations necessary to conduct its business (collectively, “Licenses”), issued by governmental authorities, including, without limitation, all Licenses required by the FDA, or any component thereof, the National Institutes of Health (“NIH”) and/or by any other U.S., state, local or foreign government or drug regulatory agency (collectively, the “Regulatory Agencies”). All Licenses are in full force and effect and the Company is not in material violation of any term or conditions of any License. The Company has materially fulfilled and performed all of its respective obligations with respect to the Licenses and, to the Company’s knowledge, no event has occurred which allows, or after notice or lapse of time would allow, revocation or termination thereof or results in any other impairment of the rights of the holder of any License. The Company has not received any notice of proceedings relating to the revocation or modification of any Licenses and no Regulatory Agency has taken any action to limit, suspend or revoke any License possessed by the Company;</w:t>
      </w:r>
    </w:p>
    <w:p>
      <w:pPr>
        <w:spacing w:after="0" w:line="188" w:lineRule="exact"/>
        <w:rPr>
          <w:rFonts w:ascii="Times New Roman" w:cs="Times New Roman" w:eastAsia="Times New Roman" w:hAnsi="Times New Roman"/>
          <w:sz w:val="18"/>
          <w:szCs w:val="18"/>
          <w:color w:val="auto"/>
        </w:rPr>
      </w:pPr>
    </w:p>
    <w:p>
      <w:pPr>
        <w:ind w:right="40" w:firstLine="436"/>
        <w:spacing w:after="0" w:line="254" w:lineRule="auto"/>
        <w:tabs>
          <w:tab w:leader="none" w:pos="72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studies and clinical trials, if any, conducted by or on behalf of the Company were and, if still pending, are being, conducted in all material respects in accordance with the protocols submitted to the FDA or any foreign governmental body exercising comparable authority, procedures and controls pursuant to, where applicable, accepted professional and scientific standards, and all applicable laws and regulations; the descriptions of the pre-clinical studies and clinical trials, if any, conducted by or, to the Company’s knowledge, on behalf of the Company, and the results thereof, contained in the Registration Statement, the Pricing Prospectus and the Prospectus are accurate and complete in all material respects and fairly present the data derived from such pre-clinical studies and clinical trials, if any; the Company is not aware of any other pre-clinical studies or clinical trials, the results of which reasonably call into question the results described in the Registration Statement, the Pricing Prospectus and the Prospectus; and the Company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63" w:name="page264"/>
    <w:bookmarkEnd w:id="263"/>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has not received any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w:t>
      </w:r>
    </w:p>
    <w:p>
      <w:pPr>
        <w:spacing w:after="0" w:line="176" w:lineRule="exact"/>
        <w:rPr>
          <w:sz w:val="20"/>
          <w:szCs w:val="20"/>
          <w:color w:val="auto"/>
        </w:rPr>
      </w:pPr>
    </w:p>
    <w:p>
      <w:pPr>
        <w:ind w:right="20" w:firstLine="436"/>
        <w:spacing w:after="0" w:line="258" w:lineRule="auto"/>
        <w:tabs>
          <w:tab w:leader="none" w:pos="7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of its officers, employees, directors, agents or clinical investigators, has been excluded, suspended, disqualified or debarred from participation in any U.S. federal health care program or human clinical research or, to the knowledge of the Company, is subject to a governmental inquiry, investigation, proceeding, or other similar action that would reasonably be expected to result in debarment, disqualification, suspension, or exclusion, or convicted of any crime or engaged in any conduct that would reasonably be expected to result in debarment under 21 U.S.C. § 335a or comparable foreign law;</w:t>
      </w:r>
    </w:p>
    <w:p>
      <w:pPr>
        <w:spacing w:after="0" w:line="183" w:lineRule="exact"/>
        <w:rPr>
          <w:rFonts w:ascii="Times New Roman" w:cs="Times New Roman" w:eastAsia="Times New Roman" w:hAnsi="Times New Roman"/>
          <w:sz w:val="18"/>
          <w:szCs w:val="18"/>
          <w:color w:val="auto"/>
        </w:rPr>
      </w:pPr>
    </w:p>
    <w:p>
      <w:pPr>
        <w:ind w:firstLine="436"/>
        <w:spacing w:after="0" w:line="252" w:lineRule="auto"/>
        <w:tabs>
          <w:tab w:leader="none" w:pos="7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disclosed in the Pricing Prospectus and the Prospectus, the Company owns or has valid, binding and enforceable licenses or other rights or can acquire on reasonable terms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Pricing Prospectus and the Prospectus (collectively, the “Company Intellectual Property”) as currently operated, except where the failure to own, possess, license, have the right to use or the ability to acquire any of the foregoing would not reasonably be expected to result, singly or in the aggregate, in a material adverse effect on the Company, and, to the Company’s knowledge, the conduct of its business (including the development and commercialization of the product candidates described in the Pricing Prospectus and the Prospectus) has not and will not infringe or misappropriate any intellectual property rights of others; other than as disclosed in the Pricing Prospectus and the Prospectus, to the knowledge of the Company, there are no rights of third parties to any of the intellectual property owned by the Company, and such intellectual property is owned by the Company free and clear of all material liens, security interests, or encumbrances; other than as disclosed in the Pricing Prospectus and the Prospectus, to the knowledge of the Company, the patents, trademarks and copyrights held or licensed by the Company included within the Company Intellectual Property, in each case, which are material to the conduct of the business of the Company as currently conducted, are valid, enforceable and subsisting; except as would not reasonably be expected, singly or in the aggregate, to have a material adverse effect on the Company, to the Company’s knowledge, there is no infringement by third parties of any of the Company Intellectual Property; other than as disclosed in the Pricing Prospectus and the Prospectus, (i) the Company is not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is infringing, misappropriating, diluting or otherwise violating any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knowledge of the Company, is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264" w:name="page265"/>
    <w:bookmarkEnd w:id="26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threatened, challenging the validity, enforceability, scope, registration, ownership or use of any of the Company’s Intellectual Property, and the Company is unaware of any facts which could form a reasonable basis for any such action, suit, proceeding or claim, (iv) except as would not reasonably be expected, singly or in the aggregate, to have a material adverse effect on the Company, no action, suit, claim or other proceeding is pending or, to the knowledge of the Company, is threatened, challenging the Company’s rights in or to any Company Intellectual Property, and the Company is unaware of any facts which could form a reasonable basis for any such action, suit, proceeding or claim, (v) the Company has not received written notice of any claim of infringement, misappropriation or conflict with any asserted rights of others with respect to any of the Company’s products, proposed products, processes or Company Intellectual Property, (vi) to the knowledge of the Company, the development, manufacture, sale, and any currently proposed use of any of the products, proposed products or processes of the Company referred to in the Pricing Prospectus and the Prospectus, in the current or proposed conduct of the business of the Company, do not currently, and will not upon commercialization, to the knowledge of the Company, infringe any valid patent claim or other valid intellectual property right of any third party, (vii) to the knowledge of the Company, no third party has any ownership right in or to any Company Intellectual Property in any field of use that is exclusively licensed to the Company, other than any licensor to the Company of such Company Intellectual Property, (viii) to the knowledge of the Company, no employee, consultant or independent contractor of the Company engaged in the development of Company Intellectual Property which is material to the business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confidential information and trade secrets and to maintain and safeguard the Company’s Intellectual Property, including the execution of appropriate nondisclosure and confidentiality agreements, and (x) the Company has complied in all material respects with the terms of each agreement pursuant to which the Company’s Intellectual Property has been licensed to the Company, and, to the Company’s knowledge, all such agreements are in full force and effect;</w:t>
      </w:r>
    </w:p>
    <w:p>
      <w:pPr>
        <w:spacing w:after="0" w:line="188" w:lineRule="exact"/>
        <w:rPr>
          <w:sz w:val="20"/>
          <w:szCs w:val="20"/>
          <w:color w:val="auto"/>
        </w:rPr>
      </w:pPr>
    </w:p>
    <w:p>
      <w:pPr>
        <w:ind w:right="140" w:firstLine="436"/>
        <w:spacing w:after="0" w:line="255" w:lineRule="auto"/>
        <w:tabs>
          <w:tab w:leader="none" w:pos="70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and patent applications owned by or licensed to the Company or under which the Company has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to the knowledge of the Company, the parties prosecuting such applications have complied with their duty of candor and disclosure to the United States Patent and Trademark Office (the “USPTO”) in connection with such applications; and the Company is not aware of any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issued with respect to such applications;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65" w:name="page266"/>
    <w:bookmarkEnd w:id="265"/>
    <w:p>
      <w:pPr>
        <w:ind w:right="140" w:firstLine="436"/>
        <w:spacing w:after="0" w:line="254" w:lineRule="auto"/>
        <w:tabs>
          <w:tab w:leader="none" w:pos="70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The Company has complied and is presently in compliance in all material respects with all internal and external privacy policies, contractual obligations, industry standards by which the Company is legally or contractually bound,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of personal, personally identifiable, household, sensitive, confidential or regulated data (“Data Security Obligations”, and such data, “Data”); (ii) the Company has not received any notification of or complaint regarding and is unaware of any other facts that, individually or in the aggregate, would reasonably indicate that the Company is in violation of any Data Security Obligation; and (iii) to the knowledge of the Company, there is no action, suit or proceeding by or before any court or governmental agency, authority or body pending or threatened alleging non-compliance with any Data Security Obligation;</w:t>
      </w:r>
    </w:p>
    <w:p>
      <w:pPr>
        <w:spacing w:after="0" w:line="191" w:lineRule="exact"/>
        <w:rPr>
          <w:rFonts w:ascii="Times New Roman" w:cs="Times New Roman" w:eastAsia="Times New Roman" w:hAnsi="Times New Roman"/>
          <w:sz w:val="18"/>
          <w:szCs w:val="18"/>
          <w:color w:val="auto"/>
        </w:rPr>
      </w:pPr>
    </w:p>
    <w:p>
      <w:pPr>
        <w:ind w:right="60" w:firstLine="436"/>
        <w:spacing w:after="0" w:line="254" w:lineRule="auto"/>
        <w:tabs>
          <w:tab w:leader="none" w:pos="7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technical and organizational measures designed to protect the information technology systems and Data used in connection with the operation of the Company’s business. Without limiting the foregoing, the Company has used reasonable efforts to establish and maintain and implement reasonable information technology, information security, cyber security and data protection controls, including, as applicable, oversight, access controls, encryption, technological and physical safeguards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business (“Breach”). There has been no such material Breach, and the Company has not been notified of, and has no knowledge of any event or condition that would reasonably be expected to result in, any such material Breach;</w:t>
      </w:r>
    </w:p>
    <w:p>
      <w:pPr>
        <w:spacing w:after="0" w:line="191" w:lineRule="exact"/>
        <w:rPr>
          <w:rFonts w:ascii="Times New Roman" w:cs="Times New Roman" w:eastAsia="Times New Roman" w:hAnsi="Times New Roman"/>
          <w:sz w:val="18"/>
          <w:szCs w:val="18"/>
          <w:color w:val="auto"/>
        </w:rPr>
      </w:pPr>
    </w:p>
    <w:p>
      <w:pPr>
        <w:ind w:firstLine="436"/>
        <w:spacing w:after="0" w:line="266" w:lineRule="auto"/>
        <w:tabs>
          <w:tab w:leader="none" w:pos="70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industry-related and market-related data included in the Pricing Prospectus and the Prospectus are based on or derived from sources that the Company believes, after reasonable inquiry, to be reliable and accurate and, to the extent required, the Company has obtained the written consent to the use of such data from such sources, if required;</w:t>
      </w:r>
    </w:p>
    <w:p>
      <w:pPr>
        <w:spacing w:after="0" w:line="175" w:lineRule="exact"/>
        <w:rPr>
          <w:rFonts w:ascii="Times New Roman" w:cs="Times New Roman" w:eastAsia="Times New Roman" w:hAnsi="Times New Roman"/>
          <w:sz w:val="18"/>
          <w:szCs w:val="18"/>
          <w:color w:val="auto"/>
        </w:rPr>
      </w:pPr>
    </w:p>
    <w:p>
      <w:pPr>
        <w:ind w:right="60" w:firstLine="436"/>
        <w:spacing w:after="0" w:line="256" w:lineRule="auto"/>
        <w:tabs>
          <w:tab w:leader="none" w:pos="8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Company required by law to be filed have been filed and all taxes shown as due on such returns or that otherwise have been assessed, which are due and payable, have been paid, except assessments against which appeals have been or will be promptly taken and as to which adequate reserves have been provided. The Company has filed all other tax returns that are required to have been filed by it pursuant to applicable foreign, state, local or other law except insofar as the failure to file such returns would not, individually or in the aggregate, reasonably be expected to have a Material Adverse Effect, and has paid all taxes due pursuant to such returns or pursuant to any assessment received by the Company, except for such taxes, if any, as are being contested in good faith and as to which adequate reserves have been provided;</w:t>
      </w:r>
    </w:p>
    <w:p>
      <w:pPr>
        <w:spacing w:after="0" w:line="187" w:lineRule="exact"/>
        <w:rPr>
          <w:rFonts w:ascii="Times New Roman" w:cs="Times New Roman" w:eastAsia="Times New Roman" w:hAnsi="Times New Roman"/>
          <w:sz w:val="18"/>
          <w:szCs w:val="18"/>
          <w:color w:val="auto"/>
        </w:rPr>
      </w:pPr>
    </w:p>
    <w:p>
      <w:pPr>
        <w:ind w:right="120" w:firstLine="436"/>
        <w:spacing w:after="0" w:line="282" w:lineRule="auto"/>
        <w:tabs>
          <w:tab w:leader="none" w:pos="7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and will not take, directly or indirectly, any action that is designed to or that has constituted or might reasonably be expected to cause or result in stabilization or manipulation of the price of the Shares;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66" w:name="page267"/>
    <w:bookmarkEnd w:id="266"/>
    <w:p>
      <w:pPr>
        <w:ind w:firstLine="436"/>
        <w:spacing w:after="0" w:line="266" w:lineRule="auto"/>
        <w:tabs>
          <w:tab w:leader="none" w:pos="7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Shares;</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7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 direct or indirect, exists between or among the Company, on the one hand, and the directors, officers, stockholders, customers or suppliers of the Company, on the other, that is required by the Act to be described in the Registration Statement and the Prospectus and that is not so described in such documents and in the Registration Statement, the Pricing Disclosure Package and the Prospectus;</w:t>
      </w:r>
    </w:p>
    <w:p>
      <w:pPr>
        <w:spacing w:after="0" w:line="175" w:lineRule="exact"/>
        <w:rPr>
          <w:rFonts w:ascii="Times New Roman" w:cs="Times New Roman" w:eastAsia="Times New Roman" w:hAnsi="Times New Roman"/>
          <w:sz w:val="18"/>
          <w:szCs w:val="18"/>
          <w:color w:val="auto"/>
        </w:rPr>
      </w:pPr>
    </w:p>
    <w:p>
      <w:pPr>
        <w:ind w:right="100" w:firstLine="436"/>
        <w:spacing w:after="0" w:line="282" w:lineRule="auto"/>
        <w:tabs>
          <w:tab w:leader="none" w:pos="7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arrangements or documents which are required to be described in the Registration Statement or to be filed as exhibits thereto which have not been so described and filed as required;</w:t>
      </w:r>
    </w:p>
    <w:p>
      <w:pPr>
        <w:spacing w:after="0" w:line="161" w:lineRule="exact"/>
        <w:rPr>
          <w:rFonts w:ascii="Times New Roman" w:cs="Times New Roman" w:eastAsia="Times New Roman" w:hAnsi="Times New Roman"/>
          <w:sz w:val="18"/>
          <w:szCs w:val="18"/>
          <w:color w:val="auto"/>
        </w:rPr>
      </w:pPr>
    </w:p>
    <w:p>
      <w:pPr>
        <w:ind w:right="160" w:firstLine="436"/>
        <w:spacing w:after="0" w:line="312" w:lineRule="auto"/>
        <w:tabs>
          <w:tab w:leader="none" w:pos="72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time of initial confidential submission of a draft registration statement relating to the Shares with the Commission through the date hereof, the Company has been and is an “emerging growth company” as defined in Section 2(a)(19) of the Act (an “Emerging Growth Company”);</w:t>
      </w:r>
    </w:p>
    <w:p>
      <w:pPr>
        <w:spacing w:after="0" w:line="139" w:lineRule="exact"/>
        <w:rPr>
          <w:rFonts w:ascii="Times New Roman" w:cs="Times New Roman" w:eastAsia="Times New Roman" w:hAnsi="Times New Roman"/>
          <w:sz w:val="17"/>
          <w:szCs w:val="17"/>
          <w:color w:val="auto"/>
        </w:rPr>
      </w:pPr>
    </w:p>
    <w:p>
      <w:pPr>
        <w:ind w:right="180" w:firstLine="436"/>
        <w:spacing w:after="0" w:line="258" w:lineRule="auto"/>
        <w:tabs>
          <w:tab w:leader="none" w:pos="74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the Pricing Disclosure Package and the Prospectus, any Preliminary Prospectus, any Issuer Free Writing Prospectuses and any Written Testing-the-Waters Communication comply in all material respects, and any further amendments or supplements thereto will comply in all material respects, with any applicable laws or regulations of foreign jurisdictions in which the Pricing Disclosure Package, the Prospectus, any Preliminary Prospectus, any Issuer Free Writing Prospectus and any Written Testing-the-Waters Communication, as amended or supplemented, if applicable, are distributed in connection with the Directed Share Program;</w:t>
      </w:r>
    </w:p>
    <w:p>
      <w:pPr>
        <w:spacing w:after="0" w:line="183" w:lineRule="exact"/>
        <w:rPr>
          <w:rFonts w:ascii="Times New Roman" w:cs="Times New Roman" w:eastAsia="Times New Roman" w:hAnsi="Times New Roman"/>
          <w:sz w:val="18"/>
          <w:szCs w:val="18"/>
          <w:color w:val="auto"/>
        </w:rPr>
      </w:pPr>
    </w:p>
    <w:p>
      <w:pPr>
        <w:ind w:right="80" w:firstLine="436"/>
        <w:spacing w:after="0" w:line="266" w:lineRule="auto"/>
        <w:tabs>
          <w:tab w:leader="none" w:pos="7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approval, consent, license, order, registration or qualification of or with any government, governmental instrumentality or court, other than such as have been obtained, is necessary under the securities laws and regulations of foreign jurisdictions in which the Directed Shares are offered outside the United States;</w:t>
      </w:r>
    </w:p>
    <w:p>
      <w:pPr>
        <w:spacing w:after="0" w:line="175" w:lineRule="exact"/>
        <w:rPr>
          <w:rFonts w:ascii="Times New Roman" w:cs="Times New Roman" w:eastAsia="Times New Roman" w:hAnsi="Times New Roman"/>
          <w:sz w:val="18"/>
          <w:szCs w:val="18"/>
          <w:color w:val="auto"/>
        </w:rPr>
      </w:pPr>
    </w:p>
    <w:p>
      <w:pPr>
        <w:ind w:right="140" w:firstLine="436"/>
        <w:spacing w:after="0" w:line="312" w:lineRule="auto"/>
        <w:tabs>
          <w:tab w:leader="none" w:pos="78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specifically directed in writing the allocation of Shares to each Participant in the Directed Share Program, and neither the Directed Share Underwriter nor any other Underwriter has had any involvement or influence, directly or indirectly, in such allocation decision; and</w:t>
      </w:r>
    </w:p>
    <w:p>
      <w:pPr>
        <w:spacing w:after="0" w:line="139" w:lineRule="exact"/>
        <w:rPr>
          <w:rFonts w:ascii="Times New Roman" w:cs="Times New Roman" w:eastAsia="Times New Roman" w:hAnsi="Times New Roman"/>
          <w:sz w:val="17"/>
          <w:szCs w:val="17"/>
          <w:color w:val="auto"/>
        </w:rPr>
      </w:pPr>
    </w:p>
    <w:p>
      <w:pPr>
        <w:ind w:right="80" w:firstLine="436"/>
        <w:spacing w:after="0" w:line="281" w:lineRule="auto"/>
        <w:tabs>
          <w:tab w:leader="none" w:pos="78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offered, or caused the Directed Share Underwriter or its affiliates to offer, Shares to any person pursuant to the Directed Share Program (i) for any consideration other than the cash payment of the initial public offering price per share set forth in Schedule II hereof or (ii) with the specific intent to unlawfully influence (x) a customer or supplier of the Company to alter the customer or supplier’s terms, level or type of business with the Company or (y) a trade journalist or publication to write or publish favorable information about the Company or its products.</w:t>
      </w:r>
    </w:p>
    <w:p>
      <w:pPr>
        <w:spacing w:after="0" w:line="164" w:lineRule="exact"/>
        <w:rPr>
          <w:sz w:val="20"/>
          <w:szCs w:val="20"/>
          <w:color w:val="auto"/>
        </w:rPr>
      </w:pPr>
    </w:p>
    <w:p>
      <w:pPr>
        <w:ind w:right="20" w:firstLine="436"/>
        <w:spacing w:after="0" w:line="253" w:lineRule="auto"/>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9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hereby grants to the Underwriters the right to purchase at their election up to [•]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7" w:name="page268"/>
    <w:bookmarkEnd w:id="267"/>
    <w:p>
      <w:pPr>
        <w:ind w:right="180" w:firstLine="436"/>
        <w:spacing w:after="0" w:line="282" w:lineRule="auto"/>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authorization by the Representatives of the release of the Firm Shares, the several Underwriters propose to offer the Firm Shares for sale upon the terms and conditions set forth in the Pricing Prospectus and the Prospectus.</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 2020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87" w:lineRule="exact"/>
        <w:rPr>
          <w:sz w:val="20"/>
          <w:szCs w:val="20"/>
          <w:color w:val="auto"/>
        </w:rPr>
      </w:pPr>
    </w:p>
    <w:p>
      <w:pPr>
        <w:ind w:right="80" w:firstLine="436"/>
        <w:spacing w:after="0" w:line="254"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Goodwin Procter LLP, 620 Eighth Avenue, New York, New York, 10018 (the “Closing Location”), and the Shares will be delivered at the Designated Office, all at such Time of Delivery.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The Company agrees with each of the Underwriters:</w:t>
      </w:r>
    </w:p>
    <w:p>
      <w:pPr>
        <w:spacing w:after="0" w:line="225" w:lineRule="exact"/>
        <w:rPr>
          <w:sz w:val="20"/>
          <w:szCs w:val="20"/>
          <w:color w:val="auto"/>
        </w:rPr>
      </w:pPr>
    </w:p>
    <w:p>
      <w:pPr>
        <w:ind w:firstLine="436"/>
        <w:spacing w:after="0" w:line="261"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the Representatives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68" w:name="page269"/>
    <w:bookmarkEnd w:id="26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materials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188" w:lineRule="exact"/>
        <w:rPr>
          <w:sz w:val="20"/>
          <w:szCs w:val="20"/>
          <w:color w:val="auto"/>
        </w:rPr>
      </w:pPr>
    </w:p>
    <w:p>
      <w:pPr>
        <w:ind w:right="60" w:firstLine="436"/>
        <w:spacing w:after="0" w:line="256" w:lineRule="auto"/>
        <w:tabs>
          <w:tab w:leader="none" w:pos="6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the Representatives may reasonably request to qualify the Shares for offering and sale under the securities laws of such jurisdictions as the Representatives may request and to use reasonable commercial efforts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or subject itself to taxation in any jurisdiction in which it is not otherwise subject to taxation as of the date hereof;</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10:00 a.m., New York City time, on the New York Business Day next succeeding the date of this Agreement (or such other time as may be agreed to by the Representatives and the Company)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Representatives and upon the Representatives’ request to prepare and furnish without charge to each Underwriter and to any dealer in securities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69" w:name="page270"/>
    <w:bookmarkEnd w:id="269"/>
    <w:p>
      <w:pPr>
        <w:ind w:left="4"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Underwriter, to prepare and deliver to such Underwriter as many written and electronic copies as the Representatives may request of an amended or supplemented Prospectus complying with Section 10(a)(3) of the Act;</w:t>
      </w:r>
    </w:p>
    <w:p>
      <w:pPr>
        <w:spacing w:after="0" w:line="162" w:lineRule="exact"/>
        <w:rPr>
          <w:sz w:val="20"/>
          <w:szCs w:val="20"/>
          <w:color w:val="auto"/>
        </w:rPr>
      </w:pPr>
    </w:p>
    <w:p>
      <w:pPr>
        <w:jc w:val="both"/>
        <w:ind w:left="4" w:firstLine="436"/>
        <w:spacing w:after="0" w:line="261" w:lineRule="auto"/>
        <w:tabs>
          <w:tab w:leader="none" w:pos="69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(which need not be audited) complying with Section 11(a) of the Act and the rules and regulations of the Commission thereunder (including, at the option of the Company, Rule 158);</w:t>
      </w:r>
    </w:p>
    <w:p>
      <w:pPr>
        <w:spacing w:after="0" w:line="180"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7"/>
          <w:szCs w:val="17"/>
          <w:color w:val="auto"/>
        </w:rPr>
        <w:t>(e)(i) During the period beginning from the date hereof and continuing to and including the date 180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or pursuant to employee stock option plans, as described in the Pricing Prospectus and Prospectus, existing on, or upon the conversion or exchange of convertible or exchangeable securities outstanding as of, the date of this Agreement), or (iii) publicly disclose the intention to do any of the foregoing described in either (i) or (ii) above, in each case, without the Representatives’ prior written consent; provided, however, that the restrictions in the foregoing sentence shall not apply to (a) the Shares to be sold hereunder; (b) any shares of Stock issued upon the conversion of convertible preferred stock outstanding on the date of this Agreement in connection with the offering contemplated by this Agreement;</w:t>
      </w:r>
    </w:p>
    <w:p>
      <w:pPr>
        <w:spacing w:after="0" w:line="1" w:lineRule="exact"/>
        <w:rPr>
          <w:sz w:val="20"/>
          <w:szCs w:val="20"/>
          <w:color w:val="auto"/>
        </w:rPr>
      </w:pPr>
    </w:p>
    <w:p>
      <w:pPr>
        <w:ind w:left="4" w:hanging="4"/>
        <w:spacing w:after="0" w:line="251" w:lineRule="auto"/>
        <w:tabs>
          <w:tab w:leader="none" w:pos="24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any securities (including without limitation options, restricted stock or restricted stock units) convertible into, or exercisable for, shares of Stock pursuant to any employee stock option plan, incentive plan, stock plan, dividend reinvestment plan or otherwise in equity compensation arrangements in place as of the Applicable Time and as described in the Pricing Disclosure Package; (d) the grant of awards pursuant to employee equity-based compensation plans, incentive plans, stock plans, or other arrangements in place as of the Applicable Time and described in the Pricing Disclosure Package; (e) the filing of a registration statement on Form S-8 in connection with the registration of Shares issuable under any employee equity-based compensation plan, incentive plan, stock plan, dividend reinvestment plan adopted and approved by the Company’s board of directors prior to the Applicable Time and described in the Pricing Disclosure Package; and (f) the issuance of up to 5% of the outstanding shares of Stock in connection with the acquisition of the assets of, or a majority or controlling portion of the equity of, or a joint venture with another entity in connection with its acquisition by the Company of such entity; provided that each recipient of any Shares issued or sold pursuant to clause (c), (d) or (f) above executes and delivers to the Representatives, prior to such issuance or sale (as the case may be), an agreement having substantially the same terms as the lock-up letters described in Section 8(i) of this Agreement.</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70" w:name="page271"/>
    <w:bookmarkEnd w:id="270"/>
    <w:p>
      <w:pPr>
        <w:ind w:left="4" w:right="300" w:firstLine="987"/>
        <w:spacing w:after="0" w:line="281" w:lineRule="auto"/>
        <w:tabs>
          <w:tab w:leader="none" w:pos="1260" w:val="left"/>
        </w:tabs>
        <w:numPr>
          <w:ilvl w:val="2"/>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Representatives, in their sole discretion, agree to release or waive the restrictions set forth in a lock-up letter described in Section 8(j)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w:t>
      </w:r>
    </w:p>
    <w:p>
      <w:pPr>
        <w:spacing w:after="0" w:line="164" w:lineRule="exact"/>
        <w:rPr>
          <w:rFonts w:ascii="Times New Roman" w:cs="Times New Roman" w:eastAsia="Times New Roman" w:hAnsi="Times New Roman"/>
          <w:sz w:val="17"/>
          <w:szCs w:val="17"/>
          <w:color w:val="auto"/>
        </w:rPr>
      </w:pPr>
    </w:p>
    <w:p>
      <w:pPr>
        <w:ind w:left="4" w:firstLine="436"/>
        <w:spacing w:after="0" w:line="253" w:lineRule="auto"/>
        <w:tabs>
          <w:tab w:leader="none" w:pos="66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for such quarter in reasonable detail; provided that no reports, documents or other information need to be furnished pursuant to this</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5(f) to the extent that they are available on EDGAR;</w:t>
      </w:r>
    </w:p>
    <w:p>
      <w:pPr>
        <w:spacing w:after="0" w:line="206" w:lineRule="exact"/>
        <w:rPr>
          <w:rFonts w:ascii="Times New Roman" w:cs="Times New Roman" w:eastAsia="Times New Roman" w:hAnsi="Times New Roman"/>
          <w:sz w:val="18"/>
          <w:szCs w:val="18"/>
          <w:color w:val="auto"/>
        </w:rPr>
      </w:pPr>
    </w:p>
    <w:p>
      <w:pPr>
        <w:ind w:left="4" w:right="100" w:firstLine="436"/>
        <w:spacing w:after="0" w:line="270" w:lineRule="auto"/>
        <w:tabs>
          <w:tab w:leader="none" w:pos="699"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 period of three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stockholders, and to deliver to the Representatives (i) as soon as they are available, copies of any reports and financial statements furnished to or filed with the Commission or any national securities exchange on which any class of securities of the Company is listed; and</w:t>
      </w:r>
    </w:p>
    <w:p>
      <w:pPr>
        <w:spacing w:after="0" w:line="2" w:lineRule="exact"/>
        <w:rPr>
          <w:rFonts w:ascii="Times New Roman" w:cs="Times New Roman" w:eastAsia="Times New Roman" w:hAnsi="Times New Roman"/>
          <w:sz w:val="17"/>
          <w:szCs w:val="17"/>
          <w:color w:val="auto"/>
        </w:rPr>
      </w:pPr>
    </w:p>
    <w:p>
      <w:pPr>
        <w:jc w:val="both"/>
        <w:ind w:left="4" w:right="140" w:hanging="4"/>
        <w:spacing w:after="0" w:line="253" w:lineRule="auto"/>
        <w:tabs>
          <w:tab w:leader="none" w:pos="26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information concerning the business and financial condition of the Company as the Representatives may from time to time reasonably request (such financial statements to be on a consolidated basis to the extent the accounts of the Company and any subsidiaries are consolidated in reports furnished to its stockholders generally or to the Commission); provided that no reports, documents or other information need to be furnished pursuant to this Section 5(f) to the extent that they are available on EDGAR;</w:t>
      </w:r>
    </w:p>
    <w:p>
      <w:pPr>
        <w:spacing w:after="0" w:line="188"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9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Shares pursuant to this Agreement in the manner specified in the Pricing Prospectus and the Prospectus under the caption “Use of Proceeds”;</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best efforts to list, subject to notice of issuance, the Shares on Nasdaq;</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with the Commission such information on Form 10-Q or Form 10-K as may be required by Rule 463 under the Act;</w:t>
      </w:r>
    </w:p>
    <w:p>
      <w:pPr>
        <w:spacing w:after="0" w:line="225"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271" w:name="page272"/>
    <w:bookmarkEnd w:id="271"/>
    <w:p>
      <w:pPr>
        <w:ind w:left="4" w:right="40" w:firstLine="436"/>
        <w:spacing w:after="0" w:line="261" w:lineRule="auto"/>
        <w:tabs>
          <w:tab w:leader="none" w:pos="65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or before the date of this Agreement, the Company shall have delivered to the Underwriters a certificate satisfying the beneficial ownership due diligence requirements of the Financial Crimes Enforcement Network from the Company in form and substance reasonably satisfactory to the Underwriters, along with such additional supporting documentation as the Underwriters have requested or may reasonably request in connection with the verification of the foregoing certificate;</w:t>
      </w:r>
    </w:p>
    <w:p>
      <w:pPr>
        <w:spacing w:after="0" w:line="179"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74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the Representatives if the Company ceases to be an Emerging Growth Company at any time prior to the later of</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distribution of the Shares within the meaning of the Act and (ii) the last Time of Delivery; and</w:t>
      </w:r>
    </w:p>
    <w:p>
      <w:pPr>
        <w:spacing w:after="0" w:line="206" w:lineRule="exact"/>
        <w:rPr>
          <w:rFonts w:ascii="Times New Roman" w:cs="Times New Roman" w:eastAsia="Times New Roman" w:hAnsi="Times New Roman"/>
          <w:sz w:val="18"/>
          <w:szCs w:val="18"/>
          <w:color w:val="auto"/>
        </w:rPr>
      </w:pPr>
    </w:p>
    <w:p>
      <w:pPr>
        <w:ind w:left="4" w:right="200" w:firstLine="436"/>
        <w:spacing w:after="0" w:line="282" w:lineRule="auto"/>
        <w:tabs>
          <w:tab w:leader="none" w:pos="699"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securities and other laws, rules and regulations in each jurisdiction in which the Directed Shares are offered in connection with the Directed Share Program.</w:t>
      </w:r>
    </w:p>
    <w:p>
      <w:pPr>
        <w:spacing w:after="0" w:line="162" w:lineRule="exact"/>
        <w:rPr>
          <w:sz w:val="20"/>
          <w:szCs w:val="20"/>
          <w:color w:val="auto"/>
        </w:rPr>
      </w:pPr>
    </w:p>
    <w:p>
      <w:pPr>
        <w:ind w:left="4" w:right="200" w:firstLine="436"/>
        <w:spacing w:after="0" w:line="258" w:lineRule="auto"/>
        <w:tabs>
          <w:tab w:leader="none" w:pos="6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or Schedule II(c) hereto;</w:t>
      </w:r>
    </w:p>
    <w:p>
      <w:pPr>
        <w:spacing w:after="0" w:line="183" w:lineRule="exact"/>
        <w:rPr>
          <w:sz w:val="20"/>
          <w:szCs w:val="20"/>
          <w:color w:val="auto"/>
        </w:rPr>
      </w:pPr>
    </w:p>
    <w:p>
      <w:pPr>
        <w:ind w:left="4" w:right="40" w:firstLine="436"/>
        <w:spacing w:after="0" w:line="266" w:lineRule="auto"/>
        <w:tabs>
          <w:tab w:leader="none" w:pos="69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175"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or Written Testing-the-Waters Communication prepared or authorized by the Company made in reliance upon and in conformity with the Underwriting Information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72" w:name="page273"/>
    <w:bookmarkEnd w:id="272"/>
    <w:p>
      <w:pPr>
        <w:ind w:left="4" w:right="120" w:firstLine="436"/>
        <w:spacing w:after="0" w:line="274" w:lineRule="auto"/>
        <w:tabs>
          <w:tab w:leader="none" w:pos="699"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172" w:lineRule="exact"/>
        <w:rPr>
          <w:rFonts w:ascii="Times New Roman" w:cs="Times New Roman" w:eastAsia="Times New Roman" w:hAnsi="Times New Roman"/>
          <w:sz w:val="17"/>
          <w:szCs w:val="17"/>
          <w:color w:val="auto"/>
        </w:rPr>
      </w:pPr>
    </w:p>
    <w:p>
      <w:pPr>
        <w:ind w:left="4" w:firstLine="436"/>
        <w:spacing w:after="0" w:line="266" w:lineRule="auto"/>
        <w:tabs>
          <w:tab w:leader="none" w:pos="68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76" w:lineRule="exact"/>
        <w:rPr>
          <w:sz w:val="20"/>
          <w:szCs w:val="20"/>
          <w:color w:val="auto"/>
        </w:rPr>
      </w:pPr>
    </w:p>
    <w:p>
      <w:pPr>
        <w:ind w:left="4" w:right="40" w:firstLine="436"/>
        <w:spacing w:after="0" w:line="251" w:lineRule="auto"/>
        <w:tabs>
          <w:tab w:leader="none" w:pos="62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(v) all fees and expenses in connection with listing the Shares on Nasdaq; (vi) the filing fees incident to, and the fees and disbursements of counsel for the Underwriters in connection with, any required review by FINRA of the terms of the sale of the Shares (such fees and expenses of counsel in an aggregate amount not to exceed $30,000); (vii) the cost of preparing stock certificates; (viii) the cost and charges of any transfer agent or registrar;</w:t>
      </w:r>
    </w:p>
    <w:p>
      <w:pPr>
        <w:spacing w:after="0" w:line="10" w:lineRule="exact"/>
        <w:rPr>
          <w:rFonts w:ascii="Times New Roman" w:cs="Times New Roman" w:eastAsia="Times New Roman" w:hAnsi="Times New Roman"/>
          <w:sz w:val="18"/>
          <w:szCs w:val="18"/>
          <w:color w:val="auto"/>
        </w:rPr>
      </w:pPr>
    </w:p>
    <w:p>
      <w:pPr>
        <w:ind w:left="4" w:right="140" w:hanging="4"/>
        <w:spacing w:after="0" w:line="260" w:lineRule="auto"/>
        <w:tabs>
          <w:tab w:leader="none" w:pos="30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disbursements of counsel for the Underwriters in connection with the Directed Share Program and stamp duties, similar taxes or duties or other taxes, if any, incurred by the Underwriters in connection with the Directed Share Program; and (x) all other costs and expenses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73" w:name="page274"/>
    <w:bookmarkEnd w:id="27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incident to the performance of its obligations hereunder which are not otherwise specifically provided for in this Section. It is understood, however, that, except as provided in this Section, and Sections 9, 10 and 13 hereof, the Underwriters will pay all of their own costs and expenses, including the fees of their counsel, stock transfer taxes on resale of any of the Shares by them, and any advertising expenses connected with any offers they may make; provided, however, that the Underwriters and the Company shall each pay 50% of the cost of chartering any aircraft to be used by both the Company and the Underwriters in connection with the road show.</w:t>
      </w:r>
    </w:p>
    <w:p>
      <w:pPr>
        <w:spacing w:after="0" w:line="183" w:lineRule="exact"/>
        <w:rPr>
          <w:sz w:val="20"/>
          <w:szCs w:val="20"/>
          <w:color w:val="auto"/>
        </w:rPr>
      </w:pPr>
    </w:p>
    <w:p>
      <w:pPr>
        <w:jc w:val="both"/>
        <w:ind w:right="60" w:firstLine="436"/>
        <w:spacing w:after="0" w:line="261" w:lineRule="auto"/>
        <w:tabs>
          <w:tab w:leader="none" w:pos="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80" w:lineRule="exact"/>
        <w:rPr>
          <w:sz w:val="20"/>
          <w:szCs w:val="20"/>
          <w:color w:val="auto"/>
        </w:rPr>
      </w:pPr>
    </w:p>
    <w:p>
      <w:pPr>
        <w:ind w:right="20" w:firstLine="436"/>
        <w:spacing w:after="0" w:line="254" w:lineRule="auto"/>
        <w:tabs>
          <w:tab w:leader="none" w:pos="6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materials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under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Goodwin Procter LLP, counsel for the Underwriters, shall have furnished to the Representatives their written opinion and negative assurance letter, each dated such Time of Delivery, in form and substance satisfactory to the Representatives, and such counsel shall have received such papers and information as they may reasonably request to enable them to pass upon such matters;</w:t>
      </w:r>
    </w:p>
    <w:p>
      <w:pPr>
        <w:spacing w:after="0" w:line="175"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counsel for the Company, shall have furnished to the Representatives their written opinion and negative assurance letter, each dated such Time of Delivery, in form and substance satisfactory to the Representatives;</w:t>
      </w:r>
    </w:p>
    <w:p>
      <w:pPr>
        <w:spacing w:after="0" w:line="161" w:lineRule="exact"/>
        <w:rPr>
          <w:rFonts w:ascii="Times New Roman" w:cs="Times New Roman" w:eastAsia="Times New Roman" w:hAnsi="Times New Roman"/>
          <w:sz w:val="18"/>
          <w:szCs w:val="18"/>
          <w:color w:val="auto"/>
        </w:rPr>
      </w:pPr>
    </w:p>
    <w:p>
      <w:pPr>
        <w:ind w:right="380" w:firstLine="436"/>
        <w:spacing w:after="0" w:line="282" w:lineRule="auto"/>
        <w:tabs>
          <w:tab w:leader="none" w:pos="69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intellectual property counsel for the Company, shall have furnished to the Representatives their written opinion and negative assurance letter each dated such Time of Delivery, in form and substance satisfactory to the Representatives;</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DLA Piper LLP (US), special counsel for the Company, shall have furnished to the Representatives their written opinion each dated such Time of Delivery, in form and substance satisfactory to the Representatives;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74" w:name="page275"/>
    <w:bookmarkEnd w:id="274"/>
    <w:p>
      <w:pPr>
        <w:jc w:val="both"/>
        <w:ind w:left="4" w:firstLine="436"/>
        <w:spacing w:after="0" w:line="261" w:lineRule="auto"/>
        <w:tabs>
          <w:tab w:leader="none" w:pos="66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the date of the Prospectus at a time substantially concurrent with the execution of this Agreement, on the effective date of any post-effective amendment to the Registration Statement filed subsequent to the date of this Agreement and also at each Time of Delivery, Deloitte &amp; Touche LLP shall have furnished to the Representatives a letter or letters, dated the respective dates of delivery thereof, in form and substance satisfactory to the Representatives;</w:t>
      </w:r>
    </w:p>
    <w:p>
      <w:pPr>
        <w:spacing w:after="0" w:line="179" w:lineRule="exact"/>
        <w:rPr>
          <w:rFonts w:ascii="Times New Roman" w:cs="Times New Roman" w:eastAsia="Times New Roman" w:hAnsi="Times New Roman"/>
          <w:sz w:val="18"/>
          <w:szCs w:val="18"/>
          <w:color w:val="auto"/>
        </w:rPr>
      </w:pPr>
    </w:p>
    <w:p>
      <w:pPr>
        <w:ind w:left="4" w:firstLine="436"/>
        <w:spacing w:after="0" w:line="269" w:lineRule="auto"/>
        <w:tabs>
          <w:tab w:leader="none" w:pos="699"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shall not have sustained since the date of the latest audited financial statements included in the Pricing Prospectus and the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respective dates as of which information is given in the Pricing Prospectus and the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change or effect, or any development involving a prospective change or effect, in or affecting (x) the business, properties, general affairs, management, financial position, stockholders’ equity, prospects or results of operations of the Company,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179" w:lineRule="exact"/>
        <w:rPr>
          <w:sz w:val="20"/>
          <w:szCs w:val="20"/>
          <w:color w:val="auto"/>
        </w:rPr>
      </w:pPr>
    </w:p>
    <w:p>
      <w:pPr>
        <w:ind w:left="4" w:right="400" w:firstLine="436"/>
        <w:spacing w:after="0" w:line="276" w:lineRule="auto"/>
        <w:tabs>
          <w:tab w:leader="none" w:pos="699"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the Applicable Time (i) no downgrading shall have occurred in the rating accorded the Company’s debt securities by any “nationally recognized statistical rating organization”, as that term is defined by the Commission for purposes of Rule 436(g)(2) under the Act, and</w:t>
      </w:r>
    </w:p>
    <w:p>
      <w:pPr>
        <w:ind w:left="4" w:right="140" w:hanging="4"/>
        <w:spacing w:after="0" w:line="260" w:lineRule="auto"/>
        <w:tabs>
          <w:tab w:leader="none" w:pos="26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organization shall have publicly announced that it has under surveillance or review, with possible negative implications, its rating of any of the Company’s debt securities;</w:t>
      </w:r>
    </w:p>
    <w:p>
      <w:pPr>
        <w:spacing w:after="0" w:line="181"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there shall not have occurred any of the following: (i) a suspension or material limitation in trading in securities generally on Nasdaq or the New York Stock Exchange;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75" w:name="page276"/>
    <w:bookmarkEnd w:id="275"/>
    <w:p>
      <w:pPr>
        <w:ind w:left="640" w:hanging="224"/>
        <w:spacing w:after="0"/>
        <w:tabs>
          <w:tab w:leader="none" w:pos="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to be sold at such Time of Delivery shall have been duly listed, subject to notice of issuance, on Nasdaq;</w:t>
      </w:r>
    </w:p>
    <w:p>
      <w:pPr>
        <w:spacing w:after="0" w:line="225"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6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and delivered to the Underwriters executed copies of an agreement from each director, officer and substantially all other security holders of the Company representing all of the shares of capital stock of the Company, substantially to the effect set forth in Annex II hereto in form and substance satisfactory to the Representatives;</w:t>
      </w:r>
    </w:p>
    <w:p>
      <w:pPr>
        <w:spacing w:after="0" w:line="175" w:lineRule="exact"/>
        <w:rPr>
          <w:rFonts w:ascii="Times New Roman" w:cs="Times New Roman" w:eastAsia="Times New Roman" w:hAnsi="Times New Roman"/>
          <w:sz w:val="18"/>
          <w:szCs w:val="18"/>
          <w:color w:val="auto"/>
        </w:rPr>
      </w:pPr>
    </w:p>
    <w:p>
      <w:pPr>
        <w:ind w:left="-20" w:right="160" w:firstLine="436"/>
        <w:spacing w:after="0" w:line="282" w:lineRule="auto"/>
        <w:tabs>
          <w:tab w:leader="none" w:pos="67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161" w:lineRule="exact"/>
        <w:rPr>
          <w:rFonts w:ascii="Times New Roman" w:cs="Times New Roman" w:eastAsia="Times New Roman" w:hAnsi="Times New Roman"/>
          <w:sz w:val="18"/>
          <w:szCs w:val="18"/>
          <w:color w:val="auto"/>
        </w:rPr>
      </w:pPr>
    </w:p>
    <w:p>
      <w:pPr>
        <w:ind w:left="-20" w:firstLine="436"/>
        <w:spacing w:after="0" w:line="261" w:lineRule="auto"/>
        <w:tabs>
          <w:tab w:leader="none" w:pos="63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Representatives at such Time of Delivery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the Representatives may reasonably request.</w:t>
      </w:r>
    </w:p>
    <w:p>
      <w:pPr>
        <w:spacing w:after="0" w:line="180" w:lineRule="exact"/>
        <w:rPr>
          <w:sz w:val="20"/>
          <w:szCs w:val="20"/>
          <w:color w:val="auto"/>
        </w:rPr>
      </w:pPr>
    </w:p>
    <w:p>
      <w:pPr>
        <w:ind w:left="-20" w:firstLine="436"/>
        <w:spacing w:after="0" w:line="253" w:lineRule="auto"/>
        <w:tabs>
          <w:tab w:leader="none" w:pos="6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shall not be liable in any such case to the extent that any such loss, claim, damage or liability arises out of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an untrue statement or alleged untrue statement or omission or alleged omission made in the Registration Statement, any Preliminary Prospectus, the Pricing Prospectus or the Prospectus, or any amendment or supplement thereto, or any Issuer Free Writing Prospectus, any road show or any Testing-the-Waters Communication, in reliance upon and in conformity with the Underwriter Information.</w:t>
      </w:r>
    </w:p>
    <w:p>
      <w:pPr>
        <w:spacing w:after="0" w:line="190" w:lineRule="exact"/>
        <w:rPr>
          <w:sz w:val="20"/>
          <w:szCs w:val="20"/>
          <w:color w:val="auto"/>
        </w:rPr>
      </w:pPr>
    </w:p>
    <w:p>
      <w:pPr>
        <w:ind w:left="-20" w:right="140" w:firstLine="436"/>
        <w:spacing w:after="0" w:line="258" w:lineRule="auto"/>
        <w:tabs>
          <w:tab w:leader="none" w:pos="67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60" w:top="270" w:right="479" w:bottom="1440" w:gutter="0" w:footer="0" w:header="0"/>
        </w:sectPr>
      </w:pPr>
    </w:p>
    <w:bookmarkStart w:id="276" w:name="page277"/>
    <w:bookmarkEnd w:id="276"/>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thirteenth, fourteenth and fifteenth paragraphs under the caption “Underwriting”.</w:t>
      </w:r>
    </w:p>
    <w:p>
      <w:pPr>
        <w:spacing w:after="0" w:line="194" w:lineRule="exact"/>
        <w:rPr>
          <w:sz w:val="20"/>
          <w:szCs w:val="20"/>
          <w:color w:val="auto"/>
        </w:rPr>
      </w:pPr>
    </w:p>
    <w:p>
      <w:pPr>
        <w:ind w:left="4" w:firstLine="436"/>
        <w:spacing w:after="0" w:line="251" w:lineRule="auto"/>
        <w:tabs>
          <w:tab w:leader="none" w:pos="68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documented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in form and substance reasonably satisfactory to such indemnified party, from all liability arising out of such action or claim and</w:t>
      </w:r>
    </w:p>
    <w:p>
      <w:pPr>
        <w:spacing w:after="0" w:line="10"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 statement as to or an admission of fault, culpability or a failure to act, by or on behalf of any indemnified party.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277" w:name="page278"/>
    <w:bookmarkEnd w:id="277"/>
    <w:p>
      <w:pPr>
        <w:ind w:left="704" w:hanging="264"/>
        <w:spacing w:after="0"/>
        <w:tabs>
          <w:tab w:leader="none" w:pos="70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indemnification provided for in this Section 9 is unavailable to or insufficient to hold harmless an indemnified party under subsection</w:t>
      </w:r>
    </w:p>
    <w:p>
      <w:pPr>
        <w:spacing w:after="0" w:line="27" w:lineRule="exact"/>
        <w:rPr>
          <w:rFonts w:ascii="Times New Roman" w:cs="Times New Roman" w:eastAsia="Times New Roman" w:hAnsi="Times New Roman"/>
          <w:sz w:val="18"/>
          <w:szCs w:val="18"/>
          <w:color w:val="auto"/>
        </w:rPr>
      </w:pPr>
    </w:p>
    <w:p>
      <w:pPr>
        <w:ind w:left="4" w:hanging="4"/>
        <w:spacing w:after="0" w:line="266" w:lineRule="auto"/>
        <w:tabs>
          <w:tab w:leader="none" w:pos="249"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399" w:lineRule="exact"/>
        <w:rPr>
          <w:rFonts w:ascii="Times New Roman" w:cs="Times New Roman" w:eastAsia="Times New Roman" w:hAnsi="Times New Roman"/>
          <w:sz w:val="17"/>
          <w:szCs w:val="17"/>
          <w:color w:val="auto"/>
        </w:rPr>
      </w:pPr>
    </w:p>
    <w:p>
      <w:pPr>
        <w:ind w:left="4" w:right="220" w:firstLine="436"/>
        <w:spacing w:after="0" w:line="261" w:lineRule="auto"/>
        <w:tabs>
          <w:tab w:leader="none" w:pos="68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278" w:name="page279"/>
    <w:bookmarkEnd w:id="278"/>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76" w:lineRule="exact"/>
        <w:rPr>
          <w:sz w:val="20"/>
          <w:szCs w:val="20"/>
          <w:color w:val="auto"/>
        </w:rPr>
      </w:pPr>
    </w:p>
    <w:p>
      <w:pPr>
        <w:ind w:left="4" w:right="40" w:firstLine="436"/>
        <w:spacing w:after="0" w:line="253" w:lineRule="auto"/>
        <w:tabs>
          <w:tab w:leader="none" w:pos="71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will indemnify and hold harmless the Directed Share Underwriter against any losses, claims, damages and liabilities to which the Directed Share Underwriter may become subject, under the Act or otherwise, insofar as such losses, claims damages or liabilities (or actions in respect thereof) (i) arise out of or are based upon an untrue statement or alleged untrue statement Company for distribution to Participants in connection with the Directed Share Program or arise out of or are based upon the omission or alleged omission to state therein a material fact required to be stated therein or necessary to make the statements therein not misleading, (ii) arise out of or are based upon the failure of any Participant to pay for and accept delivery of Directed Shares that the Participant agreed to purchase, or (iii) are related to, arise out of or are in connection with the Directed Share Program, and will reimburse the Directed Share Underwriter for any legal or other expenses reasonably incurred by the Directed Share Underwriter in connection with investigating or defending any such action or claim as such expenses are incurred; provided, however, that with respect to clauses (ii) and (iii) above, the Company shall not be liable in any such case to the extent that any such loss, claim, damage or liability is finally judicially determined to have resulted from the bad faith or gross negligence of the Directed Share Underwriter.</w:t>
      </w:r>
    </w:p>
    <w:p>
      <w:pPr>
        <w:spacing w:after="0" w:line="194" w:lineRule="exact"/>
        <w:rPr>
          <w:sz w:val="20"/>
          <w:szCs w:val="20"/>
          <w:color w:val="auto"/>
        </w:rPr>
      </w:pPr>
    </w:p>
    <w:p>
      <w:pPr>
        <w:ind w:left="4" w:firstLine="436"/>
        <w:spacing w:after="0" w:line="251" w:lineRule="auto"/>
        <w:tabs>
          <w:tab w:leader="none" w:pos="699"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the Directed Share Underwriter of notice of the commencement of any action, the Directed Share Underwriter shall, if a claim in respect thereof is to be made against the Company, notify the Company in writing of the commencement thereof; provided that the failure to notify the Company shall not relieve the Company from any liability that it may have under the preceding paragraph of this Section 10 except to the extent that it has been materially prejudiced (through the forfeiture of substantive rights or defenses) by such failure; and provided further that the failure to notify the Company shall not relieve it from any liability that it may have to the Directed Share Underwriter otherwise than under the preceding paragraph of this Section 10. In case any such action shall be brought against the Directed Share Underwriter and it shall notify the Company of the commencement thereof, the Company shall be entitled to participate therein and, to the extent that it shall wish, to assume the defense thereof, with counsel satisfactory to the Directed Share Underwriter (who shall not, except with the consent of the Directed Share Underwriter, be counsel to the Company), and, after notice from the Company to the Directed Share Underwriter of its election so to assume the defense thereof, the Company shall not be liable to the Directed Share Underwriter under this subsection for any legal expenses of other counsel or any other expenses, in each case subsequently incurred by the Directed Share Underwriter, in connection with the defense thereof other than reasonable costs of investigation. The Company shall not, without the written consent of the Directed Share Underwriter, effect the settlement or compromise of, or consent to the entry of any judgment with respect to, any pending or threatened action or claim in respect of which indemnification or contribution may be sought hereunder (whether or not the Directed Share Underwriter is an actual or potential party to such action or claim) unless such settlement, compromise or judgment</w:t>
      </w:r>
    </w:p>
    <w:p>
      <w:pPr>
        <w:spacing w:after="0" w:line="11" w:lineRule="exact"/>
        <w:rPr>
          <w:rFonts w:ascii="Times New Roman" w:cs="Times New Roman" w:eastAsia="Times New Roman" w:hAnsi="Times New Roman"/>
          <w:sz w:val="18"/>
          <w:szCs w:val="18"/>
          <w:color w:val="auto"/>
        </w:rPr>
      </w:pPr>
    </w:p>
    <w:p>
      <w:pPr>
        <w:ind w:left="4" w:right="260" w:hanging="4"/>
        <w:spacing w:after="0" w:line="260" w:lineRule="auto"/>
        <w:tabs>
          <w:tab w:leader="none" w:pos="21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unconditional release of the Directed Share Underwriter from all liability arising out of such action or claim and (ii) does not include a statement as to or an admission of fault, culpability or a failure to act, by or on behalf of the Directed Share Underwriter.</w:t>
      </w:r>
    </w:p>
    <w:p>
      <w:pPr>
        <w:spacing w:after="0" w:line="181"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8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10 is unavailable to or insufficient to hold harmless the Directed Share Underwriter under subsection (a) above in respect of any losses, claims, damages or liabilities (or actions in respect thereof) referred to therein, then the Company shall contribute to the amount paid or payable by the Directed Share Underwriter as a result of such losses, claims, damages or liabilities (or actions in respect thereof) in such proportion as is appropriate to reflect the relative benefits received by the Company on the one hand and the Directed Share Underwriter on the other from the offering of the Directed Shares. If, however, the allocation provided by the immediately preceding sentence is not permitted by applicable law, then the Company shall contribute to such amount paid or payable by the Directed Share Underwriter in such proportion as is appropriate to reflect not only such relative benefits but also the relative fault of the Company on the one hand and the Directed Share Underwriter on the other in connection with any statements or omissions which resulted in such losses, claims, damages or liabilities (or actions in respect thereof), as well as any other relevant equitable considerations. The relative benefits received by the Company on the one hand and the Directed Share Underwriter on the other shall be deemed to be in the same proportion as the total net proceeds from the offering of the Directed Shares (before deducting expenses) received by the Company bear to the total underwriting discounts and commissions received by the Directed Share Underwriter for the Directed Shares. If the loss, claim, damage or liability arises out of or is based upon an untrue statement or alleged untrue statement of a material fact or arise out of or are based upon the omission or alleged omission to state therein a material fact required to be stated therein or necessary to make the statements therein not misleading, the relative fault shall be determined by reference to, among other things, whether the untrue or alleged untrue statement of a material fact or the omission or alleged omission to state a material fact relates to information supplied by the Company on the one hand or the Directed Share Underwriter on the other and the parties’ relative intent, knowledge, access to information and opportunity to correct or prevent such statement or omission. The Company and the Directed Share Underwriter agree that it would not be just and equitable</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279" w:name="page280"/>
    <w:bookmarkEnd w:id="279"/>
    <w:p>
      <w:pPr>
        <w:jc w:val="both"/>
        <w:ind w:left="4"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contribution pursuant to this subsection (c) were determined by pro rata allocation or by any other method of allocation which does not take account of the equitable considerations referred to above in this subsection (c). The amount paid or payable by the Directed Share Underwriter as a result of the losses, claims, damages or liabilities (or actions in respect thereof) referred to above in this subsection (c) shall be deemed to include any legal or other expenses reasonably incurred by the Directed Share Underwriter in connection with investigating or defending any such action or claim.</w:t>
      </w:r>
    </w:p>
    <w:p>
      <w:pPr>
        <w:spacing w:after="0" w:line="3"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Notwithstanding the provisions of this subsection (c), the Directed Share Underwriter shall not be required to contribute any amount in excess of the amount by which the total price at which the Directed Shares sold by it and distributed to the Participants exceeds the amount of any damages which the Directed Share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187" w:lineRule="exact"/>
        <w:rPr>
          <w:sz w:val="20"/>
          <w:szCs w:val="20"/>
          <w:color w:val="auto"/>
        </w:rPr>
      </w:pPr>
    </w:p>
    <w:p>
      <w:pPr>
        <w:ind w:left="4" w:right="220" w:firstLine="436"/>
        <w:spacing w:after="0" w:line="289" w:lineRule="auto"/>
        <w:tabs>
          <w:tab w:leader="none" w:pos="699"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the Company under this Section 10 shall be in addition to any liability which the Company may otherwise have and shall extend, upon the same terms and conditions, to each employee, officer and director of the Directed Share Underwriter and each person, if any, who controls the Directed Share Underwriter within the meaning of the Act and each broker-dealer or other affiliate of the Directed Share Underwriter.</w:t>
      </w:r>
    </w:p>
    <w:p>
      <w:pPr>
        <w:spacing w:after="0" w:line="158" w:lineRule="exact"/>
        <w:rPr>
          <w:sz w:val="20"/>
          <w:szCs w:val="20"/>
          <w:color w:val="auto"/>
        </w:rPr>
      </w:pPr>
    </w:p>
    <w:p>
      <w:pPr>
        <w:ind w:left="4" w:right="80" w:firstLine="436"/>
        <w:spacing w:after="0" w:line="253" w:lineRule="auto"/>
        <w:tabs>
          <w:tab w:leader="none" w:pos="70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Shares which it has agreed to purchase hereunder at a Time of Delivery, the Representatives may in their discretion arrange for the Representatives or another party or other parties to purchase such Shares on the terms contained herein. If within thirty-six hours after such default by any Underwriter the Representatives do not arrange for the purchase of such Shares, then the Company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that the Representatives have so arranged for the purchase of such Shares, or the Company notifies the Representatives that it has so arranged for the purchase of such Shares,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92" w:lineRule="exact"/>
        <w:rPr>
          <w:sz w:val="20"/>
          <w:szCs w:val="20"/>
          <w:color w:val="auto"/>
        </w:rPr>
      </w:pPr>
    </w:p>
    <w:p>
      <w:pPr>
        <w:ind w:left="4" w:firstLine="436"/>
        <w:spacing w:after="0" w:line="255" w:lineRule="auto"/>
        <w:tabs>
          <w:tab w:leader="none" w:pos="69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Representatives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88" w:lineRule="exact"/>
        <w:rPr>
          <w:rFonts w:ascii="Times New Roman" w:cs="Times New Roman" w:eastAsia="Times New Roman" w:hAnsi="Times New Roman"/>
          <w:sz w:val="18"/>
          <w:szCs w:val="18"/>
          <w:color w:val="auto"/>
        </w:rPr>
      </w:pPr>
    </w:p>
    <w:p>
      <w:pPr>
        <w:jc w:val="both"/>
        <w:ind w:left="4" w:right="240" w:firstLine="436"/>
        <w:spacing w:after="0" w:line="272" w:lineRule="auto"/>
        <w:tabs>
          <w:tab w:leader="none" w:pos="689"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after giving effect to any arrangements for the purchase of the Shares of a defaulting Underwriter or Underwriters by the Representatives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w:t>
      </w:r>
    </w:p>
    <w:p>
      <w:pPr>
        <w:spacing w:after="0" w:line="1" w:lineRule="exact"/>
        <w:rPr>
          <w:rFonts w:ascii="Times New Roman" w:cs="Times New Roman" w:eastAsia="Times New Roman" w:hAnsi="Times New Roman"/>
          <w:sz w:val="17"/>
          <w:szCs w:val="17"/>
          <w:color w:val="auto"/>
        </w:rPr>
      </w:pPr>
    </w:p>
    <w:p>
      <w:pPr>
        <w:ind w:left="4" w:right="120" w:hanging="4"/>
        <w:spacing w:after="0" w:line="253" w:lineRule="auto"/>
        <w:tabs>
          <w:tab w:leader="none" w:pos="25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Sections 9 and 10 hereof; but nothing herein shall relieve a defaulting Underwriter from liability for its default.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280" w:name="page281"/>
    <w:bookmarkEnd w:id="280"/>
    <w:p>
      <w:pPr>
        <w:ind w:right="20" w:firstLine="436"/>
        <w:spacing w:after="0" w:line="261" w:lineRule="auto"/>
        <w:tabs>
          <w:tab w:leader="none" w:pos="71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79" w:lineRule="exact"/>
        <w:rPr>
          <w:rFonts w:ascii="Times New Roman" w:cs="Times New Roman" w:eastAsia="Times New Roman" w:hAnsi="Times New Roman"/>
          <w:sz w:val="18"/>
          <w:szCs w:val="18"/>
          <w:color w:val="auto"/>
        </w:rPr>
      </w:pPr>
    </w:p>
    <w:p>
      <w:pPr>
        <w:ind w:right="60" w:firstLine="436"/>
        <w:spacing w:after="0" w:line="256" w:lineRule="auto"/>
        <w:tabs>
          <w:tab w:leader="none" w:pos="71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pursuant to Section 11 hereof, the Company shall not then be under any liability to any Underwriter except as provided in Sections 7, 9 and 10 hereof; but, if for any other reason, any Shares are not delivered by or on behalf of the Company as provided herein or the Underwriters decline to purchase the Shares for any reason permitted under this Agreement,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9 and 10 hereof.</w:t>
      </w:r>
    </w:p>
    <w:p>
      <w:pPr>
        <w:spacing w:after="0" w:line="187" w:lineRule="exact"/>
        <w:rPr>
          <w:rFonts w:ascii="Times New Roman" w:cs="Times New Roman" w:eastAsia="Times New Roman" w:hAnsi="Times New Roman"/>
          <w:sz w:val="18"/>
          <w:szCs w:val="18"/>
          <w:color w:val="auto"/>
        </w:rPr>
      </w:pPr>
    </w:p>
    <w:p>
      <w:pPr>
        <w:ind w:right="80" w:firstLine="436"/>
        <w:spacing w:after="0" w:line="266" w:lineRule="auto"/>
        <w:tabs>
          <w:tab w:leader="none" w:pos="71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jointly or by the Representatives on behalf of the Underwriters.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 (A) if to the Underwriters shall be delivered or sent by mail, telex or facsimile transmission to Goldman Sachs &amp; Co. LLC, 200 West Street, New York, New York 10282-2198, Attention: Registration Department; Morgan Stanley &amp; Co. LLC, 1585 Broadway, New York, New York 10036, Attention: Equity Syndicate Desk, with a copy to the Legal Department; and Jefferies LLC, 520 Madison Avenue, New York, New York 10022, Attention: General Counsel; and (B) if to the Company shall be delivered or sent by mail, telex or facsimile transmission to the address of the Company set forth in the Registration Statement, Attention: Chief Executive Officer; provided, however, that any notice to an Underwriter pursuant to Section 9(c) or 10(b) hereof shall be delivered or sent by mail, telex or facsimile transmission to such Underwriter at its address set forth in its Underwriters’ Questionnaire, or telex constituting such Questionnaire, which address will be supplied to the Company by the Representatives upon request; provided, however, that notices under subsection 5(e) shall be in writing, and if to the Underwriters shall be delivered or sent by mail, telex or facsimile transmission to the Representatives at Goldman Sachs &amp; Co. LLC, 200 West Street, New York, New York 10282-2198, Attention: Control Room; Morgan Stanley &amp; Co. LLC, 1585 Broadway, New York, New York 10036, Attention: Equity Syndicate Desk, with a copy to the Legal Department; and Jefferies LLC, 520 Madison Avenue, New York, New York 10022, Attention: General Counsel. Any such statements, requests, notices or agreements shall take effect upon receipt thereof.</w:t>
      </w:r>
    </w:p>
    <w:p>
      <w:pPr>
        <w:spacing w:after="0" w:line="19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281" w:name="page282"/>
    <w:bookmarkEnd w:id="281"/>
    <w:p>
      <w:pPr>
        <w:ind w:left="4"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62" w:lineRule="exact"/>
        <w:rPr>
          <w:sz w:val="20"/>
          <w:szCs w:val="20"/>
          <w:color w:val="auto"/>
        </w:rPr>
      </w:pPr>
    </w:p>
    <w:p>
      <w:pPr>
        <w:jc w:val="both"/>
        <w:ind w:left="4" w:right="540" w:firstLine="436"/>
        <w:spacing w:after="0" w:line="281" w:lineRule="auto"/>
        <w:tabs>
          <w:tab w:leader="none" w:pos="714"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binding upon, and inure solely to the benefit of, the Underwriters, the Company and, to the extent provided in Sections 9, 10 and 12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64" w:lineRule="exact"/>
        <w:rPr>
          <w:rFonts w:ascii="Times New Roman" w:cs="Times New Roman" w:eastAsia="Times New Roman" w:hAnsi="Times New Roman"/>
          <w:sz w:val="17"/>
          <w:szCs w:val="17"/>
          <w:color w:val="auto"/>
        </w:rPr>
      </w:pPr>
    </w:p>
    <w:p>
      <w:pPr>
        <w:ind w:left="4" w:right="100" w:firstLine="436"/>
        <w:spacing w:after="0" w:line="282" w:lineRule="auto"/>
        <w:tabs>
          <w:tab w:leader="none" w:pos="71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left="4" w:firstLine="436"/>
        <w:spacing w:after="0" w:line="268" w:lineRule="auto"/>
        <w:tabs>
          <w:tab w:leader="none" w:pos="714"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none of the activities of the Underwriters in connection with the transactions contemplated herein constitutes a recommendation, investment advice, or solicitation of any action by the Underwriters with respect to any entity or natural person and</w:t>
      </w:r>
    </w:p>
    <w:p>
      <w:pPr>
        <w:spacing w:after="0" w:line="2" w:lineRule="exact"/>
        <w:rPr>
          <w:rFonts w:ascii="Times New Roman" w:cs="Times New Roman" w:eastAsia="Times New Roman" w:hAnsi="Times New Roman"/>
          <w:sz w:val="17"/>
          <w:szCs w:val="17"/>
          <w:color w:val="auto"/>
        </w:rPr>
      </w:pPr>
    </w:p>
    <w:p>
      <w:pPr>
        <w:ind w:left="4" w:right="200" w:hanging="4"/>
        <w:spacing w:after="0" w:line="255" w:lineRule="auto"/>
        <w:tabs>
          <w:tab w:leader="none" w:pos="25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85"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71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Company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left="4" w:right="140" w:firstLine="436"/>
        <w:spacing w:after="0" w:line="256" w:lineRule="auto"/>
        <w:tabs>
          <w:tab w:leader="none" w:pos="71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87"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71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282" w:name="page283"/>
    <w:bookmarkEnd w:id="282"/>
    <w:p>
      <w:pPr>
        <w:ind w:right="40" w:firstLine="436"/>
        <w:spacing w:after="0" w:line="282" w:lineRule="auto"/>
        <w:tabs>
          <w:tab w:leader="none" w:pos="71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may be executed by any one or more of the parties hereto in any number of counterparts, each of which shall be deemed to be an original, but all such counterparts shall together constitute one and the same instrument.</w:t>
      </w:r>
    </w:p>
    <w:p>
      <w:pPr>
        <w:spacing w:after="0" w:line="161" w:lineRule="exact"/>
        <w:rPr>
          <w:rFonts w:ascii="Times New Roman" w:cs="Times New Roman" w:eastAsia="Times New Roman" w:hAnsi="Times New Roman"/>
          <w:sz w:val="18"/>
          <w:szCs w:val="18"/>
          <w:color w:val="auto"/>
        </w:rPr>
      </w:pPr>
    </w:p>
    <w:p>
      <w:pPr>
        <w:ind w:right="120" w:firstLine="436"/>
        <w:spacing w:after="0" w:line="258" w:lineRule="auto"/>
        <w:tabs>
          <w:tab w:leader="none" w:pos="71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U.S. Special Resolution Regimes.</w:t>
      </w:r>
    </w:p>
    <w:p>
      <w:pPr>
        <w:spacing w:after="0" w:line="225" w:lineRule="exact"/>
        <w:rPr>
          <w:sz w:val="20"/>
          <w:szCs w:val="20"/>
          <w:color w:val="auto"/>
        </w:rPr>
      </w:pPr>
    </w:p>
    <w:p>
      <w:pPr>
        <w:ind w:right="60" w:firstLine="436"/>
        <w:spacing w:after="0" w:line="261" w:lineRule="auto"/>
        <w:tabs>
          <w:tab w:leader="none" w:pos="68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660" w:hanging="224"/>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283" w:name="page284"/>
    <w:bookmarkEnd w:id="28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Taysha Gene Therapies,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behalf of each of the Underwriters</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019"/>
          </w:cols>
          <w:pgMar w:left="440" w:top="270" w:right="1440" w:bottom="1440" w:gutter="0" w:footer="0" w:header="0"/>
        </w:sectPr>
      </w:pPr>
    </w:p>
    <w:bookmarkStart w:id="285" w:name="page286"/>
    <w:bookmarkEnd w:id="2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Optional</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9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if</w:t>
            </w: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6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Firm Shares</w:t>
            </w:r>
          </w:p>
        </w:tc>
        <w:tc>
          <w:tcPr>
            <w:tcW w:w="9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 Option</w:t>
            </w:r>
          </w:p>
        </w:tc>
        <w:tc>
          <w:tcPr>
            <w:tcW w:w="0" w:type="dxa"/>
            <w:vAlign w:val="bottom"/>
          </w:tcPr>
          <w:p>
            <w:pPr>
              <w:spacing w:after="0"/>
              <w:rPr>
                <w:sz w:val="1"/>
                <w:szCs w:val="1"/>
                <w:color w:val="auto"/>
              </w:rPr>
            </w:pPr>
          </w:p>
        </w:tc>
      </w:tr>
      <w:tr>
        <w:trPr>
          <w:trHeight w:val="160"/>
        </w:trPr>
        <w:tc>
          <w:tcPr>
            <w:tcW w:w="2440" w:type="dxa"/>
            <w:vAlign w:val="bottom"/>
            <w:gridSpan w:val="2"/>
            <w:vMerge w:val="continue"/>
          </w:tcPr>
          <w:p>
            <w:pPr>
              <w:spacing w:after="0"/>
              <w:rPr>
                <w:sz w:val="13"/>
                <w:szCs w:val="13"/>
                <w:color w:val="auto"/>
              </w:rPr>
            </w:pPr>
          </w:p>
        </w:tc>
        <w:tc>
          <w:tcPr>
            <w:tcW w:w="268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96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26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6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26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268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6" w:right="1440" w:bottom="1440" w:gutter="0" w:footer="0" w:header="0"/>
        </w:sectPr>
      </w:pPr>
    </w:p>
    <w:bookmarkStart w:id="286" w:name="page287"/>
    <w:bookmarkEnd w:id="286"/>
    <w:p>
      <w:pPr>
        <w:ind w:left="49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9" w:lineRule="exact"/>
        <w:rPr>
          <w:sz w:val="20"/>
          <w:szCs w:val="20"/>
          <w:color w:val="auto"/>
        </w:rPr>
      </w:pPr>
    </w:p>
    <w:p>
      <w:pPr>
        <w:ind w:left="444" w:right="3959" w:hanging="444"/>
        <w:spacing w:after="0" w:line="500" w:lineRule="auto"/>
        <w:tabs>
          <w:tab w:leader="none" w:pos="24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Free Writing Prospectuses not included in the Pricing Disclosure Package: Electronic Roadshow dated [●]</w:t>
      </w:r>
    </w:p>
    <w:p>
      <w:pPr>
        <w:spacing w:after="0" w:line="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Documents Incorporated by Reference: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right="3139" w:hanging="444"/>
        <w:spacing w:after="0" w:line="500" w:lineRule="auto"/>
        <w:tabs>
          <w:tab w:leader="none" w:pos="24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other than the Pricing Prospectus that comprise the Pricing Disclosure Package: The initial public offering price per share for the Shares is $ [●]</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purchased by the Underwriters is [●]</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Testing-the-Waters Communications: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23"/>
          </w:cols>
          <w:pgMar w:left="436" w:top="266" w:right="1440"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I</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 Inc. (“Taysha”) announced today that Goldman Sachs &amp; Co. LLC, Morgan Stanley &amp; Co. LLC and Jefferies LLC, the lead</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book-running managers in the Company’s recent public sale of shares of common stock, are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182"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020"/>
          </w:cols>
          <w:pgMar w:left="440" w:top="266" w:right="4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10282-2198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Taysha Gene Therapies, Inc.—Lock-Up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understands that you, as representatives (the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propose to enter into an underwriting agreement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on behalf of the several Underwriters named in Schedule I to such agreement (collectively,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Taysha Gene Therapies,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providing for a public offering (the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of the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$0.00001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pursuant to a Registration Statement on Form S-1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60" w:firstLine="440"/>
        <w:spacing w:after="0" w:line="253" w:lineRule="auto"/>
        <w:rPr>
          <w:sz w:val="20"/>
          <w:szCs w:val="20"/>
          <w:color w:val="auto"/>
        </w:rPr>
      </w:pPr>
      <w:r>
        <w:rPr>
          <w:rFonts w:ascii="Times New Roman" w:cs="Times New Roman" w:eastAsia="Times New Roman" w:hAnsi="Times New Roman"/>
          <w:sz w:val="18"/>
          <w:szCs w:val="18"/>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180 days after the date set forth on the final prospectus used to sell the Shares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the undersigned shall not, and shall not cause or direct any of its affiliates to, (i) offer, sell, contract to sell, pledge, grant any option to purchase, lend or otherwise dispose of any shares of Common Stock of the Company, or any options or warrants to purchase any shares of Common Stock of the Company, or any securities convertible into, exchangeable for or that represent the right to receive shares of Common Stock of the Company (such options, warrants or other securities, collectively, “</w:t>
      </w:r>
      <w:r>
        <w:rPr>
          <w:rFonts w:ascii="Times New Roman" w:cs="Times New Roman" w:eastAsia="Times New Roman" w:hAnsi="Times New Roman"/>
          <w:sz w:val="18"/>
          <w:szCs w:val="18"/>
          <w:b w:val="1"/>
          <w:bCs w:val="1"/>
          <w:i w:val="1"/>
          <w:iCs w:val="1"/>
          <w:color w:val="auto"/>
        </w:rPr>
        <w:t>Derivative Instruments</w:t>
      </w:r>
      <w:r>
        <w:rPr>
          <w:rFonts w:ascii="Times New Roman" w:cs="Times New Roman" w:eastAsia="Times New Roman" w:hAnsi="Times New Roman"/>
          <w:sz w:val="18"/>
          <w:szCs w:val="18"/>
          <w:color w:val="auto"/>
        </w:rPr>
        <w:t>”), including without limitation any such shares or Derivative Instruments now owned or hereafter acquired by the undersigned (collectively, the “</w:t>
      </w:r>
      <w:r>
        <w:rPr>
          <w:rFonts w:ascii="Times New Roman" w:cs="Times New Roman" w:eastAsia="Times New Roman" w:hAnsi="Times New Roman"/>
          <w:sz w:val="18"/>
          <w:szCs w:val="18"/>
          <w:b w:val="1"/>
          <w:bCs w:val="1"/>
          <w:i w:val="1"/>
          <w:iCs w:val="1"/>
          <w:color w:val="auto"/>
        </w:rPr>
        <w:t>Undersigned’s Shares</w:t>
      </w:r>
      <w:r>
        <w:rPr>
          <w:rFonts w:ascii="Times New Roman" w:cs="Times New Roman" w:eastAsia="Times New Roman" w:hAnsi="Times New Roman"/>
          <w:sz w:val="18"/>
          <w:szCs w:val="18"/>
          <w:color w:val="auto"/>
        </w:rPr>
        <w:t>”),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of the Undersigned’s</w:t>
      </w:r>
    </w:p>
    <w:p>
      <w:pPr>
        <w:sectPr>
          <w:pgSz w:w="11900" w:h="16838" w:orient="portrait"/>
          <w:cols w:equalWidth="0" w:num="1">
            <w:col w:w="11020"/>
          </w:cols>
          <w:pgMar w:left="440" w:top="266" w:right="439" w:bottom="1440" w:gutter="0" w:footer="0" w:header="0"/>
        </w:sectPr>
      </w:pPr>
    </w:p>
    <w:bookmarkStart w:id="289" w:name="page290"/>
    <w:bookmarkEnd w:id="289"/>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whether any such transaction or arrangement (or instrument provided for thereunder) would be settled by delivery of Common Stock or other securities, in cash or otherwise (any such sale, loan, pledge or other disposition, or transfer of economic consequences,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For the avoidance of doubt, the undersigned agrees that the foregoing provisions shall be equally applicable to any issuer-directed or other Shares the undersigned may purchase in the offering.</w:t>
      </w:r>
    </w:p>
    <w:p>
      <w:pPr>
        <w:spacing w:after="0" w:line="18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80"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the Representatives agree that, at least three business days before the effective date of any release or waiver of the foregoing restrictions in connection with a transfer of the Undersigned’s Shares,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the undersigned may transfer or otherwise dispose of the Undersigned’s Shares:</w:t>
      </w:r>
    </w:p>
    <w:p>
      <w:pPr>
        <w:spacing w:after="0" w:line="129" w:lineRule="exact"/>
        <w:rPr>
          <w:sz w:val="20"/>
          <w:szCs w:val="20"/>
          <w:color w:val="auto"/>
        </w:rPr>
      </w:pPr>
    </w:p>
    <w:p>
      <w:pPr>
        <w:ind w:left="424" w:right="20" w:hanging="424"/>
        <w:spacing w:after="0" w:line="284" w:lineRule="auto"/>
        <w:tabs>
          <w:tab w:leader="none" w:pos="4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or as a charitable contribution; provided that the donee or donees thereof agree to be bound in writing by the restrictions set forth herein; and provided further, that that any such transfer shall not involve a disposition for value;</w:t>
      </w:r>
    </w:p>
    <w:p>
      <w:pPr>
        <w:spacing w:after="0" w:line="65" w:lineRule="exact"/>
        <w:rPr>
          <w:rFonts w:ascii="Times New Roman" w:cs="Times New Roman" w:eastAsia="Times New Roman" w:hAnsi="Times New Roman"/>
          <w:sz w:val="18"/>
          <w:szCs w:val="18"/>
          <w:color w:val="auto"/>
        </w:rPr>
      </w:pPr>
    </w:p>
    <w:p>
      <w:pPr>
        <w:ind w:left="424" w:right="100" w:hanging="424"/>
        <w:spacing w:after="0" w:line="261" w:lineRule="auto"/>
        <w:tabs>
          <w:tab w:leader="none" w:pos="4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of any member of the immediate family (as defined below) of the undersigned, or if the undersigned is a trust, to a trustor, trustee (or co-trustee) or beneficiary of the trust or to the estate of the beneficiary of such trust; provided that the transferee agrees to be bound in writing by the restrictions set forth herein; and provided further, that any such transfer shall not involve a disposition for value;</w:t>
      </w:r>
    </w:p>
    <w:p>
      <w:pPr>
        <w:spacing w:after="0" w:line="85"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of any of the Undersigned’s Shares acquired (a) in the Public Offering (other than any Company-directed Shares acquired by an officer or director of the Company) or (b) in open market transactions after the date set forth on the final prospectus used to sell the Shares;</w:t>
      </w:r>
    </w:p>
    <w:p>
      <w:pPr>
        <w:sectPr>
          <w:pgSz w:w="11900" w:h="16838" w:orient="portrait"/>
          <w:cols w:equalWidth="0" w:num="1">
            <w:col w:w="10984"/>
          </w:cols>
          <w:pgMar w:left="436" w:top="270" w:right="479" w:bottom="1440" w:gutter="0" w:footer="0" w:header="0"/>
        </w:sectPr>
      </w:pPr>
    </w:p>
    <w:bookmarkStart w:id="290" w:name="page291"/>
    <w:bookmarkEnd w:id="290"/>
    <w:p>
      <w:pPr>
        <w:ind w:left="424" w:right="40" w:hanging="424"/>
        <w:spacing w:after="0" w:line="253" w:lineRule="auto"/>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undersigned is a corporation, partnership, limited liability company, trust or other business entity, (a) to any corporation, partnership limited liability company or other business entity, all of the beneficial ownership interests of which, in each such case, are held by the undersigned, (b) to another corporation, partnership, limited liability company, trust or other business entity that is an affiliate (as defined in Rule 405 promulgated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the undersigned or the immediate family of the undersigned, or to any investment fund or other entity controlling, controlled by, managing or managed by or under common control with the undersigned or affiliates or immediate family of the undersigned (including, for the avoidance of doubt, if the undersigned is a partnership, to its general partner or a successor partnership or fund, or any other funds managed by such partnership), or (c) as part of a distribution, transfer or disposition without consideration by the undersigned to its stockholders, partners, members, beneficiaries or other equity holders; provided, however, that in the case of any transfer or disposition contemplated by this clause (iv), it shall be a condition to the transfer or disposition that the transferee agrees to be bound in writing by the restrictions set forth herein;</w:t>
      </w:r>
    </w:p>
    <w:p>
      <w:pPr>
        <w:spacing w:after="0" w:line="99"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surrender or forfeiture of shares of Common Stock or other securities of the Company to the Company to satisfy tax withholding obligations upon exercise or vesting or the exercise price upon a cashless net exercise, in each case, of stock options, restricted stock, other equity awards, warrants or other rights to acquire Common Stock that have been described in the Registration Statement relating to the Public Offering; provided that any filing under Section 16 of the Exchange Act shall indicate in the footnotes thereto that (A) the filing relates to the applicable circumstances described in this clause and (B) no securities were sold by the undersigned, and no other public announcement shall be required or shall be made voluntarily in connection with such transfer;</w:t>
      </w:r>
    </w:p>
    <w:p>
      <w:pPr>
        <w:spacing w:after="0" w:line="92" w:lineRule="exact"/>
        <w:rPr>
          <w:rFonts w:ascii="Times New Roman" w:cs="Times New Roman" w:eastAsia="Times New Roman" w:hAnsi="Times New Roman"/>
          <w:sz w:val="18"/>
          <w:szCs w:val="18"/>
          <w:color w:val="auto"/>
        </w:rPr>
      </w:pPr>
    </w:p>
    <w:p>
      <w:pPr>
        <w:ind w:left="424" w:right="120" w:hanging="424"/>
        <w:spacing w:after="0" w:line="282" w:lineRule="auto"/>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 provided that any filing made under Exchange Act shall include a footnote noting the circumstances described in this clause; and provided further, that any such transfer shall not involve a disposition for value;</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of the undersigned, provided that such family member agrees in writing to be bound by the restrictions set forth herein; and provided further, that that any such transfer shall not involve a disposition for value;</w:t>
      </w:r>
    </w:p>
    <w:p>
      <w:pPr>
        <w:spacing w:after="0" w:line="67"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pursuant to an agreement under which the Company has the option to repurchase such shares upon termination of the undersigned’s employment or other service relationship with the Company pursuant to contractual agreements with the Company as in effect as of the date set forth on the final prospectus used to sell the Shares; provided that any filing made under Exchange Act shall include a footnote noting the circumstances described in this clause;</w:t>
      </w:r>
    </w:p>
    <w:p>
      <w:pPr>
        <w:spacing w:after="0" w:line="85"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pursuant to a court order or settlement agreement related to the distribution of assets in connection with the dissolution of a marriage, domestic partnership or civil union, provided that such transferee or distributee agrees in writing to be bound by the restrictions set forth herein; and provided further, that any required filing under Section 16 of the Exchange Act shall indicate in the footnotes thereto that (A) the filing relates to the circumstances described in this clause and (B) that no securities were sold by the undersigned, and no other public announcement shall be made voluntarily by the undersigned in connection with such transfer or disposition;</w:t>
      </w:r>
    </w:p>
    <w:p>
      <w:pPr>
        <w:sectPr>
          <w:pgSz w:w="11900" w:h="16838" w:orient="portrait"/>
          <w:cols w:equalWidth="0" w:num="1">
            <w:col w:w="10984"/>
          </w:cols>
          <w:pgMar w:left="436" w:top="270" w:right="479" w:bottom="1440" w:gutter="0" w:footer="0" w:header="0"/>
        </w:sectPr>
      </w:pPr>
    </w:p>
    <w:bookmarkStart w:id="291" w:name="page292"/>
    <w:bookmarkEnd w:id="291"/>
    <w:p>
      <w:pPr>
        <w:ind w:left="424" w:right="60" w:hanging="424"/>
        <w:spacing w:after="0" w:line="261" w:lineRule="auto"/>
        <w:tabs>
          <w:tab w:leader="none" w:pos="4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a bona fide third party tender offer, merger, consolidation or other similar transaction made to all holders of Common Stock involving a Change of Control (as defined below) of the Company after the closing of the Public Offering and approved by the Company’s board of directors; provided that in the event that the tender offer, merger, consolidation or other such transaction is not completed, the Undersigned’s Shares shall remain subject to the restrictions contained in this Lock-Up Agreement;</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Representatives on behalf of the Underwriters; and</w:t>
      </w:r>
    </w:p>
    <w:p>
      <w:pPr>
        <w:spacing w:after="0" w:line="130" w:lineRule="exact"/>
        <w:rPr>
          <w:rFonts w:ascii="Times New Roman" w:cs="Times New Roman" w:eastAsia="Times New Roman" w:hAnsi="Times New Roman"/>
          <w:sz w:val="18"/>
          <w:szCs w:val="18"/>
          <w:color w:val="auto"/>
        </w:rPr>
      </w:pPr>
    </w:p>
    <w:p>
      <w:pPr>
        <w:ind w:left="424" w:right="60" w:hanging="424"/>
        <w:spacing w:after="0" w:line="281" w:lineRule="auto"/>
        <w:tabs>
          <w:tab w:leader="none" w:pos="424"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the conversion of outstanding shares of the Company’s preferred stock into Common Stock as described in the Registration Statement relating to the Public Offering, or any reclassification or conversion of the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Common Stock received upon such conversion or reclassification will be subject to the restrictions set forth in this paragraph; and provided further, that any required filing under Section 16 of the Exchange Act shall indicate in the footnotes thereto that the filing relates to the circumstances described in this clause;</w:t>
      </w:r>
    </w:p>
    <w:p>
      <w:pPr>
        <w:spacing w:after="0" w:line="164"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provided, that, in the case of clauses (i), (ii), (iii), (iv) and (vii) above, no filing under Section 16 of the Exchange Act reporting a reduction in beneficial ownership of the Undersigned’s Shares shall be required or shall be voluntarily made during the Lock-Up Period (other than a required filing on Form 5 or a required filing under Section 13 of the Exchange Act).</w:t>
      </w:r>
    </w:p>
    <w:p>
      <w:pPr>
        <w:spacing w:after="0" w:line="176"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Furthermore, notwithstanding the restrictions imposed by this Lock-Up Agreement, the undersigned may exercise an option or other equity award to purchase Shares of Common Stock (pursuant to an employee benefit plan, option or other right disclosed in the final prospectus for the Public Offering) on a cash basis; provided that any such shares issued upon such exercise shall be subject to the restrictions set forth herein; and provided further, that any filing under Section 16 of the Exchange Act shall indicate in the footnotes thereto that the filing relates to the applicable circumstances described in this paragraph, and no other public announcement shall be required or shall be made voluntarily in connection with such exercise.</w:t>
      </w:r>
    </w:p>
    <w:p>
      <w:pPr>
        <w:spacing w:after="0" w:line="183"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Lock-Up Agreement, “immediate family” shall mean any relationship by blood, marriage, domestic partnership, civil union or adoption, not more remote than first cousin.</w:t>
      </w:r>
    </w:p>
    <w:p>
      <w:pPr>
        <w:spacing w:after="0" w:line="1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this Lock-Up Agreement, “Change of Control” means the consummation of any bona fide third party tender offer, merger, consolidation or other similar transaction, the result of which is that any “person” (as defined in Rule 13d-3 of the Exchange Act), or group of persons, other than the Company or its subsidiaries, becomes the beneficial owner (as defined in Rule 13d-3 and 13d-5 of the Exchange Act) of greater than 50% of the total voting power of the voting share capital of the Company.</w:t>
      </w:r>
    </w:p>
    <w:p>
      <w:pPr>
        <w:spacing w:after="0" w:line="180"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Additionally, the undersigned may establish a trading plan pursuant to Rule 10b5-1 under the Exchange Act for the transfer of the Undersigned’s Shares, provided that such plan does not provide for any transfers of Common Stock during the Lock-Up Period and no filing under the Exchange Act nor any other public filing or disclosure of such trading plan shall be made during the Lock-Up Period.</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the event that during the Lock-Up Period, (x) the Representatives waive any prohibition on the transfer of any shares of Common Stock held by any record or beneficial holder of capital stock of the Company, and (y) the undersigned is a Major Holder (as defined below), the Representatives shall be deemed to have also waived, on the same terms, the prohibitions set forth in this Lock-Up Agreement that would otherwise have applied to such Major Holder with respect to</w:t>
      </w:r>
    </w:p>
    <w:p>
      <w:pPr>
        <w:sectPr>
          <w:pgSz w:w="11900" w:h="16838" w:orient="portrait"/>
          <w:cols w:equalWidth="0" w:num="1">
            <w:col w:w="10984"/>
          </w:cols>
          <w:pgMar w:left="436" w:top="270" w:right="479" w:bottom="1440" w:gutter="0" w:footer="0" w:header="0"/>
        </w:sectPr>
      </w:pPr>
    </w:p>
    <w:bookmarkStart w:id="292" w:name="page293"/>
    <w:bookmarkEnd w:id="29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same percentage of such Major Holder’s shares of Common Stock as the percentage of shares subject to such waiver represents to the aggregate shares held by such party receiving the waiver and which would have otherwise been subject to prohibition on transfer absent such waiver. The provisions of this paragraph will not apply: (1) unless and until the Representatives have first waived application of any prohibition on transfer with respect to shares of Common Stock representing, in the aggregate, more than 1.0% of the Company’s total outstanding shares of Common Stock (determined as of the date of such waiver), (2) (a) if the waiver is effected solely to permit a transfer not involving a disposition for value and (b) the transferee has agreed in writing to be bound by the same terms described in this Lock -Up Agreement to the extent and for the duration that such terms remain in effect at the time of the transfer; provided, that any subsequent release or waiver by the Representatives of the prohibition on transfer of shares of Common Stock held by the transferee of a transfer pursuant to this clause (2)(b), shall be subject the provisions of this paragraph to the same extent as if the original transfer was not exempt under this clause (2)(b), (3) if the release or waiver is granted to a holder of shares of Common Stock in connection with an underwritten public offering, whether or not such offering is wholly or partially a secondary offering, of shares pursuant to a registration statement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of any release or waiver pursuant to this clause (3), the same percentage of the Undersigned’s Shares shall be released, but only for the purpose of participating in such public offering, or (4) if the release or waiver is granted due to circumstances of an emergency or hardship as determined by Representatives in their sole judgment, with respect to shares of Common Stock valued at $100,000 or less in the aggregate (based on the closing or last reported sale price of the Common Stock on the date such release becomes effective). In the event that, as a result of this paragraph, any shares of Common Stock held by the undersigned are released from the restrictions imposed by this Lock-Up Agreement, the Company shall use commercially reasonable efforts to notify the undersigned within five business days thereafter that the same percentage of aggregate shares of Common Stock held by such Major Holder has been released. For purposes of this Lock-Up Agreement, each of the following persons is a “Major Holder”: each record or beneficial owner, as of the date hereof, of more than 1% of the outstanding shares of capital stock of the Company on an as converted to Common Stock basis (for purposes of determining record or beneficial ownership of a stockholder, all shares of capital stock held by investment funds affiliated with such stockholder shall be aggregated).]</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undersigned now has, and, except as contemplated above, for the duration of this Lock-Up Agreement will have, good and marketable title to the Undersigned’s Shares, free and clear of all liens, encumbrances, and claims whatsoever. In addition, the undersigned agrees that, without the prior written consent of the Representatives on behalf of the Underwriters, it will not, during the Lock-Up Period, make any demand for or exercise any right with respect to, the registration of its Shares or any security convertible into or exercisable or exchangeable for Shares. The undersigned also agrees and consents to the entry of stop transfer instructions with the Company’s transfer agent and registrar against the transfer of the Undersigned’s Shares except in compliance with the foregoing restrictions.</w:t>
      </w:r>
    </w:p>
    <w:p>
      <w:pPr>
        <w:spacing w:after="0" w:line="187"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this Lock-Up Agreement will automatically terminate and the undersigned will be released from all of his, her or its obligations hereunder upon the earliest to occur, if any, of (i) prior to the execution of the Underwriting Agreement, the Company advises the Representatives in writing that it has determined not to proceed with the Public Offering of the Shares, (ii) prior to the execution of the Underwriting Agreement, the date on which the Company files an application to withdraw the registration statement related to the Public Offering of the Shares, (iii) the Underwriting Agreement is executed but is terminated (other than the provisions thereof which survive termination) prior to payment for and delivery of the Shares to be sold thereunder, or (iv) January 31, 2021, in the event that the</w:t>
      </w:r>
    </w:p>
    <w:p>
      <w:pPr>
        <w:sectPr>
          <w:pgSz w:w="11900" w:h="16838" w:orient="portrait"/>
          <w:cols w:equalWidth="0" w:num="1">
            <w:col w:w="11020"/>
          </w:cols>
          <w:pgMar w:left="440" w:top="270" w:right="439" w:bottom="1440" w:gutter="0" w:footer="0" w:header="0"/>
        </w:sectPr>
      </w:pPr>
    </w:p>
    <w:bookmarkStart w:id="293" w:name="page294"/>
    <w:bookmarkEnd w:id="293"/>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Underwriting Agreement has not been executed by such date; provided, however, that the Company may, by written notice to you prior to such date, extend such date for a period of up to three additional months.</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w:t>
      </w:r>
    </w:p>
    <w:p>
      <w:pPr>
        <w:spacing w:after="0" w:line="18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blank]</w:t>
      </w:r>
    </w:p>
    <w:p>
      <w:pPr>
        <w:sectPr>
          <w:pgSz w:w="11900" w:h="16838" w:orient="portrait"/>
          <w:cols w:equalWidth="0" w:num="1">
            <w:col w:w="10980"/>
          </w:cols>
          <w:pgMar w:left="440" w:top="270" w:right="479" w:bottom="1440" w:gutter="0" w:footer="0" w:header="0"/>
        </w:sectPr>
      </w:pPr>
    </w:p>
    <w:bookmarkStart w:id="294" w:name="page295"/>
    <w:bookmarkEnd w:id="29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IF AN INDIVIDUAL:</w:t>
      </w:r>
    </w:p>
    <w:p>
      <w:pPr>
        <w:spacing w:after="0" w:line="200" w:lineRule="exact"/>
        <w:rPr>
          <w:sz w:val="20"/>
          <w:szCs w:val="20"/>
          <w:color w:val="auto"/>
        </w:rPr>
      </w:pPr>
    </w:p>
    <w:p>
      <w:pPr>
        <w:spacing w:after="0" w:line="25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of Undersigned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-126365</wp:posOffset>
            </wp:positionV>
            <wp:extent cx="25203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wp:posOffset>
            </wp:positionV>
            <wp:extent cx="231457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Signature</w:t>
      </w:r>
    </w:p>
    <w:p>
      <w:pPr>
        <w:spacing w:after="0" w:line="24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IF AN ENTITY:</w:t>
      </w:r>
    </w:p>
    <w:p>
      <w:pPr>
        <w:spacing w:after="0" w:line="200" w:lineRule="exact"/>
        <w:rPr>
          <w:sz w:val="20"/>
          <w:szCs w:val="20"/>
          <w:color w:val="auto"/>
        </w:rPr>
      </w:pPr>
    </w:p>
    <w:p>
      <w:pPr>
        <w:spacing w:after="0" w:line="25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[Name of Undersigned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-126365</wp:posOffset>
            </wp:positionV>
            <wp:extent cx="25031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17145</wp:posOffset>
            </wp:positionV>
            <wp:extent cx="229743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of Authorized Signatory (</w:t>
      </w:r>
      <w:r>
        <w:rPr>
          <w:rFonts w:ascii="Times New Roman" w:cs="Times New Roman" w:eastAsia="Times New Roman" w:hAnsi="Times New Roman"/>
          <w:sz w:val="18"/>
          <w:szCs w:val="18"/>
          <w:i w:val="1"/>
          <w:iCs w:val="1"/>
          <w:color w:val="auto"/>
        </w:rPr>
        <w:t>Print full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-126365</wp:posOffset>
            </wp:positionV>
            <wp:extent cx="25031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Title of Authorized Signatory (</w:t>
      </w:r>
      <w:r>
        <w:rPr>
          <w:rFonts w:ascii="Times New Roman" w:cs="Times New Roman" w:eastAsia="Times New Roman" w:hAnsi="Times New Roman"/>
          <w:sz w:val="18"/>
          <w:szCs w:val="18"/>
          <w:i w:val="1"/>
          <w:iCs w:val="1"/>
          <w:color w:val="auto"/>
        </w:rPr>
        <w:t>Print full title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-126365</wp:posOffset>
            </wp:positionV>
            <wp:extent cx="25031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8">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(indicate capacity of person signing if signing as</w:t>
      </w:r>
    </w:p>
    <w:p>
      <w:pPr>
        <w:spacing w:after="0" w:line="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custodian, trustee, or on behalf of an entity)</w:t>
      </w:r>
    </w:p>
    <w:p>
      <w:pPr>
        <w:sectPr>
          <w:pgSz w:w="11900" w:h="16838" w:orient="portrait"/>
          <w:cols w:equalWidth="0" w:num="1">
            <w:col w:w="9720"/>
          </w:cols>
          <w:pgMar w:left="1440" w:top="270" w:right="7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No. 333-248559 on Form S-1 of our report dated July 31, 2020 (September 17, 2020 as to the effects of the stock split described in Note 9), relating to the financial statements of Taysha Gene Therapies, Inc. We also consent to the reference to us under the heading “Experts” in such Registration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17,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decimal"/>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1)"/>
      <w:numFmt w:val="decimal"/>
      <w:start w:val="1"/>
    </w:lvl>
  </w:abstractNum>
  <w:abstractNum w:abstractNumId="15">
    <w:nsid w:val="26F324BA"/>
    <w:multiLevelType w:val="hybridMultilevel"/>
    <w:lvl w:ilvl="0">
      <w:lvlJc w:val="left"/>
      <w:lvlText w:val="(%1)"/>
      <w:numFmt w:val="decimal"/>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1)"/>
      <w:numFmt w:val="lowerRoman"/>
      <w:start w:val="6"/>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1)"/>
      <w:numFmt w:val="decimal"/>
      <w:start w:val="1"/>
    </w:lvl>
  </w:abstractNum>
  <w:abstractNum w:abstractNumId="57">
    <w:nsid w:val="78DF6A55"/>
    <w:multiLevelType w:val="hybridMultilevel"/>
    <w:lvl w:ilvl="0">
      <w:lvlJc w:val="left"/>
      <w:lvlText w:val="(%1)"/>
      <w:numFmt w:val="decimal"/>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1)"/>
      <w:numFmt w:val="decimal"/>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1)"/>
      <w:numFmt w:val="lowerRoman"/>
      <w:start w:val="1"/>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1)"/>
      <w:numFmt w:val="lowerRoman"/>
      <w:start w:val="3"/>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1)"/>
      <w:numFmt w:val="decimal"/>
      <w:start w:val="1"/>
    </w:lvl>
  </w:abstractNum>
  <w:abstractNum w:abstractNumId="86">
    <w:nsid w:val="19E21BB2"/>
    <w:multiLevelType w:val="hybridMultilevel"/>
    <w:lvl w:ilvl="0">
      <w:lvlJc w:val="left"/>
      <w:lvlText w:val="(%1)"/>
      <w:numFmt w:val="decimal"/>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1)"/>
      <w:numFmt w:val="decimal"/>
      <w:start w:val="1"/>
    </w:lvl>
  </w:abstractNum>
  <w:abstractNum w:abstractNumId="90">
    <w:nsid w:val="20EE1348"/>
    <w:multiLevelType w:val="hybridMultilevel"/>
    <w:lvl w:ilvl="0">
      <w:lvlJc w:val="left"/>
      <w:lvlText w:val="(%1)"/>
      <w:numFmt w:val="decimal"/>
      <w:start w:val="5"/>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
      <w:numFmt w:val="bullet"/>
      <w:start w:val="1"/>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
      <w:numFmt w:val="bullet"/>
      <w:start w:val="1"/>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1)"/>
      <w:numFmt w:val="lowerRoman"/>
      <w:start w:val="1"/>
    </w:lvl>
  </w:abstractNum>
  <w:abstractNum w:abstractNumId="101">
    <w:nsid w:val="5551B9F3"/>
    <w:multiLevelType w:val="hybridMultilevel"/>
    <w:lvl w:ilvl="0">
      <w:lvlJc w:val="left"/>
      <w:lvlText w:val="(%1)"/>
      <w:numFmt w:val="lowerRoman"/>
      <w:start w:val="9"/>
    </w:lvl>
  </w:abstractNum>
  <w:abstractNum w:abstractNumId="102">
    <w:nsid w:val="24F6AB8E"/>
    <w:multiLevelType w:val="hybridMultilevel"/>
    <w:lvl w:ilvl="0">
      <w:lvlJc w:val="left"/>
      <w:lvlText w:val="(%1)"/>
      <w:numFmt w:val="lowerLetter"/>
      <w:start w:val="1"/>
    </w:lvl>
  </w:abstractNum>
  <w:abstractNum w:abstractNumId="103">
    <w:nsid w:val="634C574C"/>
    <w:multiLevelType w:val="hybridMultilevel"/>
    <w:lvl w:ilvl="0">
      <w:lvlJc w:val="left"/>
      <w:lvlText w:val="(%1)"/>
      <w:numFmt w:val="lowerLetter"/>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1)"/>
      <w:numFmt w:val="decimal"/>
      <w:start w:val="2"/>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
      <w:numFmt w:val="bullet"/>
      <w:start w:val="1"/>
    </w:lvl>
  </w:abstractNum>
  <w:abstractNum w:abstractNumId="108">
    <w:nsid w:val="754342"/>
    <w:multiLevelType w:val="hybridMultilevel"/>
    <w:lvl w:ilvl="0">
      <w:lvlJc w:val="left"/>
      <w:lvlText w:val="#"/>
      <w:numFmt w:val="bullet"/>
      <w:start w:val="1"/>
    </w:lvl>
  </w:abstractNum>
  <w:abstractNum w:abstractNumId="109">
    <w:nsid w:val="69E7F3E5"/>
    <w:multiLevelType w:val="hybridMultilevel"/>
    <w:lvl w:ilvl="0">
      <w:lvlJc w:val="left"/>
      <w:lvlText w:val="*"/>
      <w:numFmt w:val="bullet"/>
      <w:start w:val="1"/>
    </w:lvl>
  </w:abstractNum>
  <w:abstractNum w:abstractNumId="110">
    <w:nsid w:val="2A6DE806"/>
    <w:multiLevelType w:val="hybridMultilevel"/>
    <w:lvl w:ilvl="0">
      <w:lvlJc w:val="left"/>
      <w:lvlText w:val="(%1)"/>
      <w:numFmt w:val="decimal"/>
      <w:start w:val="1"/>
    </w:lvl>
  </w:abstractNum>
  <w:abstractNum w:abstractNumId="111">
    <w:nsid w:val="1816F8C4"/>
    <w:multiLevelType w:val="hybridMultilevel"/>
    <w:lvl w:ilvl="0">
      <w:lvlJc w:val="left"/>
      <w:lvlText w:val="(%1)"/>
      <w:numFmt w:val="lowerLetter"/>
      <w:start w:val="1"/>
    </w:lvl>
  </w:abstractNum>
  <w:abstractNum w:abstractNumId="112">
    <w:nsid w:val="37DF2233"/>
    <w:multiLevelType w:val="hybridMultilevel"/>
    <w:lvl w:ilvl="0">
      <w:lvlJc w:val="left"/>
      <w:lvlText w:val="(%1)"/>
      <w:numFmt w:val="lowerLetter"/>
      <w:start w:val="2"/>
    </w:lvl>
  </w:abstractNum>
  <w:abstractNum w:abstractNumId="113">
    <w:nsid w:val="7AB49DAF"/>
    <w:multiLevelType w:val="hybridMultilevel"/>
    <w:lvl w:ilvl="0">
      <w:lvlJc w:val="left"/>
      <w:lvlText w:val="%1"/>
      <w:numFmt w:val="lowerLetter"/>
      <w:start w:val="1"/>
    </w:lvl>
    <w:lvl w:ilvl="1">
      <w:lvlJc w:val="left"/>
      <w:lvlText w:val="(%2)"/>
      <w:numFmt w:val="lowerLetter"/>
      <w:start w:val="4"/>
    </w:lvl>
  </w:abstractNum>
  <w:abstractNum w:abstractNumId="114">
    <w:nsid w:val="759F82CD"/>
    <w:multiLevelType w:val="hybridMultilevel"/>
    <w:lvl w:ilvl="0">
      <w:lvlJc w:val="left"/>
      <w:lvlText w:val="(%1)"/>
      <w:numFmt w:val="lowerLetter"/>
      <w:start w:val="9"/>
    </w:lvl>
    <w:lvl w:ilvl="1">
      <w:lvlJc w:val="left"/>
      <w:lvlText w:val="%2"/>
      <w:numFmt w:val="lowerLetter"/>
      <w:start w:val="1"/>
    </w:lvl>
  </w:abstractNum>
  <w:abstractNum w:abstractNumId="115">
    <w:nsid w:val="61E74EA3"/>
    <w:multiLevelType w:val="hybridMultilevel"/>
    <w:lvl w:ilvl="0">
      <w:lvlJc w:val="left"/>
      <w:lvlText w:val="(%1)"/>
      <w:numFmt w:val="lowerLetter"/>
      <w:start w:val="7"/>
    </w:lvl>
  </w:abstractNum>
  <w:abstractNum w:abstractNumId="116">
    <w:nsid w:val="597B4D84"/>
    <w:multiLevelType w:val="hybridMultilevel"/>
    <w:lvl w:ilvl="0">
      <w:lvlJc w:val="left"/>
      <w:lvlText w:val="(%1)"/>
      <w:numFmt w:val="lowerLetter"/>
      <w:start w:val="12"/>
    </w:lvl>
  </w:abstractNum>
  <w:abstractNum w:abstractNumId="117">
    <w:nsid w:val="F819E7F"/>
    <w:multiLevelType w:val="hybridMultilevel"/>
    <w:lvl w:ilvl="0">
      <w:lvlJc w:val="left"/>
      <w:lvlText w:val="(%1)"/>
      <w:numFmt w:val="lowerLetter"/>
      <w:start w:val="18"/>
    </w:lvl>
  </w:abstractNum>
  <w:abstractNum w:abstractNumId="118">
    <w:nsid w:val="57C7D42D"/>
    <w:multiLevelType w:val="hybridMultilevel"/>
    <w:lvl w:ilvl="0">
      <w:lvlJc w:val="left"/>
      <w:lvlText w:val="(%1)"/>
      <w:numFmt w:val="lowerLetter"/>
      <w:start w:val="23"/>
    </w:lvl>
  </w:abstractNum>
  <w:abstractNum w:abstractNumId="119">
    <w:nsid w:val="312167AD"/>
    <w:multiLevelType w:val="hybridMultilevel"/>
    <w:lvl w:ilvl="0">
      <w:lvlJc w:val="left"/>
      <w:lvlText w:val="(%1)"/>
      <w:numFmt w:val="lowerLetter"/>
      <w:start w:val="26"/>
    </w:lvl>
  </w:abstractNum>
  <w:abstractNum w:abstractNumId="120">
    <w:nsid w:val="631B64D4"/>
    <w:multiLevelType w:val="hybridMultilevel"/>
    <w:lvl w:ilvl="0">
      <w:lvlJc w:val="left"/>
      <w:lvlText w:val="(%1)"/>
      <w:numFmt w:val="lowerLetter"/>
      <w:start w:val="27"/>
    </w:lvl>
  </w:abstractNum>
  <w:abstractNum w:abstractNumId="121">
    <w:nsid w:val="78B5E776"/>
    <w:multiLevelType w:val="hybridMultilevel"/>
    <w:lvl w:ilvl="0">
      <w:lvlJc w:val="left"/>
      <w:lvlText w:val="(%1)"/>
      <w:numFmt w:val="lowerLetter"/>
      <w:start w:val="31"/>
    </w:lvl>
  </w:abstractNum>
  <w:abstractNum w:abstractNumId="122">
    <w:nsid w:val="75486E47"/>
    <w:multiLevelType w:val="hybridMultilevel"/>
    <w:lvl w:ilvl="0">
      <w:lvlJc w:val="left"/>
      <w:lvlText w:val="(%1)"/>
      <w:numFmt w:val="lowerLetter"/>
      <w:start w:val="33"/>
    </w:lvl>
  </w:abstractNum>
  <w:abstractNum w:abstractNumId="123">
    <w:nsid w:val="6E534CDE"/>
    <w:multiLevelType w:val="hybridMultilevel"/>
    <w:lvl w:ilvl="0">
      <w:lvlJc w:val="left"/>
      <w:lvlText w:val="(%1)"/>
      <w:numFmt w:val="lowerRoman"/>
      <w:start w:val="2"/>
    </w:lvl>
  </w:abstractNum>
  <w:abstractNum w:abstractNumId="124">
    <w:nsid w:val="1A0DDE32"/>
    <w:multiLevelType w:val="hybridMultilevel"/>
    <w:lvl w:ilvl="0">
      <w:lvlJc w:val="left"/>
      <w:lvlText w:val="(%1)"/>
      <w:numFmt w:val="lowerLetter"/>
      <w:start w:val="36"/>
    </w:lvl>
  </w:abstractNum>
  <w:abstractNum w:abstractNumId="125">
    <w:nsid w:val="65968C1C"/>
    <w:multiLevelType w:val="hybridMultilevel"/>
    <w:lvl w:ilvl="0">
      <w:lvlJc w:val="left"/>
      <w:lvlText w:val="(%1)"/>
      <w:numFmt w:val="lowerLetter"/>
      <w:start w:val="41"/>
    </w:lvl>
  </w:abstractNum>
  <w:abstractNum w:abstractNumId="126">
    <w:nsid w:val="46263DEC"/>
    <w:multiLevelType w:val="hybridMultilevel"/>
    <w:lvl w:ilvl="0">
      <w:lvlJc w:val="left"/>
      <w:lvlText w:val="%1."/>
      <w:numFmt w:val="decimal"/>
      <w:start w:val="2"/>
    </w:lvl>
  </w:abstractNum>
  <w:abstractNum w:abstractNumId="127">
    <w:nsid w:val="260D8C4A"/>
    <w:multiLevelType w:val="hybridMultilevel"/>
    <w:lvl w:ilvl="0">
      <w:lvlJc w:val="left"/>
      <w:lvlText w:val="%1."/>
      <w:numFmt w:val="decimal"/>
      <w:start w:val="3"/>
    </w:lvl>
  </w:abstractNum>
  <w:abstractNum w:abstractNumId="128">
    <w:nsid w:val="73D4D3C4"/>
    <w:multiLevelType w:val="hybridMultilevel"/>
    <w:lvl w:ilvl="0">
      <w:lvlJc w:val="left"/>
      <w:lvlText w:val="(%1)"/>
      <w:numFmt w:val="lowerLetter"/>
      <w:start w:val="2"/>
    </w:lvl>
  </w:abstractNum>
  <w:abstractNum w:abstractNumId="129">
    <w:nsid w:val="746F2E30"/>
    <w:multiLevelType w:val="hybridMultilevel"/>
    <w:lvl w:ilvl="0">
      <w:lvlJc w:val="left"/>
      <w:lvlText w:val="(%1)"/>
      <w:numFmt w:val="lowerLetter"/>
      <w:start w:val="1"/>
    </w:lvl>
  </w:abstractNum>
  <w:abstractNum w:abstractNumId="130">
    <w:nsid w:val="6FDE8AF6"/>
    <w:multiLevelType w:val="hybridMultilevel"/>
    <w:lvl w:ilvl="0">
      <w:lvlJc w:val="left"/>
      <w:lvlText w:val="(%1)"/>
      <w:numFmt w:val="lowerLetter"/>
      <w:start w:val="2"/>
    </w:lvl>
  </w:abstractNum>
  <w:abstractNum w:abstractNumId="131">
    <w:nsid w:val="3FC32E20"/>
    <w:multiLevelType w:val="hybridMultilevel"/>
    <w:lvl w:ilvl="0">
      <w:lvlJc w:val="left"/>
      <w:lvlText w:val="(%1)"/>
      <w:numFmt w:val="lowerLetter"/>
      <w:start w:val="4"/>
    </w:lvl>
  </w:abstractNum>
  <w:abstractNum w:abstractNumId="132">
    <w:nsid w:val="49C0E823"/>
    <w:multiLevelType w:val="hybridMultilevel"/>
    <w:lvl w:ilvl="0">
      <w:lvlJc w:val="left"/>
      <w:lvlText w:val="(%1)"/>
      <w:numFmt w:val="lowerLetter"/>
      <w:start w:val="3"/>
    </w:lvl>
  </w:abstractNum>
  <w:abstractNum w:abstractNumId="133">
    <w:nsid w:val="14D5368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34">
    <w:nsid w:val="230F856C"/>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135">
    <w:nsid w:val="6EAA85FB"/>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1"/>
    </w:lvl>
  </w:abstractNum>
  <w:abstractNum w:abstractNumId="136">
    <w:nsid w:val="3F06ECB2"/>
    <w:multiLevelType w:val="hybridMultilevel"/>
    <w:lvl w:ilvl="0">
      <w:lvlJc w:val="left"/>
      <w:lvlText w:val="%1"/>
      <w:numFmt w:val="lowerLetter"/>
      <w:start w:val="1"/>
    </w:lvl>
    <w:lvl w:ilvl="1">
      <w:lvlJc w:val="left"/>
      <w:lvlText w:val="(%2)"/>
      <w:numFmt w:val="lowerLetter"/>
      <w:start w:val="12"/>
    </w:lvl>
  </w:abstractNum>
  <w:abstractNum w:abstractNumId="137">
    <w:nsid w:val="3B594807"/>
    <w:multiLevelType w:val="hybridMultilevel"/>
    <w:lvl w:ilvl="0">
      <w:lvlJc w:val="left"/>
      <w:lvlText w:val="(%1)"/>
      <w:numFmt w:val="lowerLetter"/>
      <w:start w:val="9"/>
    </w:lvl>
    <w:lvl w:ilvl="1">
      <w:lvlJc w:val="left"/>
      <w:lvlText w:val="(%2)"/>
      <w:numFmt w:val="lowerLetter"/>
      <w:start w:val="15"/>
    </w:lvl>
  </w:abstractNum>
  <w:abstractNum w:abstractNumId="138">
    <w:nsid w:val="6CAA2304"/>
    <w:multiLevelType w:val="hybridMultilevel"/>
    <w:lvl w:ilvl="0">
      <w:lvlJc w:val="left"/>
      <w:lvlText w:val="%1."/>
      <w:numFmt w:val="decimal"/>
      <w:start w:val="6"/>
    </w:lvl>
  </w:abstractNum>
  <w:abstractNum w:abstractNumId="139">
    <w:nsid w:val="3F7C2FF4"/>
    <w:multiLevelType w:val="hybridMultilevel"/>
    <w:lvl w:ilvl="0">
      <w:lvlJc w:val="left"/>
      <w:lvlText w:val="(%1)"/>
      <w:numFmt w:val="lowerLetter"/>
      <w:start w:val="2"/>
    </w:lvl>
  </w:abstractNum>
  <w:abstractNum w:abstractNumId="140">
    <w:nsid w:val="25413BEC"/>
    <w:multiLevelType w:val="hybridMultilevel"/>
    <w:lvl w:ilvl="0">
      <w:lvlJc w:val="left"/>
      <w:lvlText w:val="(%1)"/>
      <w:numFmt w:val="lowerLetter"/>
      <w:start w:val="4"/>
    </w:lvl>
  </w:abstractNum>
  <w:abstractNum w:abstractNumId="141">
    <w:nsid w:val="17180B0B"/>
    <w:multiLevelType w:val="hybridMultilevel"/>
    <w:lvl w:ilvl="0">
      <w:lvlJc w:val="left"/>
      <w:lvlText w:val="%1"/>
      <w:numFmt w:val="lowerRoman"/>
      <w:start w:val="1"/>
    </w:lvl>
    <w:lvl w:ilvl="1">
      <w:lvlJc w:val="left"/>
      <w:lvlText w:val="%2."/>
      <w:numFmt w:val="decimal"/>
      <w:start w:val="7"/>
    </w:lvl>
  </w:abstractNum>
  <w:abstractNum w:abstractNumId="142">
    <w:nsid w:val="579328B9"/>
    <w:multiLevelType w:val="hybridMultilevel"/>
    <w:lvl w:ilvl="0">
      <w:lvlJc w:val="left"/>
      <w:lvlText w:val="(%1)"/>
      <w:numFmt w:val="lowerRoman"/>
      <w:start w:val="9"/>
    </w:lvl>
    <w:lvl w:ilvl="1">
      <w:lvlJc w:val="left"/>
      <w:lvlText w:val="%2"/>
      <w:numFmt w:val="decimal"/>
      <w:start w:val="1"/>
    </w:lvl>
  </w:abstractNum>
  <w:abstractNum w:abstractNumId="143">
    <w:nsid w:val="5D205E20"/>
    <w:multiLevelType w:val="hybridMultilevel"/>
    <w:lvl w:ilvl="0">
      <w:lvlJc w:val="left"/>
      <w:lvlText w:val="%1."/>
      <w:numFmt w:val="decimal"/>
      <w:start w:val="8"/>
    </w:lvl>
  </w:abstractNum>
  <w:abstractNum w:abstractNumId="144">
    <w:nsid w:val="11CCA8BA"/>
    <w:multiLevelType w:val="hybridMultilevel"/>
    <w:lvl w:ilvl="0">
      <w:lvlJc w:val="left"/>
      <w:lvlText w:val="(%1)"/>
      <w:numFmt w:val="lowerLetter"/>
      <w:start w:val="1"/>
    </w:lvl>
  </w:abstractNum>
  <w:abstractNum w:abstractNumId="145">
    <w:nsid w:val="4D32AB86"/>
    <w:multiLevelType w:val="hybridMultilevel"/>
    <w:lvl w:ilvl="0">
      <w:lvlJc w:val="left"/>
      <w:lvlText w:val="(%1)"/>
      <w:numFmt w:val="lowerLetter"/>
      <w:start w:val="6"/>
    </w:lvl>
  </w:abstractNum>
  <w:abstractNum w:abstractNumId="146">
    <w:nsid w:val="3F07ACC3"/>
    <w:multiLevelType w:val="hybridMultilevel"/>
    <w:lvl w:ilvl="0">
      <w:lvlJc w:val="left"/>
      <w:lvlText w:val="%1"/>
      <w:numFmt w:val="lowerLetter"/>
      <w:start w:val="1"/>
    </w:lvl>
    <w:lvl w:ilvl="1">
      <w:lvlJc w:val="left"/>
      <w:lvlText w:val="(%2)"/>
      <w:numFmt w:val="lowerLetter"/>
      <w:start w:val="7"/>
    </w:lvl>
  </w:abstractNum>
  <w:abstractNum w:abstractNumId="147">
    <w:nsid w:val="6B47F63E"/>
    <w:multiLevelType w:val="hybridMultilevel"/>
    <w:lvl w:ilvl="0">
      <w:lvlJc w:val="left"/>
      <w:lvlText w:val="(%1)"/>
      <w:numFmt w:val="lowerLetter"/>
      <w:start w:val="35"/>
    </w:lvl>
    <w:lvl w:ilvl="1">
      <w:lvlJc w:val="left"/>
      <w:lvlText w:val="(%2)"/>
      <w:numFmt w:val="lowerLetter"/>
      <w:start w:val="8"/>
    </w:lvl>
  </w:abstractNum>
  <w:abstractNum w:abstractNumId="148">
    <w:nsid w:val="5CB44A05"/>
    <w:multiLevelType w:val="hybridMultilevel"/>
    <w:lvl w:ilvl="0">
      <w:lvlJc w:val="left"/>
      <w:lvlText w:val="(%1)"/>
      <w:numFmt w:val="lowerLetter"/>
      <w:start w:val="9"/>
    </w:lvl>
  </w:abstractNum>
  <w:abstractNum w:abstractNumId="149">
    <w:nsid w:val="16CF80F1"/>
    <w:multiLevelType w:val="hybridMultilevel"/>
    <w:lvl w:ilvl="0">
      <w:lvlJc w:val="left"/>
      <w:lvlText w:val="%1."/>
      <w:numFmt w:val="decimal"/>
      <w:start w:val="9"/>
    </w:lvl>
  </w:abstractNum>
  <w:abstractNum w:abstractNumId="150">
    <w:nsid w:val="1C695DEC"/>
    <w:multiLevelType w:val="hybridMultilevel"/>
    <w:lvl w:ilvl="0">
      <w:lvlJc w:val="left"/>
      <w:lvlText w:val="(%1)"/>
      <w:numFmt w:val="lowerLetter"/>
      <w:start w:val="2"/>
    </w:lvl>
  </w:abstractNum>
  <w:abstractNum w:abstractNumId="151">
    <w:nsid w:val="3FCFAED9"/>
    <w:multiLevelType w:val="hybridMultilevel"/>
    <w:lvl w:ilvl="0">
      <w:lvlJc w:val="left"/>
      <w:lvlText w:val="%1"/>
      <w:numFmt w:val="lowerLetter"/>
      <w:start w:val="1"/>
    </w:lvl>
    <w:lvl w:ilvl="1">
      <w:lvlJc w:val="left"/>
      <w:lvlText w:val="(%2)"/>
      <w:numFmt w:val="lowerLetter"/>
      <w:start w:val="3"/>
    </w:lvl>
  </w:abstractNum>
  <w:abstractNum w:abstractNumId="152">
    <w:nsid w:val="F856867"/>
    <w:multiLevelType w:val="hybridMultilevel"/>
    <w:lvl w:ilvl="0">
      <w:lvlJc w:val="left"/>
      <w:lvlText w:val="(%1)"/>
      <w:numFmt w:val="lowerLetter"/>
      <w:start w:val="35"/>
    </w:lvl>
    <w:lvl w:ilvl="1">
      <w:lvlJc w:val="left"/>
      <w:lvlText w:val="%2"/>
      <w:numFmt w:val="lowerLetter"/>
      <w:start w:val="1"/>
    </w:lvl>
  </w:abstractNum>
  <w:abstractNum w:abstractNumId="153">
    <w:nsid w:val="11B1CC33"/>
    <w:multiLevelType w:val="hybridMultilevel"/>
    <w:lvl w:ilvl="0">
      <w:lvlJc w:val="left"/>
      <w:lvlText w:val="%1"/>
      <w:numFmt w:val="lowerLetter"/>
      <w:start w:val="1"/>
    </w:lvl>
    <w:lvl w:ilvl="1">
      <w:lvlJc w:val="left"/>
      <w:lvlText w:val="(%2)"/>
      <w:numFmt w:val="lowerLetter"/>
      <w:start w:val="4"/>
    </w:lvl>
  </w:abstractNum>
  <w:abstractNum w:abstractNumId="154">
    <w:nsid w:val="2E22FBB7"/>
    <w:multiLevelType w:val="hybridMultilevel"/>
    <w:lvl w:ilvl="0">
      <w:lvlJc w:val="left"/>
      <w:lvlText w:val="(%1)"/>
      <w:numFmt w:val="lowerLetter"/>
      <w:start w:val="1"/>
    </w:lvl>
    <w:lvl w:ilvl="1">
      <w:lvlJc w:val="left"/>
      <w:lvlText w:val="(%2)"/>
      <w:numFmt w:val="lowerLetter"/>
      <w:start w:val="5"/>
    </w:lvl>
  </w:abstractNum>
  <w:abstractNum w:abstractNumId="155">
    <w:nsid w:val="29934699"/>
    <w:multiLevelType w:val="hybridMultilevel"/>
    <w:lvl w:ilvl="0">
      <w:lvlJc w:val="left"/>
      <w:lvlText w:val="%1."/>
      <w:numFmt w:val="decimal"/>
      <w:start w:val="10"/>
    </w:lvl>
  </w:abstractNum>
  <w:abstractNum w:abstractNumId="156">
    <w:nsid w:val="77485850"/>
    <w:multiLevelType w:val="hybridMultilevel"/>
    <w:lvl w:ilvl="0">
      <w:lvlJc w:val="left"/>
      <w:lvlText w:val="%1"/>
      <w:numFmt w:val="lowerLetter"/>
      <w:start w:val="1"/>
    </w:lvl>
    <w:lvl w:ilvl="1">
      <w:lvlJc w:val="left"/>
      <w:lvlText w:val="(%2)"/>
      <w:numFmt w:val="lowerLetter"/>
      <w:start w:val="2"/>
    </w:lvl>
  </w:abstractNum>
  <w:abstractNum w:abstractNumId="157">
    <w:nsid w:val="744939A3"/>
    <w:multiLevelType w:val="hybridMultilevel"/>
    <w:lvl w:ilvl="0">
      <w:lvlJc w:val="left"/>
      <w:lvlText w:val="(%1)"/>
      <w:numFmt w:val="lowerLetter"/>
      <w:start w:val="9"/>
    </w:lvl>
    <w:lvl w:ilvl="1">
      <w:lvlJc w:val="left"/>
      <w:lvlText w:val="(%2)"/>
      <w:numFmt w:val="lowerLetter"/>
      <w:start w:val="3"/>
    </w:lvl>
  </w:abstractNum>
  <w:abstractNum w:abstractNumId="158">
    <w:nsid w:val="4FA0D2E3"/>
    <w:multiLevelType w:val="hybridMultilevel"/>
    <w:lvl w:ilvl="0">
      <w:lvlJc w:val="left"/>
      <w:lvlText w:val="(%1)"/>
      <w:numFmt w:val="lowerLetter"/>
      <w:start w:val="4"/>
    </w:lvl>
  </w:abstractNum>
  <w:abstractNum w:abstractNumId="159">
    <w:nsid w:val="6B1D2C14"/>
    <w:multiLevelType w:val="hybridMultilevel"/>
    <w:lvl w:ilvl="0">
      <w:lvlJc w:val="left"/>
      <w:lvlText w:val="%1."/>
      <w:numFmt w:val="decimal"/>
      <w:start w:val="11"/>
    </w:lvl>
  </w:abstractNum>
  <w:abstractNum w:abstractNumId="160">
    <w:nsid w:val="68B867D3"/>
    <w:multiLevelType w:val="hybridMultilevel"/>
    <w:lvl w:ilvl="0">
      <w:lvlJc w:val="left"/>
      <w:lvlText w:val="%1"/>
      <w:numFmt w:val="lowerLetter"/>
      <w:start w:val="1"/>
    </w:lvl>
    <w:lvl w:ilvl="1">
      <w:lvlJc w:val="left"/>
      <w:lvlText w:val="(%2)"/>
      <w:numFmt w:val="lowerLetter"/>
      <w:start w:val="2"/>
    </w:lvl>
  </w:abstractNum>
  <w:abstractNum w:abstractNumId="161">
    <w:nsid w:val="3F7F5DD9"/>
    <w:multiLevelType w:val="hybridMultilevel"/>
    <w:lvl w:ilvl="0">
      <w:lvlJc w:val="left"/>
      <w:lvlText w:val="(%1)"/>
      <w:numFmt w:val="lowerLetter"/>
      <w:start w:val="2"/>
    </w:lvl>
    <w:lvl w:ilvl="1">
      <w:lvlJc w:val="left"/>
      <w:lvlText w:val="%2"/>
      <w:numFmt w:val="lowerLetter"/>
      <w:start w:val="1"/>
    </w:lvl>
  </w:abstractNum>
  <w:abstractNum w:abstractNumId="162">
    <w:nsid w:val="2AE05A34"/>
    <w:multiLevelType w:val="hybridMultilevel"/>
    <w:lvl w:ilvl="0">
      <w:lvlJc w:val="left"/>
      <w:lvlText w:val="%1."/>
      <w:numFmt w:val="decimal"/>
      <w:start w:val="12"/>
    </w:lvl>
  </w:abstractNum>
  <w:abstractNum w:abstractNumId="163">
    <w:nsid w:val="32794FF7"/>
    <w:multiLevelType w:val="hybridMultilevel"/>
    <w:lvl w:ilvl="0">
      <w:lvlJc w:val="left"/>
      <w:lvlText w:val="%1"/>
      <w:numFmt w:val="lowerRoman"/>
      <w:start w:val="1"/>
    </w:lvl>
    <w:lvl w:ilvl="1">
      <w:lvlJc w:val="left"/>
      <w:lvlText w:val="%2."/>
      <w:numFmt w:val="decimal"/>
      <w:start w:val="15"/>
    </w:lvl>
  </w:abstractNum>
  <w:abstractNum w:abstractNumId="164">
    <w:nsid w:val="5454945E"/>
    <w:multiLevelType w:val="hybridMultilevel"/>
    <w:lvl w:ilvl="0">
      <w:lvlJc w:val="left"/>
      <w:lvlText w:val="(%1)"/>
      <w:numFmt w:val="lowerRoman"/>
      <w:start w:val="5"/>
    </w:lvl>
    <w:lvl w:ilvl="1">
      <w:lvlJc w:val="left"/>
      <w:lvlText w:val="%2."/>
      <w:numFmt w:val="decimal"/>
      <w:start w:val="18"/>
    </w:lvl>
  </w:abstractNum>
  <w:abstractNum w:abstractNumId="165">
    <w:nsid w:val="4DEFDFA0"/>
    <w:multiLevelType w:val="hybridMultilevel"/>
    <w:lvl w:ilvl="0">
      <w:lvlJc w:val="left"/>
      <w:lvlText w:val="%1."/>
      <w:numFmt w:val="decimal"/>
      <w:start w:val="21"/>
    </w:lvl>
  </w:abstractNum>
  <w:abstractNum w:abstractNumId="166">
    <w:nsid w:val="2123D5F2"/>
    <w:multiLevelType w:val="hybridMultilevel"/>
    <w:lvl w:ilvl="0">
      <w:lvlJc w:val="left"/>
      <w:lvlText w:val="(%1)"/>
      <w:numFmt w:val="lowerLetter"/>
      <w:start w:val="1"/>
    </w:lvl>
  </w:abstractNum>
  <w:abstractNum w:abstractNumId="167">
    <w:nsid w:val="135B8110"/>
    <w:multiLevelType w:val="hybridMultilevel"/>
    <w:lvl w:ilvl="0">
      <w:lvlJc w:val="left"/>
      <w:lvlText w:val="(%1)"/>
      <w:numFmt w:val="lowerRoman"/>
      <w:start w:val="1"/>
    </w:lvl>
  </w:abstractNum>
  <w:abstractNum w:abstractNumId="168">
    <w:nsid w:val="94927A8"/>
    <w:multiLevelType w:val="hybridMultilevel"/>
    <w:lvl w:ilvl="0">
      <w:lvlJc w:val="left"/>
      <w:lvlText w:val="(%1)"/>
      <w:numFmt w:val="lowerLetter"/>
      <w:start w:val="1"/>
    </w:lvl>
  </w:abstractNum>
  <w:abstractNum w:abstractNumId="169">
    <w:nsid w:val="DCDF8F6"/>
    <w:multiLevelType w:val="hybridMultilevel"/>
    <w:lvl w:ilvl="0">
      <w:lvlJc w:val="left"/>
      <w:lvlText w:val="(%1)"/>
      <w:numFmt w:val="lowerLetter"/>
      <w:start w:val="3"/>
    </w:lvl>
  </w:abstractNum>
  <w:abstractNum w:abstractNumId="170">
    <w:nsid w:val="52D7B105"/>
    <w:multiLevelType w:val="hybridMultilevel"/>
    <w:lvl w:ilvl="0">
      <w:lvlJc w:val="left"/>
      <w:lvlText w:val="%1."/>
      <w:numFmt w:val="lowerRoman"/>
      <w:start w:val="1"/>
    </w:lvl>
  </w:abstractNum>
  <w:abstractNum w:abstractNumId="171">
    <w:nsid w:val="2E8A6394"/>
    <w:multiLevelType w:val="hybridMultilevel"/>
    <w:lvl w:ilvl="0">
      <w:lvlJc w:val="left"/>
      <w:lvlText w:val="%1."/>
      <w:numFmt w:val="lowerRoman"/>
      <w:start w:val="4"/>
    </w:lvl>
  </w:abstractNum>
  <w:abstractNum w:abstractNumId="172">
    <w:nsid w:val="24E60401"/>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44" Type="http://schemas.openxmlformats.org/officeDocument/2006/relationships/image" Target="media/image329.png"/><Relationship Id="rId355" Type="http://schemas.openxmlformats.org/officeDocument/2006/relationships/image" Target="media/image330.png"/><Relationship Id="rId356" Type="http://schemas.openxmlformats.org/officeDocument/2006/relationships/image" Target="media/image331.png"/><Relationship Id="rId357" Type="http://schemas.openxmlformats.org/officeDocument/2006/relationships/image" Target="media/image332.png"/><Relationship Id="rId358" Type="http://schemas.openxmlformats.org/officeDocument/2006/relationships/image" Target="media/image333.png"/><Relationship Id="rId359" Type="http://schemas.openxmlformats.org/officeDocument/2006/relationships/image" Target="media/image334.png"/><Relationship Id="rId360" Type="http://schemas.openxmlformats.org/officeDocument/2006/relationships/image" Target="media/image335.png"/><Relationship Id="rId361"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4" Type="http://schemas.openxmlformats.org/officeDocument/2006/relationships/image" Target="media/image339.png"/><Relationship Id="rId365" Type="http://schemas.openxmlformats.org/officeDocument/2006/relationships/image" Target="media/image340.png"/><Relationship Id="rId366" Type="http://schemas.openxmlformats.org/officeDocument/2006/relationships/image" Target="media/image341.png"/><Relationship Id="rId367" Type="http://schemas.openxmlformats.org/officeDocument/2006/relationships/image" Target="media/image342.png"/><Relationship Id="rId368" Type="http://schemas.openxmlformats.org/officeDocument/2006/relationships/image" Target="media/image343.png"/><Relationship Id="rId369"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2" Type="http://schemas.openxmlformats.org/officeDocument/2006/relationships/image" Target="media/image347.png"/><Relationship Id="rId373" Type="http://schemas.openxmlformats.org/officeDocument/2006/relationships/image" Target="media/image348.png"/><Relationship Id="rId374" Type="http://schemas.openxmlformats.org/officeDocument/2006/relationships/image" Target="media/image349.png"/><Relationship Id="rId375" Type="http://schemas.openxmlformats.org/officeDocument/2006/relationships/image" Target="media/image350.png"/><Relationship Id="rId376" Type="http://schemas.openxmlformats.org/officeDocument/2006/relationships/image" Target="media/image351.png"/><Relationship Id="rId377" Type="http://schemas.openxmlformats.org/officeDocument/2006/relationships/image" Target="media/image352.png"/><Relationship Id="rId378" Type="http://schemas.openxmlformats.org/officeDocument/2006/relationships/image" Target="media/image353.png"/><Relationship Id="rId379" Type="http://schemas.openxmlformats.org/officeDocument/2006/relationships/image" Target="media/image354.png"/><Relationship Id="rId380" Type="http://schemas.openxmlformats.org/officeDocument/2006/relationships/image" Target="media/image355.png"/><Relationship Id="rId381" Type="http://schemas.openxmlformats.org/officeDocument/2006/relationships/image" Target="media/image356.png"/><Relationship Id="rId382" Type="http://schemas.openxmlformats.org/officeDocument/2006/relationships/image" Target="media/image357.png"/><Relationship Id="rId383" Type="http://schemas.openxmlformats.org/officeDocument/2006/relationships/image" Target="media/image358.pn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png"/><Relationship Id="rId388" Type="http://schemas.openxmlformats.org/officeDocument/2006/relationships/image" Target="media/image363.png"/><Relationship Id="rId389" Type="http://schemas.openxmlformats.org/officeDocument/2006/relationships/image" Target="media/image364.png"/><Relationship Id="rId390" Type="http://schemas.openxmlformats.org/officeDocument/2006/relationships/image" Target="media/image365.png"/><Relationship Id="rId391" Type="http://schemas.openxmlformats.org/officeDocument/2006/relationships/image" Target="media/image366.png"/><Relationship Id="rId392" Type="http://schemas.openxmlformats.org/officeDocument/2006/relationships/image" Target="media/image367.png"/><Relationship Id="rId393" Type="http://schemas.openxmlformats.org/officeDocument/2006/relationships/image" Target="media/image368.png"/><Relationship Id="rId394" Type="http://schemas.openxmlformats.org/officeDocument/2006/relationships/image" Target="media/image369.png"/><Relationship Id="rId395" Type="http://schemas.openxmlformats.org/officeDocument/2006/relationships/image" Target="media/image370.png"/><Relationship Id="rId396" Type="http://schemas.openxmlformats.org/officeDocument/2006/relationships/image" Target="media/image371.png"/><Relationship Id="rId397" Type="http://schemas.openxmlformats.org/officeDocument/2006/relationships/image" Target="media/image372.png"/><Relationship Id="rId398" Type="http://schemas.openxmlformats.org/officeDocument/2006/relationships/image" Target="media/image373.png"/><Relationship Id="rId399" Type="http://schemas.openxmlformats.org/officeDocument/2006/relationships/image" Target="media/image374.png"/><Relationship Id="rId400" Type="http://schemas.openxmlformats.org/officeDocument/2006/relationships/image" Target="media/image375.png"/><Relationship Id="rId401" Type="http://schemas.openxmlformats.org/officeDocument/2006/relationships/image" Target="media/image376.png"/><Relationship Id="rId402" Type="http://schemas.openxmlformats.org/officeDocument/2006/relationships/image" Target="media/image377.png"/><Relationship Id="rId403" Type="http://schemas.openxmlformats.org/officeDocument/2006/relationships/image" Target="media/image378.png"/><Relationship Id="rId404" Type="http://schemas.openxmlformats.org/officeDocument/2006/relationships/image" Target="media/image379.png"/><Relationship Id="rId405" Type="http://schemas.openxmlformats.org/officeDocument/2006/relationships/image" Target="media/image380.png"/><Relationship Id="rId406" Type="http://schemas.openxmlformats.org/officeDocument/2006/relationships/image" Target="media/image381.png"/><Relationship Id="rId407" Type="http://schemas.openxmlformats.org/officeDocument/2006/relationships/image" Target="media/image382.png"/><Relationship Id="rId408" Type="http://schemas.openxmlformats.org/officeDocument/2006/relationships/image" Target="media/image383.png"/><Relationship Id="rId336" Type="http://schemas.openxmlformats.org/officeDocument/2006/relationships/hyperlink" Target="http://www.sec.gov/Archives/edgar/data/1806310/000119312520247565/d938924dex31.htm" TargetMode="External"/><Relationship Id="rId337" Type="http://schemas.openxmlformats.org/officeDocument/2006/relationships/hyperlink" Target="http://www.sec.gov/Archives/edgar/data/1806310/000119312520238197/d938924dex32.htm" TargetMode="External"/><Relationship Id="rId338" Type="http://schemas.openxmlformats.org/officeDocument/2006/relationships/hyperlink" Target="http://www.sec.gov/Archives/edgar/data/1806310/000119312520247565/d938924dex33.htm" TargetMode="External"/><Relationship Id="rId339" Type="http://schemas.openxmlformats.org/officeDocument/2006/relationships/hyperlink" Target="http://www.sec.gov/Archives/edgar/data/1806310/000119312520247565/d938924dex34.htm" TargetMode="External"/><Relationship Id="rId340" Type="http://schemas.openxmlformats.org/officeDocument/2006/relationships/hyperlink" Target="http://www.sec.gov/Archives/edgar/data/1806310/000119312520238197/d938924dex41.htm" TargetMode="External"/><Relationship Id="rId341" Type="http://schemas.openxmlformats.org/officeDocument/2006/relationships/hyperlink" Target="http://www.sec.gov/Archives/edgar/data/1806310/000119312520247565/d938924dex51.htm" TargetMode="External"/><Relationship Id="rId342" Type="http://schemas.openxmlformats.org/officeDocument/2006/relationships/hyperlink" Target="http://www.sec.gov/Archives/edgar/data/1806310/000119312520238197/d938924dex101.htm" TargetMode="External"/><Relationship Id="rId343" Type="http://schemas.openxmlformats.org/officeDocument/2006/relationships/hyperlink" Target="http://www.sec.gov/Archives/edgar/data/1806310/000119312520238197/d938924dex102.htm" TargetMode="External"/><Relationship Id="rId345" Type="http://schemas.openxmlformats.org/officeDocument/2006/relationships/hyperlink" Target="http://www.sec.gov/Archives/edgar/data/1806310/000119312520238197/d938924dex103.htm" TargetMode="External"/><Relationship Id="rId346" Type="http://schemas.openxmlformats.org/officeDocument/2006/relationships/hyperlink" Target="http://www.sec.gov/Archives/edgar/data/1806310/000119312520238197/d938924dex104.htm" TargetMode="External"/><Relationship Id="rId347" Type="http://schemas.openxmlformats.org/officeDocument/2006/relationships/hyperlink" Target="http://www.sec.gov/Archives/edgar/data/1806310/000119312520247565/d938924dex105.htm" TargetMode="External"/><Relationship Id="rId348" Type="http://schemas.openxmlformats.org/officeDocument/2006/relationships/hyperlink" Target="http://www.sec.gov/Archives/edgar/data/1806310/000119312520247565/d938924dex106.htm" TargetMode="External"/><Relationship Id="rId349" Type="http://schemas.openxmlformats.org/officeDocument/2006/relationships/hyperlink" Target="http://www.sec.gov/Archives/edgar/data/1806310/000119312520247565/d938924dex107.htm" TargetMode="External"/><Relationship Id="rId350" Type="http://schemas.openxmlformats.org/officeDocument/2006/relationships/hyperlink" Target="http://www.sec.gov/Archives/edgar/data/1806310/000119312520247565/d938924dex108.htm" TargetMode="External"/><Relationship Id="rId351" Type="http://schemas.openxmlformats.org/officeDocument/2006/relationships/hyperlink" Target="http://www.sec.gov/Archives/edgar/data/1806310/000119312520238197/d938924dex109.htm" TargetMode="External"/><Relationship Id="rId352" Type="http://schemas.openxmlformats.org/officeDocument/2006/relationships/hyperlink" Target="http://www.sec.gov/Archives/edgar/data/1806310/000119312520247565/d938924dex1010.htm" TargetMode="External"/><Relationship Id="rId353" Type="http://schemas.openxmlformats.org/officeDocument/2006/relationships/hyperlink" Target="http://www.sec.gov/Archives/edgar/data/1806310/000119312520247565/d938924dex1011.htm" TargetMode="External"/><Relationship Id="rId354" Type="http://schemas.openxmlformats.org/officeDocument/2006/relationships/hyperlink" Target="http://www.sec.gov/Archives/edgar/data/1806310/000119312520247565/d938924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2020-09-18T05:19:14Z</dcterms:created>
  <dcterms:modified xsi:type="dcterms:W3CDTF">2020-09-18T05:19:14Z</dcterms:modified>
</cp:coreProperties>
</file>