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TAYSHA GENE THERAPIES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#877619106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#877619106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3,274,557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3,274,557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3,274,557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5.951%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#877619106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3,274,557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3,274,557</w:t>
      </w:r>
    </w:p>
    <w:p>
      <w:pPr>
        <w:spacing w:after="0"/>
        <w:rPr>
          <w:sz w:val="20"/>
          <w:szCs w:val="20"/>
          <w:color w:val="auto"/>
        </w:rPr>
      </w:pPr>
      <w:r>
        <w:rPr>
          <w:rFonts w:ascii="Courier New" w:cs="Courier New" w:eastAsia="Courier New" w:hAnsi="Courier New"/>
          <w:sz w:val="18"/>
          <w:szCs w:val="18"/>
          <w:color w:val="auto"/>
        </w:rPr>
        <w:t>Item 11: 5.951%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TAYSHA GENE THERAPIES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3000 PEGASUS PARK DRIVE, SUITE 1430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DALLAS, TX 75247</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877619106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3,274,557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5.951%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3,274,557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TAYSHA GENE THERAPIES INC. No one other person's interest in the COMMON STOCK of TAYSHA GENE THERAPIES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9,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9, 2022, agree and consent to the joint filing on their behalf of this Schedule 13G in connection with their beneficial ownership of the COMMON STOCK of TAYSHA GENE THERAPIES INC at October 31,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2022-11-10T10:57:46Z</dcterms:created>
  <dcterms:modified xsi:type="dcterms:W3CDTF">2022-11-10T10:57:46Z</dcterms:modified>
</cp:coreProperties>
</file>