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62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6236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Nagendran Sukumar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600"/>
        <w:spacing w:after="0" w:line="372" w:lineRule="auto"/>
        <w:rPr>
          <w:sz w:val="20"/>
          <w:szCs w:val="20"/>
          <w:color w:val="auto"/>
        </w:rPr>
      </w:pPr>
      <w:r>
        <w:rPr>
          <w:rFonts w:ascii="Times New Roman" w:cs="Times New Roman" w:eastAsia="Times New Roman" w:hAnsi="Times New Roman"/>
          <w:sz w:val="16"/>
          <w:szCs w:val="16"/>
          <w:color w:val="0000FF"/>
        </w:rPr>
        <w:t>C/O TAYSHA GENE THERAPIES, INC. 3000 PEGASUS PARK DRIVE, SUITE 1430</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75247</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Taysha Gene Therapies,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180" w:type="dxa"/>
            <w:vAlign w:val="bottom"/>
            <w:tcBorders>
              <w:bottom w:val="single" w:sz="8" w:color="2C2C2C"/>
            </w:tcBorders>
          </w:tcPr>
          <w:p>
            <w:pPr>
              <w:spacing w:after="0"/>
              <w:rPr>
                <w:sz w:val="15"/>
                <w:szCs w:val="15"/>
                <w:color w:val="auto"/>
              </w:rPr>
            </w:pPr>
          </w:p>
        </w:tc>
        <w:tc>
          <w:tcPr>
            <w:tcW w:w="146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11/28/2025</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President and Head of R&amp;D</w:t>
            </w:r>
          </w:p>
        </w:tc>
        <w:tc>
          <w:tcPr>
            <w:tcW w:w="0" w:type="dxa"/>
            <w:vAlign w:val="bottom"/>
          </w:tcPr>
          <w:p>
            <w:pPr>
              <w:spacing w:after="0"/>
              <w:rPr>
                <w:sz w:val="1"/>
                <w:szCs w:val="1"/>
                <w:color w:val="auto"/>
              </w:rPr>
            </w:pPr>
          </w:p>
        </w:tc>
      </w:tr>
      <w:tr>
        <w:trPr>
          <w:trHeight w:val="32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148"/>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5"/>
              </w:rPr>
              <w:t>11/28/2025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7"/>
                <w:szCs w:val="17"/>
                <w:color w:val="0000FF"/>
                <w:w w:val="98"/>
              </w:rPr>
              <w:t>70,172</w:t>
            </w:r>
          </w:p>
        </w:tc>
        <w:tc>
          <w:tcPr>
            <w:tcW w:w="80" w:type="dxa"/>
            <w:vAlign w:val="bottom"/>
          </w:tcPr>
          <w:p>
            <w:pPr>
              <w:spacing w:after="0"/>
              <w:rPr>
                <w:sz w:val="22"/>
                <w:szCs w:val="22"/>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ind w:left="2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0.6989</w:t>
            </w:r>
          </w:p>
        </w:tc>
        <w:tc>
          <w:tcPr>
            <w:tcW w:w="124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1,076,611</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5"/>
              </w:rPr>
              <w:t>11/28/2025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72"/>
              <w:spacing w:after="0"/>
              <w:rPr>
                <w:sz w:val="20"/>
                <w:szCs w:val="20"/>
                <w:color w:val="auto"/>
              </w:rPr>
            </w:pPr>
            <w:r>
              <w:rPr>
                <w:rFonts w:ascii="Times New Roman" w:cs="Times New Roman" w:eastAsia="Times New Roman" w:hAnsi="Times New Roman"/>
                <w:sz w:val="17"/>
                <w:szCs w:val="17"/>
                <w:color w:val="0000FF"/>
                <w:w w:val="98"/>
              </w:rPr>
              <w:t>39,953</w:t>
            </w:r>
          </w:p>
        </w:tc>
        <w:tc>
          <w:tcPr>
            <w:tcW w:w="80" w:type="dxa"/>
            <w:vAlign w:val="bottom"/>
          </w:tcPr>
          <w:p>
            <w:pPr>
              <w:spacing w:after="0"/>
              <w:rPr>
                <w:sz w:val="22"/>
                <w:szCs w:val="22"/>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1.71</w:t>
            </w:r>
          </w:p>
        </w:tc>
        <w:tc>
          <w:tcPr>
            <w:tcW w:w="60" w:type="dxa"/>
            <w:vAlign w:val="bottom"/>
          </w:tcPr>
          <w:p>
            <w:pPr>
              <w:spacing w:after="0"/>
              <w:rPr>
                <w:sz w:val="22"/>
                <w:szCs w:val="22"/>
                <w:color w:val="auto"/>
              </w:rPr>
            </w:pPr>
          </w:p>
        </w:tc>
        <w:tc>
          <w:tcPr>
            <w:tcW w:w="124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1,116,564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5"/>
              </w:rPr>
              <w:t>11/28/2025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7"/>
              </w:rPr>
              <w:t>110,125</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4.75</w:t>
            </w:r>
            <w:r>
              <w:rPr>
                <w:rFonts w:ascii="Times New Roman" w:cs="Times New Roman" w:eastAsia="Times New Roman" w:hAnsi="Times New Roman"/>
                <w:sz w:val="21"/>
                <w:szCs w:val="21"/>
                <w:color w:val="008000"/>
                <w:w w:val="89"/>
                <w:vertAlign w:val="superscript"/>
              </w:rPr>
              <w:t>(1)</w:t>
            </w:r>
          </w:p>
        </w:tc>
        <w:tc>
          <w:tcPr>
            <w:tcW w:w="1240" w:type="dxa"/>
            <w:vAlign w:val="bottom"/>
            <w:tcBorders>
              <w:bottom w:val="single" w:sz="8" w:color="2C2C2C"/>
            </w:tcBorders>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1,006,439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5"/>
              </w:rPr>
              <w:t>12/01/2025</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7"/>
              </w:rPr>
              <w:t>260,047</w:t>
            </w:r>
          </w:p>
        </w:tc>
        <w:tc>
          <w:tcPr>
            <w:tcW w:w="5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1.71</w:t>
            </w:r>
          </w:p>
        </w:tc>
        <w:tc>
          <w:tcPr>
            <w:tcW w:w="60" w:type="dxa"/>
            <w:vAlign w:val="bottom"/>
          </w:tcPr>
          <w:p>
            <w:pPr>
              <w:spacing w:after="0"/>
              <w:rPr>
                <w:sz w:val="22"/>
                <w:szCs w:val="22"/>
                <w:color w:val="auto"/>
              </w:rPr>
            </w:pPr>
          </w:p>
        </w:tc>
        <w:tc>
          <w:tcPr>
            <w:tcW w:w="1240" w:type="dxa"/>
            <w:vAlign w:val="bottom"/>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1,266,486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5"/>
              </w:rPr>
              <w:t>12/01/2025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center"/>
              <w:ind w:left="92"/>
              <w:spacing w:after="0"/>
              <w:rPr>
                <w:sz w:val="20"/>
                <w:szCs w:val="20"/>
                <w:color w:val="auto"/>
              </w:rPr>
            </w:pPr>
            <w:r>
              <w:rPr>
                <w:rFonts w:ascii="Times New Roman" w:cs="Times New Roman" w:eastAsia="Times New Roman" w:hAnsi="Times New Roman"/>
                <w:sz w:val="17"/>
                <w:szCs w:val="17"/>
                <w:color w:val="0000FF"/>
                <w:w w:val="97"/>
              </w:rPr>
              <w:t>260,047</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4.51</w:t>
            </w:r>
            <w:r>
              <w:rPr>
                <w:rFonts w:ascii="Times New Roman" w:cs="Times New Roman" w:eastAsia="Times New Roman" w:hAnsi="Times New Roman"/>
                <w:sz w:val="21"/>
                <w:szCs w:val="21"/>
                <w:color w:val="008000"/>
                <w:w w:val="89"/>
                <w:vertAlign w:val="superscript"/>
              </w:rPr>
              <w:t>(2)</w:t>
            </w:r>
          </w:p>
        </w:tc>
        <w:tc>
          <w:tcPr>
            <w:tcW w:w="1240" w:type="dxa"/>
            <w:vAlign w:val="bottom"/>
            <w:tcBorders>
              <w:bottom w:val="single" w:sz="8" w:color="2C2C2C"/>
            </w:tcBorders>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1,006,439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w w:val="96"/>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70,172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0.6989</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11/28/2025</w:t>
            </w:r>
          </w:p>
        </w:tc>
        <w:tc>
          <w:tcPr>
            <w:tcW w:w="1080" w:type="dxa"/>
            <w:vAlign w:val="bottom"/>
          </w:tcPr>
          <w:p>
            <w:pPr>
              <w:spacing w:after="0"/>
              <w:rPr>
                <w:sz w:val="5"/>
                <w:szCs w:val="5"/>
                <w:color w:val="auto"/>
              </w:rPr>
            </w:pPr>
          </w:p>
        </w:tc>
        <w:tc>
          <w:tcPr>
            <w:tcW w:w="74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70,172</w:t>
            </w:r>
          </w:p>
        </w:tc>
        <w:tc>
          <w:tcPr>
            <w:tcW w:w="780" w:type="dxa"/>
            <w:vAlign w:val="bottom"/>
            <w:gridSpan w:val="2"/>
            <w:vMerge w:val="continue"/>
          </w:tcPr>
          <w:p>
            <w:pPr>
              <w:spacing w:after="0"/>
              <w:rPr>
                <w:sz w:val="5"/>
                <w:szCs w:val="5"/>
                <w:color w:val="auto"/>
              </w:rPr>
            </w:pPr>
          </w:p>
        </w:tc>
        <w:tc>
          <w:tcPr>
            <w:tcW w:w="7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12/14/2033</w:t>
            </w:r>
          </w:p>
        </w:tc>
        <w:tc>
          <w:tcPr>
            <w:tcW w:w="6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222,683</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148"/>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39,953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1.71</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11/28/2025</w:t>
            </w:r>
          </w:p>
        </w:tc>
        <w:tc>
          <w:tcPr>
            <w:tcW w:w="1080" w:type="dxa"/>
            <w:vAlign w:val="bottom"/>
          </w:tcPr>
          <w:p>
            <w:pPr>
              <w:spacing w:after="0"/>
              <w:rPr>
                <w:sz w:val="5"/>
                <w:szCs w:val="5"/>
                <w:color w:val="auto"/>
              </w:rPr>
            </w:pPr>
          </w:p>
        </w:tc>
        <w:tc>
          <w:tcPr>
            <w:tcW w:w="74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41"/>
              <w:spacing w:after="0" w:line="140" w:lineRule="exact"/>
              <w:rPr>
                <w:sz w:val="20"/>
                <w:szCs w:val="20"/>
                <w:color w:val="auto"/>
              </w:rPr>
            </w:pPr>
            <w:r>
              <w:rPr>
                <w:rFonts w:ascii="Times New Roman" w:cs="Times New Roman" w:eastAsia="Times New Roman" w:hAnsi="Times New Roman"/>
                <w:sz w:val="13"/>
                <w:szCs w:val="13"/>
                <w:color w:val="0000FF"/>
                <w:w w:val="94"/>
              </w:rPr>
              <w:t>39,953</w:t>
            </w:r>
          </w:p>
        </w:tc>
        <w:tc>
          <w:tcPr>
            <w:tcW w:w="780" w:type="dxa"/>
            <w:vAlign w:val="bottom"/>
            <w:gridSpan w:val="2"/>
            <w:vMerge w:val="continue"/>
          </w:tcPr>
          <w:p>
            <w:pPr>
              <w:spacing w:after="0"/>
              <w:rPr>
                <w:sz w:val="5"/>
                <w:szCs w:val="5"/>
                <w:color w:val="auto"/>
              </w:rPr>
            </w:pPr>
          </w:p>
        </w:tc>
        <w:tc>
          <w:tcPr>
            <w:tcW w:w="7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01/02/2034</w:t>
            </w:r>
          </w:p>
        </w:tc>
        <w:tc>
          <w:tcPr>
            <w:tcW w:w="6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3"/>
                <w:szCs w:val="13"/>
                <w:color w:val="0000FF"/>
              </w:rPr>
              <w:t>823,664</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148"/>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260,047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1.71</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12/01/2025</w:t>
            </w:r>
          </w:p>
        </w:tc>
        <w:tc>
          <w:tcPr>
            <w:tcW w:w="108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41"/>
              <w:spacing w:after="0" w:line="128" w:lineRule="exact"/>
              <w:rPr>
                <w:sz w:val="20"/>
                <w:szCs w:val="20"/>
                <w:color w:val="auto"/>
              </w:rPr>
            </w:pPr>
            <w:r>
              <w:rPr>
                <w:rFonts w:ascii="Times New Roman" w:cs="Times New Roman" w:eastAsia="Times New Roman" w:hAnsi="Times New Roman"/>
                <w:sz w:val="13"/>
                <w:szCs w:val="13"/>
                <w:color w:val="0000FF"/>
                <w:w w:val="99"/>
              </w:rPr>
              <w:t>260,047</w:t>
            </w:r>
          </w:p>
        </w:tc>
        <w:tc>
          <w:tcPr>
            <w:tcW w:w="780" w:type="dxa"/>
            <w:vAlign w:val="bottom"/>
            <w:gridSpan w:val="2"/>
            <w:vMerge w:val="continue"/>
          </w:tcPr>
          <w:p>
            <w:pPr>
              <w:spacing w:after="0"/>
              <w:rPr>
                <w:sz w:val="11"/>
                <w:szCs w:val="11"/>
                <w:color w:val="auto"/>
              </w:rPr>
            </w:pPr>
          </w:p>
        </w:tc>
        <w:tc>
          <w:tcPr>
            <w:tcW w:w="7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01/02/2034</w:t>
            </w: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563,617</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8"/>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3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$4.7248 to $4.8348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$4.42 to $4.63 inclusive.</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vested or shall vest and become exercisable in three equal annual installments commencing on December 31, 2024, subject to the Reporting Person's continuous service through each applicable vesting date.</w:t>
      </w:r>
    </w:p>
    <w:p>
      <w:pPr>
        <w:spacing w:after="0" w:line="19"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total number of shares underlying the option vested and became exercisable on January 2, 2025 and the remainder vested or shall vest and become exercisable in 36 equal monthly installments thereafter, subject to the Reporting Person's continuous service through each applicable vesting date.</w:t>
      </w:r>
    </w:p>
    <w:p>
      <w:pPr>
        <w:spacing w:after="0" w:line="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Kamran Alam,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12/01/2025</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5124" TargetMode="External"/><Relationship Id="rId14" Type="http://schemas.openxmlformats.org/officeDocument/2006/relationships/hyperlink" Target="http://www.sec.gov/cgi-bin/browse-edgar?action=getcompany&amp;CIK=0001806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2025-12-01T20:04:11Z</dcterms:created>
  <dcterms:modified xsi:type="dcterms:W3CDTF">2025-12-01T20:04:11Z</dcterms:modified>
</cp:coreProperties>
</file>