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filed with the Securities and Exchange Commission on September 2, 2020.</w:t>
      </w:r>
    </w:p>
    <w:p>
      <w:pPr>
        <w:spacing w:after="0" w:line="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83185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74930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Taysha Gene Therapies,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1" w:lineRule="exact"/>
        <w:rPr>
          <w:sz w:val="24"/>
          <w:szCs w:val="24"/>
          <w:color w:val="auto"/>
        </w:rPr>
      </w:pPr>
    </w:p>
    <w:tbl>
      <w:tblPr>
        <w:tblLayout w:type="fixed"/>
        <w:tblInd w:w="980" w:type="dxa"/>
        <w:tblCellMar>
          <w:top w:w="0" w:type="dxa"/>
          <w:left w:w="0" w:type="dxa"/>
          <w:bottom w:w="0" w:type="dxa"/>
          <w:right w:w="0" w:type="dxa"/>
        </w:tblCellMar>
      </w:tblPr>
      <w:tr>
        <w:trPr>
          <w:trHeight w:val="180"/>
        </w:trPr>
        <w:tc>
          <w:tcPr>
            <w:tcW w:w="2860" w:type="dxa"/>
            <w:vAlign w:val="bottom"/>
          </w:tcPr>
          <w:p>
            <w:pPr>
              <w:jc w:val="center"/>
              <w:ind w:right="928"/>
              <w:spacing w:after="0"/>
              <w:rPr>
                <w:sz w:val="20"/>
                <w:szCs w:val="20"/>
                <w:color w:val="auto"/>
              </w:rPr>
            </w:pPr>
            <w:r>
              <w:rPr>
                <w:rFonts w:ascii="Arial" w:cs="Arial" w:eastAsia="Arial" w:hAnsi="Arial"/>
                <w:sz w:val="14"/>
                <w:szCs w:val="14"/>
                <w:b w:val="1"/>
                <w:bCs w:val="1"/>
                <w:color w:val="auto"/>
              </w:rPr>
              <w:t>Delaware</w:t>
            </w:r>
          </w:p>
        </w:tc>
        <w:tc>
          <w:tcPr>
            <w:tcW w:w="3940" w:type="dxa"/>
            <w:vAlign w:val="bottom"/>
          </w:tcPr>
          <w:p>
            <w:pPr>
              <w:jc w:val="center"/>
              <w:ind w:right="68"/>
              <w:spacing w:after="0"/>
              <w:rPr>
                <w:sz w:val="20"/>
                <w:szCs w:val="20"/>
                <w:color w:val="auto"/>
              </w:rPr>
            </w:pPr>
            <w:r>
              <w:rPr>
                <w:rFonts w:ascii="Arial" w:cs="Arial" w:eastAsia="Arial" w:hAnsi="Arial"/>
                <w:sz w:val="14"/>
                <w:szCs w:val="14"/>
                <w:b w:val="1"/>
                <w:bCs w:val="1"/>
                <w:color w:val="auto"/>
              </w:rPr>
              <w:t>2836</w:t>
            </w:r>
          </w:p>
        </w:tc>
        <w:tc>
          <w:tcPr>
            <w:tcW w:w="2220" w:type="dxa"/>
            <w:vAlign w:val="bottom"/>
          </w:tcPr>
          <w:p>
            <w:pPr>
              <w:jc w:val="center"/>
              <w:ind w:left="1028"/>
              <w:spacing w:after="0"/>
              <w:rPr>
                <w:sz w:val="20"/>
                <w:szCs w:val="20"/>
                <w:color w:val="auto"/>
              </w:rPr>
            </w:pPr>
            <w:r>
              <w:rPr>
                <w:rFonts w:ascii="Arial" w:cs="Arial" w:eastAsia="Arial" w:hAnsi="Arial"/>
                <w:sz w:val="14"/>
                <w:szCs w:val="14"/>
                <w:b w:val="1"/>
                <w:bCs w:val="1"/>
                <w:color w:val="auto"/>
              </w:rPr>
              <w:t>84-3199512</w:t>
            </w:r>
          </w:p>
        </w:tc>
      </w:tr>
      <w:tr>
        <w:trPr>
          <w:trHeight w:val="162"/>
        </w:trPr>
        <w:tc>
          <w:tcPr>
            <w:tcW w:w="2860" w:type="dxa"/>
            <w:vAlign w:val="bottom"/>
          </w:tcPr>
          <w:p>
            <w:pPr>
              <w:jc w:val="center"/>
              <w:ind w:right="908"/>
              <w:spacing w:after="0"/>
              <w:rPr>
                <w:sz w:val="20"/>
                <w:szCs w:val="20"/>
                <w:color w:val="auto"/>
              </w:rPr>
            </w:pPr>
            <w:r>
              <w:rPr>
                <w:rFonts w:ascii="Arial" w:cs="Arial" w:eastAsia="Arial" w:hAnsi="Arial"/>
                <w:sz w:val="14"/>
                <w:szCs w:val="14"/>
                <w:color w:val="auto"/>
              </w:rPr>
              <w:t>(State or other jurisdiction of</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(Primary Standard Industrial</w:t>
            </w:r>
          </w:p>
        </w:tc>
        <w:tc>
          <w:tcPr>
            <w:tcW w:w="2220" w:type="dxa"/>
            <w:vAlign w:val="bottom"/>
          </w:tcPr>
          <w:p>
            <w:pPr>
              <w:jc w:val="center"/>
              <w:ind w:left="1048"/>
              <w:spacing w:after="0"/>
              <w:rPr>
                <w:sz w:val="20"/>
                <w:szCs w:val="20"/>
                <w:color w:val="auto"/>
              </w:rPr>
            </w:pPr>
            <w:r>
              <w:rPr>
                <w:rFonts w:ascii="Arial" w:cs="Arial" w:eastAsia="Arial" w:hAnsi="Arial"/>
                <w:sz w:val="14"/>
                <w:szCs w:val="14"/>
                <w:color w:val="auto"/>
              </w:rPr>
              <w:t>(I.R.S. Employer</w:t>
            </w:r>
          </w:p>
        </w:tc>
      </w:tr>
      <w:tr>
        <w:trPr>
          <w:trHeight w:val="172"/>
        </w:trPr>
        <w:tc>
          <w:tcPr>
            <w:tcW w:w="2860" w:type="dxa"/>
            <w:vAlign w:val="bottom"/>
          </w:tcPr>
          <w:p>
            <w:pPr>
              <w:jc w:val="center"/>
              <w:ind w:right="928"/>
              <w:spacing w:after="0"/>
              <w:rPr>
                <w:sz w:val="20"/>
                <w:szCs w:val="20"/>
                <w:color w:val="auto"/>
              </w:rPr>
            </w:pPr>
            <w:r>
              <w:rPr>
                <w:rFonts w:ascii="Arial" w:cs="Arial" w:eastAsia="Arial" w:hAnsi="Arial"/>
                <w:sz w:val="14"/>
                <w:szCs w:val="14"/>
                <w:color w:val="auto"/>
              </w:rPr>
              <w:t>incorporation or organization)</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Classification Code Number)</w:t>
            </w:r>
          </w:p>
        </w:tc>
        <w:tc>
          <w:tcPr>
            <w:tcW w:w="2220" w:type="dxa"/>
            <w:vAlign w:val="bottom"/>
          </w:tcPr>
          <w:p>
            <w:pPr>
              <w:jc w:val="center"/>
              <w:ind w:left="1028"/>
              <w:spacing w:after="0"/>
              <w:rPr>
                <w:sz w:val="20"/>
                <w:szCs w:val="20"/>
                <w:color w:val="auto"/>
              </w:rPr>
            </w:pPr>
            <w:r>
              <w:rPr>
                <w:rFonts w:ascii="Arial" w:cs="Arial" w:eastAsia="Arial" w:hAnsi="Arial"/>
                <w:sz w:val="14"/>
                <w:szCs w:val="14"/>
                <w:color w:val="auto"/>
              </w:rPr>
              <w:t>Identification No.)</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74930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RA Session II</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Taysha Gene Therapies,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0" w:lineRule="exact"/>
        <w:rPr>
          <w:sz w:val="24"/>
          <w:szCs w:val="24"/>
          <w:color w:val="auto"/>
        </w:rPr>
      </w:pPr>
    </w:p>
    <w:tbl>
      <w:tblPr>
        <w:tblLayout w:type="fixed"/>
        <w:tblInd w:w="194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502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74"/>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Divakar Gupta</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Robert E. Puopolo</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Darren DeStefano</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Seo Salimi</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Brian F. Leaf</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Madison A. Jones</w:t>
            </w:r>
          </w:p>
        </w:tc>
        <w:tc>
          <w:tcPr>
            <w:tcW w:w="5020" w:type="dxa"/>
            <w:vAlign w:val="bottom"/>
          </w:tcPr>
          <w:p>
            <w:pPr>
              <w:jc w:val="center"/>
              <w:ind w:left="290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Cooley LLP</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Boston, Massachusetts 02210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55 Hudson Yards</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New York, New York 10001</w:t>
            </w:r>
          </w:p>
        </w:tc>
        <w:tc>
          <w:tcPr>
            <w:tcW w:w="5020" w:type="dxa"/>
            <w:vAlign w:val="bottom"/>
          </w:tcPr>
          <w:p>
            <w:pPr>
              <w:spacing w:after="0"/>
              <w:rPr>
                <w:sz w:val="14"/>
                <w:szCs w:val="14"/>
                <w:color w:val="auto"/>
              </w:rPr>
            </w:pPr>
          </w:p>
        </w:tc>
      </w:tr>
      <w:tr>
        <w:trPr>
          <w:trHeight w:val="190"/>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(212) 479-6000</w:t>
            </w:r>
          </w:p>
        </w:tc>
        <w:tc>
          <w:tcPr>
            <w:tcW w:w="50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84455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6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73" w:lineRule="exact"/>
        <w:rPr>
          <w:sz w:val="24"/>
          <w:szCs w:val="24"/>
          <w:color w:val="auto"/>
        </w:rPr>
      </w:pPr>
    </w:p>
    <w:p>
      <w:pPr>
        <w:ind w:right="220" w:firstLine="562"/>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right="40" w:firstLine="562"/>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600" w:firstLine="56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600" w:firstLine="56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right="40" w:firstLine="562"/>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34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right="300" w:firstLine="562"/>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66040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6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r>
      <w:tr>
        <w:trPr>
          <w:trHeight w:val="129"/>
        </w:trPr>
        <w:tc>
          <w:tcPr>
            <w:tcW w:w="76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8"/>
              <w:spacing w:after="0" w:line="129" w:lineRule="exact"/>
              <w:rPr>
                <w:sz w:val="20"/>
                <w:szCs w:val="20"/>
                <w:color w:val="auto"/>
              </w:rPr>
            </w:pPr>
            <w:r>
              <w:rPr>
                <w:rFonts w:ascii="Arial" w:cs="Arial" w:eastAsia="Arial" w:hAnsi="Arial"/>
                <w:sz w:val="14"/>
                <w:szCs w:val="14"/>
                <w:b w:val="1"/>
                <w:bCs w:val="1"/>
                <w:color w:val="auto"/>
              </w:rPr>
              <w:t>Proposed</w:t>
            </w:r>
          </w:p>
        </w:tc>
        <w:tc>
          <w:tcPr>
            <w:tcW w:w="1760" w:type="dxa"/>
            <w:vAlign w:val="bottom"/>
          </w:tcPr>
          <w:p>
            <w:pPr>
              <w:spacing w:after="0"/>
              <w:rPr>
                <w:sz w:val="11"/>
                <w:szCs w:val="11"/>
                <w:color w:val="auto"/>
              </w:rPr>
            </w:pPr>
          </w:p>
        </w:tc>
      </w:tr>
      <w:tr>
        <w:trPr>
          <w:trHeight w:val="162"/>
        </w:trPr>
        <w:tc>
          <w:tcPr>
            <w:tcW w:w="766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Maximum</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62"/>
        </w:trPr>
        <w:tc>
          <w:tcPr>
            <w:tcW w:w="766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Aggregate</w:t>
            </w:r>
          </w:p>
        </w:tc>
        <w:tc>
          <w:tcPr>
            <w:tcW w:w="1760" w:type="dxa"/>
            <w:vAlign w:val="bottom"/>
          </w:tcPr>
          <w:p>
            <w:pPr>
              <w:jc w:val="center"/>
              <w:ind w:left="8"/>
              <w:spacing w:after="0"/>
              <w:rPr>
                <w:sz w:val="20"/>
                <w:szCs w:val="20"/>
                <w:color w:val="auto"/>
              </w:rPr>
            </w:pPr>
            <w:r>
              <w:rPr>
                <w:rFonts w:ascii="Arial" w:cs="Arial" w:eastAsia="Arial" w:hAnsi="Arial"/>
                <w:sz w:val="14"/>
                <w:szCs w:val="14"/>
                <w:b w:val="1"/>
                <w:bCs w:val="1"/>
                <w:color w:val="auto"/>
              </w:rPr>
              <w:t>Registration</w:t>
            </w:r>
          </w:p>
        </w:tc>
      </w:tr>
      <w:tr>
        <w:trPr>
          <w:trHeight w:val="175"/>
        </w:trPr>
        <w:tc>
          <w:tcPr>
            <w:tcW w:w="7660" w:type="dxa"/>
            <w:vAlign w:val="bottom"/>
            <w:tcBorders>
              <w:bottom w:val="single" w:sz="8" w:color="auto"/>
              <w:right w:val="single" w:sz="8" w:color="auto"/>
            </w:tcBorders>
          </w:tcPr>
          <w:p>
            <w:pPr>
              <w:ind w:left="21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2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Offering Price(1)</w:t>
            </w:r>
          </w:p>
        </w:tc>
        <w:tc>
          <w:tcPr>
            <w:tcW w:w="17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Fee(2)</w:t>
            </w:r>
          </w:p>
        </w:tc>
      </w:tr>
      <w:tr>
        <w:trPr>
          <w:trHeight w:val="156"/>
        </w:trPr>
        <w:tc>
          <w:tcPr>
            <w:tcW w:w="76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$0.00001 par value per share</w:t>
            </w:r>
          </w:p>
        </w:tc>
        <w:tc>
          <w:tcPr>
            <w:tcW w:w="1820" w:type="dxa"/>
            <w:vAlign w:val="bottom"/>
            <w:tcBorders>
              <w:bottom w:val="single" w:sz="8" w:color="auto"/>
              <w:right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$100,000,000</w:t>
            </w:r>
          </w:p>
        </w:tc>
        <w:tc>
          <w:tcPr>
            <w:tcW w:w="17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$12,980</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60" w:right="120" w:hanging="552"/>
        <w:spacing w:after="0" w:line="241"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additional shares that the underwriters have the option to purchase.</w:t>
      </w:r>
    </w:p>
    <w:p>
      <w:pPr>
        <w:ind w:left="560" w:hanging="552"/>
        <w:spacing w:after="0"/>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37" w:lineRule="exact"/>
        <w:rPr>
          <w:sz w:val="24"/>
          <w:szCs w:val="24"/>
          <w:color w:val="auto"/>
        </w:rPr>
      </w:pPr>
    </w:p>
    <w:p>
      <w:pPr>
        <w:ind w:right="180" w:firstLine="562"/>
        <w:spacing w:after="0" w:line="25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September 2,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36" w:lineRule="exact"/>
        <w:rPr>
          <w:sz w:val="20"/>
          <w:szCs w:val="20"/>
          <w:color w:val="auto"/>
        </w:rPr>
      </w:pPr>
    </w:p>
    <w:p>
      <w:pPr>
        <w:ind w:left="57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159385</wp:posOffset>
            </wp:positionV>
            <wp:extent cx="222885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236855</wp:posOffset>
            </wp:positionV>
            <wp:extent cx="149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an initial offering of shares of common stock of Taysha Gene Therapies, Inc.</w:t>
      </w:r>
    </w:p>
    <w:p>
      <w:pPr>
        <w:spacing w:after="0" w:line="212" w:lineRule="exact"/>
        <w:rPr>
          <w:sz w:val="20"/>
          <w:szCs w:val="20"/>
          <w:color w:val="auto"/>
        </w:rPr>
      </w:pPr>
    </w:p>
    <w:p>
      <w:pPr>
        <w:ind w:left="560"/>
        <w:spacing w:after="0"/>
        <w:tabs>
          <w:tab w:leader="none" w:pos="248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7"/>
          <w:szCs w:val="17"/>
          <w:color w:val="auto"/>
        </w:rPr>
        <w:t>shares of our common stock.</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right="220"/>
        <w:spacing w:after="0" w:line="246" w:lineRule="auto"/>
        <w:rPr>
          <w:sz w:val="20"/>
          <w:szCs w:val="20"/>
          <w:color w:val="auto"/>
        </w:rPr>
      </w:pPr>
      <w:r>
        <w:rPr>
          <w:rFonts w:ascii="Arial" w:cs="Arial" w:eastAsia="Arial" w:hAnsi="Arial"/>
          <w:sz w:val="18"/>
          <w:szCs w:val="18"/>
          <w:color w:val="auto"/>
        </w:rPr>
        <w:t>price per share will be between $ and $ . We have applied to list our common stock on The Nasdaq Global Market under the trading symbol “TSHA.”</w:t>
      </w:r>
    </w:p>
    <w:p>
      <w:pPr>
        <w:spacing w:after="0" w:line="197"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are an “emerging growth company” as defined under U.S. federal securities laws and, as such,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400" w:firstLine="562"/>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risks. See “</w:t>
      </w:r>
      <w:hyperlink w:anchor="page18">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199390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right="420" w:firstLine="562"/>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215900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Underwriting discounts(1)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Taysha Gene Therapies, Inc.</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 description of the compensation payable to the underwriters.</w:t>
      </w:r>
    </w:p>
    <w:p>
      <w:pPr>
        <w:spacing w:after="0" w:line="207" w:lineRule="exact"/>
        <w:rPr>
          <w:sz w:val="20"/>
          <w:szCs w:val="20"/>
          <w:color w:val="auto"/>
        </w:rPr>
      </w:pPr>
    </w:p>
    <w:p>
      <w:pPr>
        <w:ind w:left="560"/>
        <w:spacing w:after="0"/>
        <w:tabs>
          <w:tab w:leader="none" w:pos="516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7"/>
          <w:szCs w:val="17"/>
          <w:color w:val="auto"/>
        </w:rPr>
        <w:t>shares of common stock, the underwriters have the option to purchase up to</w:t>
      </w:r>
    </w:p>
    <w:p>
      <w:pPr>
        <w:spacing w:after="0"/>
        <w:tabs>
          <w:tab w:leader="none" w:pos="1660" w:val="left"/>
        </w:tabs>
        <w:rPr>
          <w:sz w:val="20"/>
          <w:szCs w:val="20"/>
          <w:color w:val="auto"/>
        </w:rPr>
      </w:pPr>
      <w:r>
        <w:rPr>
          <w:rFonts w:ascii="Arial" w:cs="Arial" w:eastAsia="Arial" w:hAnsi="Arial"/>
          <w:sz w:val="18"/>
          <w:szCs w:val="18"/>
          <w:color w:val="auto"/>
        </w:rPr>
        <w:t>an additional</w:t>
      </w:r>
      <w:r>
        <w:rPr>
          <w:sz w:val="20"/>
          <w:szCs w:val="20"/>
          <w:color w:val="auto"/>
        </w:rPr>
        <w:tab/>
      </w:r>
      <w:r>
        <w:rPr>
          <w:rFonts w:ascii="Arial" w:cs="Arial" w:eastAsia="Arial" w:hAnsi="Arial"/>
          <w:sz w:val="17"/>
          <w:szCs w:val="17"/>
          <w:color w:val="auto"/>
        </w:rPr>
        <w:t>shares from us at the initial price to the public less the underwriting discount.</w:t>
      </w:r>
    </w:p>
    <w:p>
      <w:pPr>
        <w:spacing w:after="0" w:line="212" w:lineRule="exact"/>
        <w:rPr>
          <w:sz w:val="20"/>
          <w:szCs w:val="20"/>
          <w:color w:val="auto"/>
        </w:rPr>
      </w:pPr>
    </w:p>
    <w:p>
      <w:pPr>
        <w:ind w:left="5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8"/>
          <w:szCs w:val="18"/>
          <w:color w:val="auto"/>
        </w:rPr>
        <w:t>, 2020.</w:t>
      </w:r>
    </w:p>
    <w:p>
      <w:pPr>
        <w:spacing w:after="0" w:line="209" w:lineRule="exact"/>
        <w:rPr>
          <w:sz w:val="20"/>
          <w:szCs w:val="20"/>
          <w:color w:val="auto"/>
        </w:rPr>
      </w:pPr>
    </w:p>
    <w:p>
      <w:pPr>
        <w:spacing w:after="0"/>
        <w:tabs>
          <w:tab w:leader="none" w:pos="478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252095</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40"/>
        <w:spacing w:after="0"/>
        <w:tabs>
          <w:tab w:leader="none" w:pos="658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78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78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Special Note Regarding Forward-Looking Statements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Market and Industry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Dividend Policy</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Dilution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Selected Financial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Management</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Executive Compensation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Certain Relationships and Related Party Transactions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Principal Stockholders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Description of Capital Stock</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Shares Eligible for Future Sale</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Material U.S. Federal Income Tax Consequences to Non-U.S. 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Where You Can Find Additional Information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7"/>
        </w:trPr>
        <w:tc>
          <w:tcPr>
            <w:tcW w:w="10780" w:type="dxa"/>
            <w:vAlign w:val="bottom"/>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Index to Financial Statements</w:t>
              </w:r>
            </w:hyperlink>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202"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5"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1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00" w:right="20" w:firstLine="543"/>
        <w:spacing w:after="0" w:line="241"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financial statements and the related notes appearing elsewhere in this prospectus, before making an investment decision. As used in this prospectus, unless the context otherwise requires, references to “we,” “us,” “our,” “the company,” “Taysha” and “Taysha Gene Therapies” refer to Taysha Gene Therapies, Inc., together with its consolidated subsidiaries.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Taysha Gene Therapies, Inc.</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left="200" w:firstLine="543"/>
        <w:spacing w:after="0" w:line="235"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213" w:lineRule="exact"/>
        <w:rPr>
          <w:sz w:val="20"/>
          <w:szCs w:val="20"/>
          <w:color w:val="auto"/>
        </w:rPr>
      </w:pPr>
    </w:p>
    <w:p>
      <w:pPr>
        <w:ind w:left="200" w:right="40" w:firstLine="543"/>
        <w:spacing w:after="0" w:line="236" w:lineRule="auto"/>
        <w:rPr>
          <w:sz w:val="20"/>
          <w:szCs w:val="20"/>
          <w:color w:val="auto"/>
        </w:rPr>
      </w:pPr>
      <w:r>
        <w:rPr>
          <w:rFonts w:ascii="Arial" w:cs="Arial" w:eastAsia="Arial" w:hAnsi="Arial"/>
          <w:sz w:val="18"/>
          <w:szCs w:val="18"/>
          <w:color w:val="auto"/>
        </w:rPr>
        <w:t>The fundamental components of our approach to gene therapy development are an adeno-associated virus serotype 9, or AAV9, capsid, intrathecal delivery and an efficient manufacturing process. We use an AAV9 capsid to deliver therapeutic genes engineered to replace a mutated gene, enhance the expression of a silenced gene or decrease the expression of a gene, depending on the underlying biology of the specific disease. We use intrathecal administration, which involves direct delivery of our gene therapies to the cerebrospinal fluid, or CSF, to facilitate optimal biodistribution and cell transduction within the central nervous system, or CNS. 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also intend to establish our own commercial-scale, GMP-compliant manufacturing facility to meet demand in the event that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27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2274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126"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current pipeline, including the stage of development of each of our product candidates, is represented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firstLine="543"/>
        <w:spacing w:after="0" w:line="246"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w:t>
      </w:r>
    </w:p>
    <w:p>
      <w:pPr>
        <w:spacing w:after="0" w:line="80" w:lineRule="exact"/>
        <w:rPr>
          <w:sz w:val="20"/>
          <w:szCs w:val="20"/>
          <w:color w:val="auto"/>
        </w:rPr>
      </w:pPr>
    </w:p>
    <w:p>
      <w:pPr>
        <w:ind w:left="940" w:right="760" w:hanging="206"/>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Neurodegenerative diseases</w:t>
      </w:r>
      <w:r>
        <w:rPr>
          <w:rFonts w:ascii="Arial" w:cs="Arial" w:eastAsia="Arial" w:hAnsi="Arial"/>
          <w:sz w:val="18"/>
          <w:szCs w:val="18"/>
          <w:color w:val="auto"/>
        </w:rPr>
        <w:t>, which refer to diseases that are characterized by the progressive degeneration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structures and functions of the CNS.</w:t>
      </w:r>
    </w:p>
    <w:p>
      <w:pPr>
        <w:spacing w:after="0" w:line="59" w:lineRule="exact"/>
        <w:rPr>
          <w:rFonts w:ascii="Arial" w:cs="Arial" w:eastAsia="Arial" w:hAnsi="Arial"/>
          <w:sz w:val="18"/>
          <w:szCs w:val="18"/>
          <w:color w:val="auto"/>
        </w:rPr>
      </w:pPr>
    </w:p>
    <w:p>
      <w:pPr>
        <w:ind w:left="940" w:right="60" w:hanging="206"/>
        <w:spacing w:after="0" w:line="27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Neurodevelopmental disorders</w:t>
      </w:r>
      <w:r>
        <w:rPr>
          <w:rFonts w:ascii="Arial" w:cs="Arial" w:eastAsia="Arial" w:hAnsi="Arial"/>
          <w:sz w:val="18"/>
          <w:szCs w:val="18"/>
          <w:color w:val="auto"/>
        </w:rPr>
        <w:t>, which refer to a group of conditions with onset during the time when the brain is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a reflection of disabilities associated primarily with the functioning of the neurological system and brain.</w:t>
      </w:r>
    </w:p>
    <w:p>
      <w:pPr>
        <w:spacing w:after="0" w:line="59" w:lineRule="exact"/>
        <w:rPr>
          <w:rFonts w:ascii="Arial" w:cs="Arial" w:eastAsia="Arial" w:hAnsi="Arial"/>
          <w:sz w:val="18"/>
          <w:szCs w:val="18"/>
          <w:color w:val="auto"/>
        </w:rPr>
      </w:pPr>
    </w:p>
    <w:p>
      <w:pPr>
        <w:ind w:left="940" w:hanging="206"/>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epilepsies</w:t>
      </w:r>
      <w:r>
        <w:rPr>
          <w:rFonts w:ascii="Arial" w:cs="Arial" w:eastAsia="Arial" w:hAnsi="Arial"/>
          <w:sz w:val="18"/>
          <w:szCs w:val="18"/>
          <w:color w:val="auto"/>
        </w:rPr>
        <w:t>, which refer to disorders with recurrent seizures associated with abnormal development of the brain.</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most advanced product candidates include:</w:t>
      </w:r>
    </w:p>
    <w:p>
      <w:pPr>
        <w:spacing w:after="0" w:line="95" w:lineRule="exact"/>
        <w:rPr>
          <w:sz w:val="20"/>
          <w:szCs w:val="20"/>
          <w:color w:val="auto"/>
        </w:rPr>
      </w:pPr>
    </w:p>
    <w:p>
      <w:pPr>
        <w:ind w:left="940" w:right="60" w:hanging="206"/>
        <w:spacing w:after="0" w:line="242"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TSHA-101</w:t>
      </w:r>
      <w:r>
        <w:rPr>
          <w:rFonts w:ascii="Arial" w:cs="Arial" w:eastAsia="Arial" w:hAnsi="Arial"/>
          <w:sz w:val="18"/>
          <w:szCs w:val="18"/>
          <w:color w:val="auto"/>
        </w:rPr>
        <w:t>, which is being developed for the treatment of GM2 gangliosidosis, a lysosomal storage disorder and family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severe neurodegenerative diseases that includes Tay-Sachs disease and Sandhoff disease.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have conducted preclinical studies evaluating safety and biodistribution, and plan to initiate a Phase 1/2 clinical trial under a CTA in Canada by the end of 2020. We plan to submit an IND for TSHA-101 to the FDA by the end of 2021. TSHA-101 has received orphan drug designation and rare pediatric disease designation from the FDA for the treatment of GM2 gangliosidosis.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32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7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40" w:right="380" w:hanging="206"/>
        <w:spacing w:after="0" w:line="244"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TSHA-118 </w:t>
      </w:r>
      <w:r>
        <w:rPr>
          <w:rFonts w:ascii="Arial" w:cs="Arial" w:eastAsia="Arial" w:hAnsi="Arial"/>
          <w:sz w:val="18"/>
          <w:szCs w:val="18"/>
          <w:color w:val="auto"/>
        </w:rPr>
        <w:t>is a self-complementary AAV9 viral vector that expresses human codon-optimized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CLN1</w:t>
      </w:r>
      <w:r>
        <w:rPr>
          <w:rFonts w:ascii="Arial" w:cs="Arial" w:eastAsia="Arial" w:hAnsi="Arial"/>
          <w:sz w:val="18"/>
          <w:szCs w:val="18"/>
          <w:b w:val="1"/>
          <w:bCs w:val="1"/>
          <w:color w:val="auto"/>
        </w:rPr>
        <w:t xml:space="preserve"> </w:t>
      </w:r>
      <w:r>
        <w:rPr>
          <w:rFonts w:ascii="Arial" w:cs="Arial" w:eastAsia="Arial" w:hAnsi="Arial"/>
          <w:sz w:val="18"/>
          <w:szCs w:val="18"/>
          <w:color w:val="auto"/>
        </w:rPr>
        <w:t>complementary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deoxyribonucleic acid under control of the chicken ß-actin hybrid promoter. Preclinical studies evaluating safety and biodistribution have been conducted, and we plan to conduct a Phase 1/2 clinical trial of TSHA-118 under a currently open IND. TSHA-118 has received orphan drug designation from the FDA and the European Medicines Agency, fast track designation from the FDA and rare pediatric disease designation from the FDA for the treatment of CLN1 disease.</w:t>
      </w:r>
    </w:p>
    <w:p>
      <w:pPr>
        <w:spacing w:after="0" w:line="81" w:lineRule="exact"/>
        <w:rPr>
          <w:rFonts w:ascii="Arial" w:cs="Arial" w:eastAsia="Arial" w:hAnsi="Arial"/>
          <w:sz w:val="18"/>
          <w:szCs w:val="18"/>
          <w:color w:val="auto"/>
        </w:rPr>
      </w:pPr>
    </w:p>
    <w:p>
      <w:pPr>
        <w:ind w:left="940" w:hanging="206"/>
        <w:spacing w:after="0" w:line="242"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TSHA-102</w:t>
      </w:r>
      <w:r>
        <w:rPr>
          <w:rFonts w:ascii="Arial" w:cs="Arial" w:eastAsia="Arial" w:hAnsi="Arial"/>
          <w:sz w:val="18"/>
          <w:szCs w:val="18"/>
          <w:color w:val="auto"/>
        </w:rPr>
        <w:t>, which is being developed for the treatment of Rett syndrome, one of the most common genetic causes of severe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intellectual disability, 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by the end of 2021.</w:t>
      </w:r>
    </w:p>
    <w:p>
      <w:pPr>
        <w:spacing w:after="0" w:line="84" w:lineRule="exact"/>
        <w:rPr>
          <w:rFonts w:ascii="Arial" w:cs="Arial" w:eastAsia="Arial" w:hAnsi="Arial"/>
          <w:sz w:val="18"/>
          <w:szCs w:val="18"/>
          <w:color w:val="auto"/>
        </w:rPr>
      </w:pPr>
    </w:p>
    <w:p>
      <w:pPr>
        <w:ind w:left="940" w:right="60" w:hanging="206"/>
        <w:spacing w:after="0" w:line="266"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TSHA-103</w:t>
      </w:r>
      <w:r>
        <w:rPr>
          <w:rFonts w:ascii="Arial" w:cs="Arial" w:eastAsia="Arial" w:hAnsi="Arial"/>
          <w:sz w:val="17"/>
          <w:szCs w:val="17"/>
          <w:color w:val="auto"/>
        </w:rPr>
        <w:t>, which is being developed for the treatment of SLC6A1 haploinsufficiency disorder, one of the most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monogenic causes of epilepsy characterized by myoclonic atonic seizures, autism spectrum disorder and intellectual disability. TSHA-103 is constructed from a codon-optimized version of the human </w:t>
      </w:r>
      <w:r>
        <w:rPr>
          <w:rFonts w:ascii="Arial" w:cs="Arial" w:eastAsia="Arial" w:hAnsi="Arial"/>
          <w:sz w:val="17"/>
          <w:szCs w:val="17"/>
          <w:i w:val="1"/>
          <w:iCs w:val="1"/>
          <w:color w:val="auto"/>
        </w:rPr>
        <w:t>SLC6A1</w:t>
      </w:r>
      <w:r>
        <w:rPr>
          <w:rFonts w:ascii="Arial" w:cs="Arial" w:eastAsia="Arial" w:hAnsi="Arial"/>
          <w:sz w:val="17"/>
          <w:szCs w:val="17"/>
          <w:color w:val="auto"/>
        </w:rPr>
        <w:t xml:space="preserve"> gene packaged within a self-complementary AAV9 viral vector under the control of a JeT promoter. We plan to submit an IND for TSHA-103 to the FDA by the end of 2021.</w:t>
      </w:r>
    </w:p>
    <w:p>
      <w:pPr>
        <w:spacing w:after="0" w:line="64" w:lineRule="exact"/>
        <w:rPr>
          <w:rFonts w:ascii="Arial" w:cs="Arial" w:eastAsia="Arial" w:hAnsi="Arial"/>
          <w:sz w:val="17"/>
          <w:szCs w:val="17"/>
          <w:color w:val="auto"/>
        </w:rPr>
      </w:pPr>
    </w:p>
    <w:p>
      <w:pPr>
        <w:ind w:left="940" w:right="20" w:hanging="206"/>
        <w:spacing w:after="0" w:line="247"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TSHA-104</w:t>
      </w:r>
      <w:r>
        <w:rPr>
          <w:rFonts w:ascii="Arial" w:cs="Arial" w:eastAsia="Arial" w:hAnsi="Arial"/>
          <w:sz w:val="18"/>
          <w:szCs w:val="18"/>
          <w:color w:val="auto"/>
        </w:rPr>
        <w:t>, which is being developed for the treatment for Surfeit locus 1, or SURF1, deficiency. TSHA-104 is constructed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modified version of the chicken ß-actin, or CBA, promoter CBA hybrid intron. We plan to submit an IND for TSHA-104 to the FDA by the end of 2021.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Strategic Partnership with The University of Texas Southwestern Medical Center</w:t>
      </w:r>
    </w:p>
    <w:p>
      <w:pPr>
        <w:spacing w:after="0" w:line="126" w:lineRule="exact"/>
        <w:rPr>
          <w:sz w:val="20"/>
          <w:szCs w:val="20"/>
          <w:color w:val="auto"/>
        </w:rPr>
      </w:pPr>
    </w:p>
    <w:p>
      <w:pPr>
        <w:ind w:left="200" w:right="120" w:firstLine="543"/>
        <w:spacing w:after="0" w:line="236" w:lineRule="auto"/>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hold an exclusive, worldwide royalty-free license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strategy, commercial manufacturing and commercialization.</w:t>
      </w:r>
    </w:p>
    <w:p>
      <w:pPr>
        <w:spacing w:after="0" w:line="208" w:lineRule="exact"/>
        <w:rPr>
          <w:sz w:val="20"/>
          <w:szCs w:val="20"/>
          <w:color w:val="auto"/>
        </w:rPr>
      </w:pPr>
    </w:p>
    <w:p>
      <w:pPr>
        <w:ind w:left="200" w:right="20" w:firstLine="543"/>
        <w:spacing w:after="0" w:line="238"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Furthermore, UT Southwestern’s state-of-the art, GMP viral vector manufacturing facility consists of a full process development laboratory and 500 liter GMP suite with the capacity to support multiple preclinical and early clinical development efforts in parallel.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99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200" w:firstLine="543"/>
        <w:spacing w:after="0" w:line="237" w:lineRule="auto"/>
        <w:rPr>
          <w:sz w:val="20"/>
          <w:szCs w:val="20"/>
          <w:color w:val="auto"/>
        </w:rPr>
      </w:pPr>
      <w:r>
        <w:rPr>
          <w:rFonts w:ascii="Arial" w:cs="Arial" w:eastAsia="Arial" w:hAnsi="Arial"/>
          <w:sz w:val="18"/>
          <w:szCs w:val="18"/>
          <w:color w:val="auto"/>
        </w:rPr>
        <w:t>Collectively, UT Southwestern faculty members have received six Nobel Prizes, and the faculty includes 24 members of the National Academy of Sciences, 16 members of the National Academy of Medicine, and 13 Howard Hughes Medical Institute Investigators. The UT Southwestern Gene Therapy Program is led by Steven Gray, Ph.D., and Berge Minassian, M.D. Dr. Gray’s core expertise is in AAV-based gene therapy vector engineering and optimizing approaches to deliver therapeutic transgenes to the CNS. Dr. Minassian is a pediatric neurologist whose clinical specialties are epilepsy, neurodegenerative diseases and neurodevelopmental conditions.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26" w:lineRule="exact"/>
        <w:rPr>
          <w:sz w:val="20"/>
          <w:szCs w:val="20"/>
          <w:color w:val="auto"/>
        </w:rPr>
      </w:pPr>
    </w:p>
    <w:p>
      <w:pPr>
        <w:ind w:left="200" w:right="80" w:firstLine="543"/>
        <w:spacing w:after="0" w:line="274"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58" w:lineRule="exact"/>
        <w:rPr>
          <w:sz w:val="20"/>
          <w:szCs w:val="20"/>
          <w:color w:val="auto"/>
        </w:rPr>
      </w:pPr>
    </w:p>
    <w:p>
      <w:pPr>
        <w:ind w:left="940" w:right="300" w:hanging="206"/>
        <w:spacing w:after="0" w:line="24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and a consistent stream of new commercial product launches. To that end, we are focused on rapidly advancing our current pipeline of AAV9-based gene therapies while actively developing our next generation platforms to discover and develop additional product candidates.</w:t>
      </w:r>
    </w:p>
    <w:p>
      <w:pPr>
        <w:spacing w:after="0" w:line="79" w:lineRule="exact"/>
        <w:rPr>
          <w:rFonts w:ascii="Arial" w:cs="Arial" w:eastAsia="Arial" w:hAnsi="Arial"/>
          <w:sz w:val="18"/>
          <w:szCs w:val="18"/>
          <w:color w:val="auto"/>
        </w:rPr>
      </w:pPr>
    </w:p>
    <w:p>
      <w:pPr>
        <w:ind w:left="940" w:right="20" w:hanging="206"/>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also intend to conduct a Phase 1/2 clinical trial of TSHA-118 under a currently open IND. If our clinical trials are successful, we plan to discuss expedited regulatory approval strategies with regulatory authorities.</w:t>
      </w:r>
    </w:p>
    <w:p>
      <w:pPr>
        <w:spacing w:after="0" w:line="85" w:lineRule="exact"/>
        <w:rPr>
          <w:rFonts w:ascii="Arial" w:cs="Arial" w:eastAsia="Arial" w:hAnsi="Arial"/>
          <w:sz w:val="18"/>
          <w:szCs w:val="18"/>
          <w:color w:val="auto"/>
        </w:rPr>
      </w:pPr>
    </w:p>
    <w:p>
      <w:pPr>
        <w:ind w:left="940" w:right="100" w:hanging="206"/>
        <w:spacing w:after="0" w:line="244"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rapidly discover, develop and commercialize novel gene therapies.</w:t>
      </w:r>
    </w:p>
    <w:p>
      <w:pPr>
        <w:spacing w:after="0" w:line="81" w:lineRule="exact"/>
        <w:rPr>
          <w:rFonts w:ascii="Arial" w:cs="Arial" w:eastAsia="Arial" w:hAnsi="Arial"/>
          <w:sz w:val="18"/>
          <w:szCs w:val="18"/>
          <w:color w:val="auto"/>
        </w:rPr>
      </w:pPr>
    </w:p>
    <w:p>
      <w:pPr>
        <w:ind w:left="940" w:hanging="206"/>
        <w:spacing w:after="0" w:line="23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required to manufacture each product candidate. In addition, we intend to establish our own commercial scale GMP-compliant manufacturing facility to meet commercial demand if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40" w:right="120" w:hanging="206"/>
        <w:spacing w:after="0" w:line="24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 generation platform technologies. </w:t>
      </w:r>
      <w:r>
        <w:rPr>
          <w:rFonts w:ascii="Arial" w:cs="Arial" w:eastAsia="Arial" w:hAnsi="Arial"/>
          <w:sz w:val="18"/>
          <w:szCs w:val="18"/>
          <w:color w:val="auto"/>
        </w:rPr>
        <w:t>In addition to our pipeline of AAV9-based gene therapies,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79" w:lineRule="exact"/>
        <w:rPr>
          <w:rFonts w:ascii="Arial" w:cs="Arial" w:eastAsia="Arial" w:hAnsi="Arial"/>
          <w:sz w:val="18"/>
          <w:szCs w:val="18"/>
          <w:color w:val="auto"/>
        </w:rPr>
      </w:pPr>
    </w:p>
    <w:p>
      <w:pPr>
        <w:ind w:left="940" w:hanging="206"/>
        <w:spacing w:after="0" w:line="244"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joint venture 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126" w:lineRule="exact"/>
        <w:rPr>
          <w:sz w:val="20"/>
          <w:szCs w:val="20"/>
          <w:color w:val="auto"/>
        </w:rPr>
      </w:pPr>
    </w:p>
    <w:p>
      <w:pPr>
        <w:ind w:left="200" w:right="40" w:firstLine="543"/>
        <w:spacing w:after="0" w:line="238" w:lineRule="auto"/>
        <w:rPr>
          <w:sz w:val="20"/>
          <w:szCs w:val="20"/>
          <w:color w:val="auto"/>
        </w:rPr>
      </w:pPr>
      <w:r>
        <w:rPr>
          <w:rFonts w:ascii="Arial" w:cs="Arial" w:eastAsia="Arial" w:hAnsi="Arial"/>
          <w:sz w:val="18"/>
          <w:szCs w:val="18"/>
          <w:color w:val="auto"/>
        </w:rPr>
        <w:t>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spinal muscular atrophy Type 1 in infants.</w:t>
      </w:r>
    </w:p>
    <w:p>
      <w:pPr>
        <w:spacing w:after="0" w:line="205" w:lineRule="exact"/>
        <w:rPr>
          <w:sz w:val="20"/>
          <w:szCs w:val="20"/>
          <w:color w:val="auto"/>
        </w:rPr>
      </w:pPr>
    </w:p>
    <w:p>
      <w:pPr>
        <w:ind w:left="200" w:right="60" w:firstLine="543"/>
        <w:spacing w:after="0" w:line="236"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206" w:lineRule="exact"/>
        <w:rPr>
          <w:sz w:val="20"/>
          <w:szCs w:val="20"/>
          <w:color w:val="auto"/>
        </w:rPr>
      </w:pPr>
    </w:p>
    <w:p>
      <w:pPr>
        <w:ind w:left="200" w:right="20" w:firstLine="543"/>
        <w:spacing w:after="0" w:line="237"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to our optimized upstream and downstream process, since each of our product candidates differ primarily by their therapeutic transgene.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126" w:lineRule="exact"/>
        <w:rPr>
          <w:sz w:val="20"/>
          <w:szCs w:val="20"/>
          <w:color w:val="auto"/>
        </w:rPr>
      </w:pPr>
    </w:p>
    <w:p>
      <w:pPr>
        <w:ind w:left="200" w:right="180" w:firstLine="543"/>
        <w:spacing w:after="0" w:line="24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80" w:lineRule="exact"/>
        <w:rPr>
          <w:sz w:val="20"/>
          <w:szCs w:val="20"/>
          <w:color w:val="auto"/>
        </w:rPr>
      </w:pPr>
    </w:p>
    <w:p>
      <w:pPr>
        <w:ind w:left="940" w:right="60" w:hanging="206"/>
        <w:spacing w:after="0" w:line="253"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w:t>
      </w:r>
      <w:r>
        <w:rPr>
          <w:rFonts w:ascii="Arial" w:cs="Arial" w:eastAsia="Arial" w:hAnsi="Arial"/>
          <w:sz w:val="18"/>
          <w:szCs w:val="18"/>
          <w:b w:val="1"/>
          <w:bCs w:val="1"/>
          <w:color w:val="auto"/>
        </w:rPr>
        <w:t xml:space="preserve"> </w:t>
      </w:r>
      <w:r>
        <w:rPr>
          <w:rFonts w:ascii="Arial" w:cs="Arial" w:eastAsia="Arial" w:hAnsi="Arial"/>
          <w:sz w:val="18"/>
          <w:szCs w:val="18"/>
          <w:color w:val="auto"/>
        </w:rPr>
        <w:t>to loss-of-function mutations, we design our product candidates to replace the gene of interest. In general, these product candidates are comprised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850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180"/>
        <w:spacing w:after="0" w:line="246" w:lineRule="auto"/>
        <w:rPr>
          <w:sz w:val="20"/>
          <w:szCs w:val="20"/>
          <w:color w:val="auto"/>
        </w:rPr>
      </w:pPr>
      <w:r>
        <w:rPr>
          <w:rFonts w:ascii="Arial" w:cs="Arial" w:eastAsia="Arial" w:hAnsi="Arial"/>
          <w:sz w:val="18"/>
          <w:szCs w:val="18"/>
          <w:color w:val="auto"/>
        </w:rPr>
        <w:t>of a codon-optimized DNA transgene that encodes the wild type gene of interest, coupled with a promoter selected to ensure expression in the cell or tissue-type of interest.</w:t>
      </w:r>
    </w:p>
    <w:p>
      <w:pPr>
        <w:spacing w:after="0" w:line="80" w:lineRule="exact"/>
        <w:rPr>
          <w:sz w:val="20"/>
          <w:szCs w:val="20"/>
          <w:color w:val="auto"/>
        </w:rPr>
      </w:pPr>
    </w:p>
    <w:p>
      <w:pPr>
        <w:ind w:left="940" w:right="180" w:hanging="206"/>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90" w:lineRule="exact"/>
        <w:rPr>
          <w:rFonts w:ascii="Arial" w:cs="Arial" w:eastAsia="Arial" w:hAnsi="Arial"/>
          <w:sz w:val="18"/>
          <w:szCs w:val="18"/>
          <w:color w:val="auto"/>
        </w:rPr>
      </w:pPr>
    </w:p>
    <w:p>
      <w:pPr>
        <w:ind w:left="940" w:right="160" w:hanging="206"/>
        <w:spacing w:after="0" w:line="24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w:t>
      </w:r>
      <w:r>
        <w:rPr>
          <w:rFonts w:ascii="Arial" w:cs="Arial" w:eastAsia="Arial" w:hAnsi="Arial"/>
          <w:sz w:val="18"/>
          <w:szCs w:val="18"/>
          <w:b w:val="1"/>
          <w:bCs w:val="1"/>
          <w:color w:val="auto"/>
        </w:rPr>
        <w:t xml:space="preserve"> </w:t>
      </w:r>
      <w:r>
        <w:rPr>
          <w:rFonts w:ascii="Arial" w:cs="Arial" w:eastAsia="Arial" w:hAnsi="Arial"/>
          <w:sz w:val="18"/>
          <w:szCs w:val="18"/>
          <w:color w:val="auto"/>
        </w:rPr>
        <w:t>body 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79" w:lineRule="exact"/>
        <w:rPr>
          <w:rFonts w:ascii="Arial" w:cs="Arial" w:eastAsia="Arial" w:hAnsi="Arial"/>
          <w:sz w:val="18"/>
          <w:szCs w:val="18"/>
          <w:color w:val="auto"/>
        </w:rPr>
      </w:pPr>
    </w:p>
    <w:p>
      <w:pPr>
        <w:ind w:left="940" w:hanging="206"/>
        <w:spacing w:after="0" w:line="24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Next Generation Platform Technologies</w:t>
      </w:r>
    </w:p>
    <w:p>
      <w:pPr>
        <w:spacing w:after="0" w:line="126" w:lineRule="exact"/>
        <w:rPr>
          <w:sz w:val="20"/>
          <w:szCs w:val="20"/>
          <w:color w:val="auto"/>
        </w:rPr>
      </w:pPr>
    </w:p>
    <w:p>
      <w:pPr>
        <w:ind w:left="200" w:right="960" w:firstLine="543"/>
        <w:spacing w:after="0" w:line="24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28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26" w:lineRule="exact"/>
        <w:rPr>
          <w:sz w:val="20"/>
          <w:szCs w:val="20"/>
          <w:color w:val="auto"/>
        </w:rPr>
      </w:pPr>
    </w:p>
    <w:p>
      <w:pPr>
        <w:ind w:left="200" w:right="200" w:firstLine="543"/>
        <w:spacing w:after="0" w:line="23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205" w:lineRule="exact"/>
        <w:rPr>
          <w:sz w:val="20"/>
          <w:szCs w:val="20"/>
          <w:color w:val="auto"/>
        </w:rPr>
      </w:pPr>
    </w:p>
    <w:p>
      <w:pPr>
        <w:ind w:left="200" w:right="200" w:firstLine="543"/>
        <w:spacing w:after="0"/>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89"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26" w:lineRule="exact"/>
        <w:rPr>
          <w:sz w:val="20"/>
          <w:szCs w:val="20"/>
          <w:color w:val="auto"/>
        </w:rPr>
      </w:pPr>
    </w:p>
    <w:p>
      <w:pPr>
        <w:ind w:left="200" w:right="80" w:firstLine="543"/>
        <w:spacing w:after="0" w:line="238"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21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721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940"/>
        <w:spacing w:after="0" w:line="246" w:lineRule="auto"/>
        <w:rPr>
          <w:sz w:val="20"/>
          <w:szCs w:val="20"/>
          <w:color w:val="auto"/>
        </w:rPr>
      </w:pPr>
      <w:r>
        <w:rPr>
          <w:rFonts w:ascii="Arial" w:cs="Arial" w:eastAsia="Arial" w:hAnsi="Arial"/>
          <w:sz w:val="18"/>
          <w:szCs w:val="18"/>
          <w:color w:val="auto"/>
        </w:rPr>
        <w:t>Importantly, this built-in regulation system is fully endogenous, and therefore does not require any additional exogenous drug application.</w:t>
      </w:r>
    </w:p>
    <w:p>
      <w:pPr>
        <w:spacing w:after="0" w:line="28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26" w:lineRule="exact"/>
        <w:rPr>
          <w:sz w:val="20"/>
          <w:szCs w:val="20"/>
          <w:color w:val="auto"/>
        </w:rPr>
      </w:pPr>
    </w:p>
    <w:p>
      <w:pPr>
        <w:ind w:left="200" w:right="100" w:firstLine="543"/>
        <w:spacing w:after="0" w:line="23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sequencing analysis for high throughput characterization of these capsids.</w:t>
      </w:r>
    </w:p>
    <w:p>
      <w:pPr>
        <w:spacing w:after="0" w:line="205" w:lineRule="exact"/>
        <w:rPr>
          <w:sz w:val="20"/>
          <w:szCs w:val="20"/>
          <w:color w:val="auto"/>
        </w:rPr>
      </w:pPr>
    </w:p>
    <w:p>
      <w:pPr>
        <w:ind w:left="200" w:right="80" w:firstLine="543"/>
        <w:spacing w:after="0" w:line="24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26" w:lineRule="exact"/>
        <w:rPr>
          <w:sz w:val="20"/>
          <w:szCs w:val="20"/>
          <w:color w:val="auto"/>
        </w:rPr>
      </w:pPr>
    </w:p>
    <w:p>
      <w:pPr>
        <w:ind w:left="200" w:right="40" w:firstLine="543"/>
        <w:spacing w:after="0" w:line="236" w:lineRule="auto"/>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 Steven Gray, who serves as our Chief Scientific Advisor, and Dr. Berge Minassian, who serves as our Chief Medical Advisor,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 President, Chief Executive Officer and Founder. Since our inception, we have raised an aggregate of $126.0 million of gross proceeds from the sale of preferred stock, including from leading institutional and life science investors such as PBM Capital, certain funds managed by Fidelity Management &amp; Research Company LLC, Nolan Capital, GV (formerly Google Ventures), Invus, Casdin Capital, Franklin Templeton, Octagon Capital, Perceptive Advisors LLC, Sands Capital, ArrowMark Partners, Venrock Healthcare Capital Partners and other mutual fund and institutional investors.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26" w:lineRule="exact"/>
        <w:rPr>
          <w:sz w:val="20"/>
          <w:szCs w:val="20"/>
          <w:color w:val="auto"/>
        </w:rPr>
      </w:pPr>
    </w:p>
    <w:p>
      <w:pPr>
        <w:ind w:left="200" w:right="320" w:firstLine="543"/>
        <w:spacing w:after="0" w:line="246"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102" w:lineRule="exact"/>
        <w:rPr>
          <w:sz w:val="20"/>
          <w:szCs w:val="20"/>
          <w:color w:val="auto"/>
        </w:rPr>
      </w:pPr>
    </w:p>
    <w:p>
      <w:pPr>
        <w:ind w:left="940" w:right="120" w:hanging="206"/>
        <w:spacing w:after="0" w:line="24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08" w:lineRule="exact"/>
        <w:rPr>
          <w:rFonts w:ascii="Arial" w:cs="Arial" w:eastAsia="Arial" w:hAnsi="Arial"/>
          <w:sz w:val="18"/>
          <w:szCs w:val="18"/>
          <w:color w:val="auto"/>
        </w:rPr>
      </w:pPr>
    </w:p>
    <w:p>
      <w:pPr>
        <w:ind w:left="940" w:right="80" w:hanging="206"/>
        <w:spacing w:after="0" w:line="24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all of our product candidates are in preclinical development. If we are unable to successfully develop, receive regulatory approval for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spacing w:after="0" w:line="246" w:lineRule="auto"/>
        <w:rPr>
          <w:sz w:val="20"/>
          <w:szCs w:val="20"/>
          <w:color w:val="auto"/>
        </w:rPr>
      </w:pPr>
      <w:r>
        <w:rPr>
          <w:rFonts w:ascii="Arial" w:cs="Arial" w:eastAsia="Arial" w:hAnsi="Arial"/>
          <w:sz w:val="18"/>
          <w:szCs w:val="18"/>
          <w:color w:val="auto"/>
        </w:rPr>
        <w:t>commercialize our product candidates for these or any other indications, or successfully develop any other product candidates, or experience significant delays in doing so, our business will be harmed.</w:t>
      </w:r>
    </w:p>
    <w:p>
      <w:pPr>
        <w:spacing w:after="0" w:line="102" w:lineRule="exact"/>
        <w:rPr>
          <w:sz w:val="20"/>
          <w:szCs w:val="20"/>
          <w:color w:val="auto"/>
        </w:rPr>
      </w:pPr>
    </w:p>
    <w:p>
      <w:pPr>
        <w:jc w:val="both"/>
        <w:ind w:left="94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108" w:lineRule="exact"/>
        <w:rPr>
          <w:rFonts w:ascii="Arial" w:cs="Arial" w:eastAsia="Arial" w:hAnsi="Arial"/>
          <w:sz w:val="18"/>
          <w:szCs w:val="18"/>
          <w:color w:val="auto"/>
        </w:rPr>
      </w:pPr>
    </w:p>
    <w:p>
      <w:pPr>
        <w:ind w:left="940" w:right="8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108" w:lineRule="exact"/>
        <w:rPr>
          <w:rFonts w:ascii="Arial" w:cs="Arial" w:eastAsia="Arial" w:hAnsi="Arial"/>
          <w:sz w:val="18"/>
          <w:szCs w:val="18"/>
          <w:color w:val="auto"/>
        </w:rPr>
      </w:pPr>
    </w:p>
    <w:p>
      <w:pPr>
        <w:ind w:left="940" w:right="20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not yet tested any product candidates in clinical trials. Success in preclinical studies or earlier clinical trials may not be indicative of results in future clinical trials.</w:t>
      </w:r>
    </w:p>
    <w:p>
      <w:pPr>
        <w:spacing w:after="0" w:line="102" w:lineRule="exact"/>
        <w:rPr>
          <w:rFonts w:ascii="Arial" w:cs="Arial" w:eastAsia="Arial" w:hAnsi="Arial"/>
          <w:sz w:val="18"/>
          <w:szCs w:val="18"/>
          <w:color w:val="auto"/>
        </w:rPr>
      </w:pPr>
    </w:p>
    <w:p>
      <w:pPr>
        <w:ind w:left="940" w:right="36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 or our next-generation platform technologies.</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17" w:lineRule="exact"/>
        <w:rPr>
          <w:rFonts w:ascii="Arial" w:cs="Arial" w:eastAsia="Arial" w:hAnsi="Arial"/>
          <w:sz w:val="18"/>
          <w:szCs w:val="18"/>
          <w:color w:val="auto"/>
        </w:rPr>
      </w:pPr>
    </w:p>
    <w:p>
      <w:pPr>
        <w:ind w:left="940" w:right="28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02" w:lineRule="exact"/>
        <w:rPr>
          <w:rFonts w:ascii="Arial" w:cs="Arial" w:eastAsia="Arial" w:hAnsi="Arial"/>
          <w:sz w:val="18"/>
          <w:szCs w:val="18"/>
          <w:color w:val="auto"/>
        </w:rPr>
      </w:pPr>
    </w:p>
    <w:p>
      <w:pPr>
        <w:ind w:left="940" w:right="100" w:hanging="206"/>
        <w:spacing w:after="0" w:line="23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107" w:lineRule="exact"/>
        <w:rPr>
          <w:rFonts w:ascii="Arial" w:cs="Arial" w:eastAsia="Arial" w:hAnsi="Arial"/>
          <w:sz w:val="18"/>
          <w:szCs w:val="18"/>
          <w:color w:val="auto"/>
        </w:rPr>
      </w:pPr>
    </w:p>
    <w:p>
      <w:pPr>
        <w:ind w:left="940" w:right="78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102" w:lineRule="exact"/>
        <w:rPr>
          <w:rFonts w:ascii="Arial" w:cs="Arial" w:eastAsia="Arial" w:hAnsi="Arial"/>
          <w:sz w:val="18"/>
          <w:szCs w:val="18"/>
          <w:color w:val="auto"/>
        </w:rPr>
      </w:pPr>
    </w:p>
    <w:p>
      <w:pPr>
        <w:ind w:left="94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02" w:lineRule="exact"/>
        <w:rPr>
          <w:rFonts w:ascii="Arial" w:cs="Arial" w:eastAsia="Arial" w:hAnsi="Arial"/>
          <w:sz w:val="18"/>
          <w:szCs w:val="18"/>
          <w:color w:val="auto"/>
        </w:rPr>
      </w:pPr>
    </w:p>
    <w:p>
      <w:pPr>
        <w:ind w:left="940" w:right="100" w:hanging="206"/>
        <w:spacing w:after="0" w:line="23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We are aware of issued patent or patents issued to REGENXBIO Inc., or REGENX, that claim AAV vectors that have an AAV9 capsid serotype. If we commercialize any of our product candidates prior to the expiry of those patents in 2026 without a license, REGENX could bring an action claiming infringement.</w:t>
      </w:r>
    </w:p>
    <w:p>
      <w:pPr>
        <w:spacing w:after="0" w:line="110" w:lineRule="exact"/>
        <w:rPr>
          <w:rFonts w:ascii="Arial" w:cs="Arial" w:eastAsia="Arial" w:hAnsi="Arial"/>
          <w:sz w:val="18"/>
          <w:szCs w:val="18"/>
          <w:color w:val="auto"/>
        </w:rPr>
      </w:pPr>
    </w:p>
    <w:p>
      <w:pPr>
        <w:ind w:left="940" w:right="60" w:hanging="206"/>
        <w:spacing w:after="0" w:line="24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Implications of Being an Emerging Growth Company and a Smaller Reporting Company</w:t>
      </w:r>
    </w:p>
    <w:p>
      <w:pPr>
        <w:spacing w:after="0" w:line="126" w:lineRule="exact"/>
        <w:rPr>
          <w:sz w:val="20"/>
          <w:szCs w:val="20"/>
          <w:color w:val="auto"/>
        </w:rPr>
      </w:pPr>
    </w:p>
    <w:p>
      <w:pPr>
        <w:ind w:left="200" w:right="80" w:firstLine="543"/>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108" w:lineRule="exact"/>
        <w:rPr>
          <w:sz w:val="20"/>
          <w:szCs w:val="20"/>
          <w:color w:val="auto"/>
        </w:rPr>
      </w:pPr>
    </w:p>
    <w:p>
      <w:pPr>
        <w:ind w:left="940" w:right="580" w:hanging="206"/>
        <w:spacing w:after="0" w:line="24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only being required to present two years of audited financial statements, in addition to any required unaudited interim financial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36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940" w:right="580"/>
        <w:spacing w:after="0" w:line="246" w:lineRule="auto"/>
        <w:rPr>
          <w:sz w:val="20"/>
          <w:szCs w:val="20"/>
          <w:color w:val="auto"/>
        </w:rPr>
      </w:pPr>
      <w:r>
        <w:rPr>
          <w:rFonts w:ascii="Arial" w:cs="Arial" w:eastAsia="Arial" w:hAnsi="Arial"/>
          <w:sz w:val="18"/>
          <w:szCs w:val="18"/>
          <w:color w:val="auto"/>
        </w:rPr>
        <w:t>statements with correspondingly reduced “Management’s Discussion and Analysis of Financial Condition and Results of Operations” disclosure;</w:t>
      </w:r>
    </w:p>
    <w:p>
      <w:pPr>
        <w:spacing w:after="0" w:line="102" w:lineRule="exact"/>
        <w:rPr>
          <w:sz w:val="20"/>
          <w:szCs w:val="20"/>
          <w:color w:val="auto"/>
        </w:rPr>
      </w:pPr>
    </w:p>
    <w:p>
      <w:pPr>
        <w:ind w:left="940" w:right="18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102" w:lineRule="exact"/>
        <w:rPr>
          <w:rFonts w:ascii="Arial" w:cs="Arial" w:eastAsia="Arial" w:hAnsi="Arial"/>
          <w:sz w:val="18"/>
          <w:szCs w:val="18"/>
          <w:color w:val="auto"/>
        </w:rPr>
      </w:pPr>
    </w:p>
    <w:p>
      <w:pPr>
        <w:ind w:left="940" w:right="10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102" w:lineRule="exact"/>
        <w:rPr>
          <w:rFonts w:ascii="Arial" w:cs="Arial" w:eastAsia="Arial" w:hAnsi="Arial"/>
          <w:sz w:val="18"/>
          <w:szCs w:val="18"/>
          <w:color w:val="auto"/>
        </w:rPr>
      </w:pPr>
    </w:p>
    <w:p>
      <w:pPr>
        <w:ind w:left="940" w:right="48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102" w:lineRule="exact"/>
        <w:rPr>
          <w:rFonts w:ascii="Arial" w:cs="Arial" w:eastAsia="Arial" w:hAnsi="Arial"/>
          <w:sz w:val="18"/>
          <w:szCs w:val="18"/>
          <w:color w:val="auto"/>
        </w:rPr>
      </w:pPr>
    </w:p>
    <w:p>
      <w:pPr>
        <w:ind w:left="940" w:right="620" w:hanging="206"/>
        <w:spacing w:after="0" w:line="24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97" w:lineRule="exact"/>
        <w:rPr>
          <w:sz w:val="20"/>
          <w:szCs w:val="20"/>
          <w:color w:val="auto"/>
        </w:rPr>
      </w:pPr>
    </w:p>
    <w:p>
      <w:pPr>
        <w:ind w:left="200" w:right="60" w:firstLine="543"/>
        <w:spacing w:after="0" w:line="236" w:lineRule="auto"/>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U.S. Securities and Exchange Commission,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208" w:lineRule="exact"/>
        <w:rPr>
          <w:sz w:val="20"/>
          <w:szCs w:val="20"/>
          <w:color w:val="auto"/>
        </w:rPr>
      </w:pPr>
    </w:p>
    <w:p>
      <w:pPr>
        <w:ind w:left="200" w:firstLine="543"/>
        <w:spacing w:after="0" w:line="236"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207" w:lineRule="exact"/>
        <w:rPr>
          <w:sz w:val="20"/>
          <w:szCs w:val="20"/>
          <w:color w:val="auto"/>
        </w:rPr>
      </w:pPr>
    </w:p>
    <w:p>
      <w:pPr>
        <w:ind w:left="200" w:right="140" w:firstLine="543"/>
        <w:spacing w:after="0" w:line="248"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w:t>
      </w:r>
    </w:p>
    <w:p>
      <w:pPr>
        <w:spacing w:after="0" w:line="2"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332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3328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growth companies, smaller reporting companies have reduced disclosure obligations regarding executive compensation.</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26" w:lineRule="exact"/>
        <w:rPr>
          <w:sz w:val="20"/>
          <w:szCs w:val="20"/>
          <w:color w:val="auto"/>
        </w:rPr>
      </w:pPr>
    </w:p>
    <w:p>
      <w:pPr>
        <w:ind w:left="200" w:firstLine="543"/>
        <w:spacing w:after="0" w:line="257" w:lineRule="auto"/>
        <w:rPr>
          <w:sz w:val="20"/>
          <w:szCs w:val="20"/>
          <w:color w:val="auto"/>
        </w:rPr>
      </w:pPr>
      <w:r>
        <w:rPr>
          <w:rFonts w:ascii="Arial" w:cs="Arial" w:eastAsia="Arial" w:hAnsi="Arial"/>
          <w:sz w:val="17"/>
          <w:szCs w:val="17"/>
          <w:color w:val="auto"/>
        </w:rPr>
        <w:t xml:space="preserve">We were incorporated under the laws of the State of Texas in September 2019. In February 2020, we converted to a Delaware corporation. Our principal executive offices are located at 2280 Inwood Road, Dallas, Texas 75235 and our telephone number is (214) 612-0000. Our website address is </w:t>
      </w:r>
      <w:r>
        <w:rPr>
          <w:rFonts w:ascii="Arial" w:cs="Arial" w:eastAsia="Arial" w:hAnsi="Arial"/>
          <w:sz w:val="17"/>
          <w:szCs w:val="17"/>
          <w:i w:val="1"/>
          <w:iCs w:val="1"/>
          <w:color w:val="auto"/>
        </w:rPr>
        <w:t>www.tayshagtx.com</w:t>
      </w:r>
      <w:r>
        <w:rPr>
          <w:rFonts w:ascii="Arial" w:cs="Arial" w:eastAsia="Arial" w:hAnsi="Arial"/>
          <w:sz w:val="17"/>
          <w:szCs w:val="17"/>
          <w:color w:val="auto"/>
        </w:rPr>
        <w:t>. The information contained on, or accessible through, our website is not incorporated by reference into this prospectus. We have included our website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5661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66166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Underwriters’ option to purchase additional shares</w:t>
      </w:r>
    </w:p>
    <w:p>
      <w:pPr>
        <w:spacing w:after="0" w:line="266" w:lineRule="exact"/>
        <w:rPr>
          <w:sz w:val="20"/>
          <w:szCs w:val="20"/>
          <w:color w:val="auto"/>
        </w:rPr>
      </w:pPr>
    </w:p>
    <w:p>
      <w:pPr>
        <w:ind w:left="380" w:hanging="179"/>
        <w:spacing w:after="0" w:line="246"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Offering</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261" w:lineRule="exact"/>
        <w:rPr>
          <w:sz w:val="20"/>
          <w:szCs w:val="20"/>
          <w:color w:val="auto"/>
        </w:rPr>
      </w:pPr>
    </w:p>
    <w:p>
      <w:pPr>
        <w:ind w:left="640"/>
        <w:spacing w:after="0"/>
        <w:tabs>
          <w:tab w:leader="none" w:pos="228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 underwriters exercise in full their</w:t>
      </w:r>
    </w:p>
    <w:p>
      <w:pPr>
        <w:spacing w:after="0"/>
        <w:rPr>
          <w:sz w:val="20"/>
          <w:szCs w:val="20"/>
          <w:color w:val="auto"/>
        </w:rPr>
      </w:pPr>
      <w:r>
        <w:rPr>
          <w:rFonts w:ascii="Arial" w:cs="Arial" w:eastAsia="Arial" w:hAnsi="Arial"/>
          <w:sz w:val="18"/>
          <w:szCs w:val="18"/>
          <w:color w:val="auto"/>
        </w:rPr>
        <w:t>option to purchase additional 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this offering will be approximately</w:t>
      </w:r>
    </w:p>
    <w:p>
      <w:pPr>
        <w:spacing w:after="0" w:line="234" w:lineRule="auto"/>
        <w:tabs>
          <w:tab w:leader="none" w:pos="920" w:val="left"/>
          <w:tab w:leader="none" w:pos="3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8"/>
          <w:szCs w:val="18"/>
          <w:color w:val="auto"/>
        </w:rPr>
        <w:t>million if the underwriters</w:t>
      </w:r>
    </w:p>
    <w:p>
      <w:pPr>
        <w:spacing w:after="0"/>
        <w:tabs>
          <w:tab w:leader="none" w:pos="4360" w:val="left"/>
        </w:tabs>
        <w:rPr>
          <w:sz w:val="20"/>
          <w:szCs w:val="20"/>
          <w:color w:val="auto"/>
        </w:rPr>
      </w:pPr>
      <w:r>
        <w:rPr>
          <w:rFonts w:ascii="Arial" w:cs="Arial" w:eastAsia="Arial" w:hAnsi="Arial"/>
          <w:sz w:val="18"/>
          <w:szCs w:val="18"/>
          <w:color w:val="auto"/>
        </w:rPr>
        <w:t>exercise in full their option to purchase up to</w:t>
      </w:r>
      <w:r>
        <w:rPr>
          <w:sz w:val="20"/>
          <w:szCs w:val="20"/>
          <w:color w:val="auto"/>
        </w:rPr>
        <w:tab/>
      </w:r>
      <w:r>
        <w:rPr>
          <w:rFonts w:ascii="Arial" w:cs="Arial" w:eastAsia="Arial" w:hAnsi="Arial"/>
          <w:sz w:val="17"/>
          <w:szCs w:val="17"/>
          <w:color w:val="auto"/>
        </w:rPr>
        <w:t>additional shares of</w:t>
      </w:r>
    </w:p>
    <w:p>
      <w:pPr>
        <w:spacing w:after="0"/>
        <w:tabs>
          <w:tab w:leader="none" w:pos="5580" w:val="left"/>
        </w:tabs>
        <w:rPr>
          <w:sz w:val="20"/>
          <w:szCs w:val="20"/>
          <w:color w:val="auto"/>
        </w:rPr>
      </w:pPr>
      <w:r>
        <w:rPr>
          <w:rFonts w:ascii="Arial" w:cs="Arial" w:eastAsia="Arial" w:hAnsi="Arial"/>
          <w:sz w:val="18"/>
          <w:szCs w:val="18"/>
          <w:color w:val="auto"/>
        </w:rPr>
        <w:t>common stock), assuming an initial public offering price of $</w:t>
      </w:r>
      <w:r>
        <w:rPr>
          <w:sz w:val="20"/>
          <w:szCs w:val="20"/>
          <w:color w:val="auto"/>
        </w:rPr>
        <w:tab/>
      </w:r>
      <w:r>
        <w:rPr>
          <w:rFonts w:ascii="Arial" w:cs="Arial" w:eastAsia="Arial" w:hAnsi="Arial"/>
          <w:sz w:val="17"/>
          <w:szCs w:val="17"/>
          <w:color w:val="auto"/>
        </w:rPr>
        <w:t>per</w:t>
      </w:r>
    </w:p>
    <w:p>
      <w:pPr>
        <w:ind w:right="200"/>
        <w:spacing w:after="0"/>
        <w:rPr>
          <w:sz w:val="20"/>
          <w:szCs w:val="20"/>
          <w:color w:val="auto"/>
        </w:rPr>
      </w:pPr>
      <w:r>
        <w:rPr>
          <w:rFonts w:ascii="Arial" w:cs="Arial" w:eastAsia="Arial" w:hAnsi="Arial"/>
          <w:sz w:val="18"/>
          <w:szCs w:val="18"/>
          <w:color w:val="auto"/>
        </w:rPr>
        <w:t>share, which is the midpoint of the price range set forth on the cover page of this prospectus, after deducting the estimated underwriting discounts and commissions and estimated offering expenses payable by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intend to use the net proceeds from this offering, together with</w:t>
      </w:r>
    </w:p>
    <w:p>
      <w:pPr>
        <w:ind w:right="240"/>
        <w:spacing w:after="0"/>
        <w:rPr>
          <w:sz w:val="20"/>
          <w:szCs w:val="20"/>
          <w:color w:val="auto"/>
        </w:rPr>
      </w:pPr>
      <w:r>
        <w:rPr>
          <w:rFonts w:ascii="Arial" w:cs="Arial" w:eastAsia="Arial" w:hAnsi="Arial"/>
          <w:sz w:val="18"/>
          <w:szCs w:val="18"/>
          <w:color w:val="auto"/>
        </w:rPr>
        <w:t>our existing cash and cash equivalents, to and the remainder for working capital and other general corporate purposes. See the section titled “Use of Proceeds” beginning for additional information.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should read the section titled “Risk Factors” for a discussion of factors you should consider carefully, together with all the other information included in this prospectus, before deciding to invest in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“TSHA”</w:t>
      </w:r>
    </w:p>
    <w:p>
      <w:pPr>
        <w:spacing w:after="0" w:line="200" w:lineRule="exact"/>
        <w:rPr>
          <w:sz w:val="20"/>
          <w:szCs w:val="20"/>
          <w:color w:val="auto"/>
        </w:rPr>
      </w:pPr>
    </w:p>
    <w:p>
      <w:pPr>
        <w:sectPr>
          <w:pgSz w:w="11900" w:h="16838" w:orient="portrait"/>
          <w:cols w:equalWidth="0" w:num="2">
            <w:col w:w="4580" w:space="180"/>
            <w:col w:w="6260"/>
          </w:cols>
          <w:pgMar w:left="320" w:top="459" w:right="559" w:bottom="1440" w:gutter="0" w:footer="0" w:header="0"/>
          <w:type w:val="continuous"/>
        </w:sectPr>
      </w:pPr>
    </w:p>
    <w:p>
      <w:pPr>
        <w:spacing w:after="0" w:line="12" w:lineRule="exact"/>
        <w:rPr>
          <w:sz w:val="20"/>
          <w:szCs w:val="20"/>
          <w:color w:val="auto"/>
        </w:rPr>
      </w:pPr>
    </w:p>
    <w:p>
      <w:pPr>
        <w:ind w:left="200" w:right="60" w:firstLine="543"/>
        <w:spacing w:after="0" w:line="238" w:lineRule="auto"/>
        <w:rPr>
          <w:sz w:val="20"/>
          <w:szCs w:val="20"/>
          <w:color w:val="auto"/>
        </w:rPr>
      </w:pPr>
      <w:r>
        <w:rPr>
          <w:rFonts w:ascii="Arial" w:cs="Arial" w:eastAsia="Arial" w:hAnsi="Arial"/>
          <w:sz w:val="18"/>
          <w:szCs w:val="18"/>
          <w:color w:val="auto"/>
        </w:rPr>
        <w:t>The number of shares of our common stock to be outstanding after this offering is based on 25,647,048 shares of our common stock outstanding as of June 30, 2020, after giving effect to the conversion of all outstanding shares of our convertible preferred stock, including the convertible preferred stock issued in July and August 2020, into an aggregate of 15,647,048 shares of common stock, and excludes:</w:t>
      </w:r>
    </w:p>
    <w:p>
      <w:pPr>
        <w:spacing w:after="0" w:line="110" w:lineRule="exact"/>
        <w:rPr>
          <w:sz w:val="20"/>
          <w:szCs w:val="20"/>
          <w:color w:val="auto"/>
        </w:rPr>
      </w:pPr>
    </w:p>
    <w:p>
      <w:pPr>
        <w:ind w:left="940" w:right="640" w:hanging="206"/>
        <w:spacing w:after="0" w:line="24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15,000 shares of our common stock issuable upon the exercise of options under our 2020 Equity Incentive Plan, or the Existing Plan, granted subsequent to June 30, 2020, at an exercise price of $16.23 per share;</w:t>
      </w:r>
    </w:p>
    <w:p>
      <w:pPr>
        <w:spacing w:after="0" w:line="102"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705,882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940" w:right="660" w:hanging="206"/>
        <w:spacing w:after="0" w:line="24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2,615,935 shares of common stock issuable upon the vesting of restricted stock units awarded under the Existing Plan subsequent to June 30, 2020;</w:t>
      </w:r>
    </w:p>
    <w:p>
      <w:pPr>
        <w:spacing w:after="0" w:line="102" w:lineRule="exact"/>
        <w:rPr>
          <w:rFonts w:ascii="Arial" w:cs="Arial" w:eastAsia="Arial" w:hAnsi="Arial"/>
          <w:sz w:val="18"/>
          <w:szCs w:val="18"/>
          <w:color w:val="auto"/>
        </w:rPr>
      </w:pPr>
    </w:p>
    <w:p>
      <w:pPr>
        <w:ind w:left="940" w:right="8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192,595 shares of our common stock reserved for future issuance under the Existing Plan, which shares will cease to be available for issuance at the time our 2020 Stock Incentive Plan, or the New Plan becomes effective and will be added to, and become available for issuance under, the New Plan;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320" w:top="459" w:right="5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68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6873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600" w:hanging="866"/>
        <w:spacing w:after="0"/>
        <w:tabs>
          <w:tab w:leader="none" w:pos="1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New Plan, which will become effective in</w:t>
      </w:r>
    </w:p>
    <w:p>
      <w:pPr>
        <w:ind w:left="940" w:right="80"/>
        <w:spacing w:after="0" w:line="246" w:lineRule="auto"/>
        <w:rPr>
          <w:rFonts w:ascii="Arial" w:cs="Arial" w:eastAsia="Arial" w:hAnsi="Arial"/>
          <w:sz w:val="18"/>
          <w:szCs w:val="18"/>
          <w:color w:val="auto"/>
        </w:rPr>
      </w:pPr>
      <w:r>
        <w:rPr>
          <w:rFonts w:ascii="Arial" w:cs="Arial" w:eastAsia="Arial" w:hAnsi="Arial"/>
          <w:sz w:val="18"/>
          <w:szCs w:val="18"/>
          <w:color w:val="auto"/>
        </w:rPr>
        <w:t>connection with this offering, as well as any automatic increases in the number of shares of common stock reserved for future issuance under the New Plan; and</w:t>
      </w:r>
    </w:p>
    <w:p>
      <w:pPr>
        <w:spacing w:after="0" w:line="102" w:lineRule="exact"/>
        <w:rPr>
          <w:rFonts w:ascii="Arial" w:cs="Arial" w:eastAsia="Arial" w:hAnsi="Arial"/>
          <w:sz w:val="18"/>
          <w:szCs w:val="18"/>
          <w:color w:val="auto"/>
        </w:rPr>
      </w:pPr>
    </w:p>
    <w:p>
      <w:pPr>
        <w:ind w:left="940" w:right="40" w:hanging="206"/>
        <w:spacing w:after="0"/>
        <w:tabs>
          <w:tab w:leader="none" w:pos="15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2020 Employee Stock Purchase Plan, or the ESPP, which will become effective in connection with this offering, as well as any automatic increases in the number of shares of common stock reserved for future issuance under the ESPP.</w:t>
      </w:r>
    </w:p>
    <w:p>
      <w:pPr>
        <w:spacing w:after="0" w:line="203" w:lineRule="exact"/>
        <w:rPr>
          <w:sz w:val="20"/>
          <w:szCs w:val="20"/>
          <w:color w:val="auto"/>
        </w:rPr>
      </w:pPr>
    </w:p>
    <w:p>
      <w:pPr>
        <w:ind w:left="200" w:firstLine="543"/>
        <w:spacing w:after="0" w:line="246"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102" w:lineRule="exact"/>
        <w:rPr>
          <w:sz w:val="20"/>
          <w:szCs w:val="20"/>
          <w:color w:val="auto"/>
        </w:rPr>
      </w:pPr>
    </w:p>
    <w:p>
      <w:pPr>
        <w:ind w:left="940" w:right="700" w:hanging="206"/>
        <w:spacing w:after="0" w:line="246"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on a one-for-one basis into an aggregate of 15,647,048 shares of our common stock, which will occur upon the closing of this offering;</w:t>
      </w:r>
    </w:p>
    <w:p>
      <w:pPr>
        <w:spacing w:after="0" w:line="102" w:lineRule="exact"/>
        <w:rPr>
          <w:sz w:val="20"/>
          <w:szCs w:val="20"/>
          <w:color w:val="auto"/>
        </w:rPr>
      </w:pPr>
    </w:p>
    <w:p>
      <w:pPr>
        <w:ind w:left="740"/>
        <w:spacing w:after="0"/>
        <w:tabs>
          <w:tab w:leader="none" w:pos="920" w:val="left"/>
          <w:tab w:leader="none" w:pos="1880" w:val="left"/>
          <w:tab w:leader="none" w:pos="3000" w:val="left"/>
          <w:tab w:leader="none" w:pos="72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stock split of our common stock effected on</w:t>
      </w:r>
      <w:r>
        <w:rPr>
          <w:sz w:val="20"/>
          <w:szCs w:val="20"/>
          <w:color w:val="auto"/>
        </w:rPr>
        <w:tab/>
      </w:r>
      <w:r>
        <w:rPr>
          <w:rFonts w:ascii="Arial" w:cs="Arial" w:eastAsia="Arial" w:hAnsi="Arial"/>
          <w:sz w:val="13"/>
          <w:szCs w:val="13"/>
          <w:color w:val="auto"/>
        </w:rPr>
        <w:t>;</w:t>
      </w:r>
    </w:p>
    <w:p>
      <w:pPr>
        <w:spacing w:after="0" w:line="117" w:lineRule="exact"/>
        <w:rPr>
          <w:sz w:val="20"/>
          <w:szCs w:val="20"/>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June 30, 2020; and</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84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left="200" w:right="100" w:firstLine="543"/>
        <w:spacing w:after="0" w:line="236" w:lineRule="auto"/>
        <w:rPr>
          <w:sz w:val="20"/>
          <w:szCs w:val="20"/>
          <w:color w:val="auto"/>
        </w:rPr>
      </w:pPr>
      <w:r>
        <w:rPr>
          <w:rFonts w:ascii="Arial" w:cs="Arial" w:eastAsia="Arial" w:hAnsi="Arial"/>
          <w:sz w:val="18"/>
          <w:szCs w:val="18"/>
          <w:color w:val="auto"/>
        </w:rPr>
        <w:t>The following tables set forth our summary statement of operations data for the period from September 20, 2019 (the date of our inception) through December 31, 2019. We have derived the statement of operations data for the period from September 20, 2019 (the date of our inception) through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208" w:lineRule="exact"/>
        <w:rPr>
          <w:sz w:val="20"/>
          <w:szCs w:val="20"/>
          <w:color w:val="auto"/>
        </w:rPr>
      </w:pPr>
    </w:p>
    <w:p>
      <w:pPr>
        <w:ind w:left="200" w:right="100" w:firstLine="543"/>
        <w:spacing w:after="0" w:line="238" w:lineRule="auto"/>
        <w:rPr>
          <w:sz w:val="20"/>
          <w:szCs w:val="20"/>
          <w:color w:val="auto"/>
        </w:rPr>
      </w:pPr>
      <w:r>
        <w:rPr>
          <w:rFonts w:ascii="Arial" w:cs="Arial" w:eastAsia="Arial" w:hAnsi="Arial"/>
          <w:sz w:val="18"/>
          <w:szCs w:val="18"/>
          <w:color w:val="auto"/>
        </w:rPr>
        <w:t>You should read the following summary financial data together with our financial statements and the related notes thereto included elsewhere in this prospectus and the sections of this prospectus titled “Selected Financial Data” and “Management’s Discussion and Analysis of Financial Condition and Results of Operations.”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Period from September 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2019 (Date of Inception)</w:t>
            </w:r>
          </w:p>
        </w:tc>
        <w:tc>
          <w:tcPr>
            <w:tcW w:w="5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620" w:type="dxa"/>
            <w:vAlign w:val="bottom"/>
          </w:tcPr>
          <w:p>
            <w:pPr>
              <w:spacing w:after="0"/>
              <w:rPr>
                <w:sz w:val="17"/>
                <w:szCs w:val="17"/>
                <w:color w:val="auto"/>
              </w:rPr>
            </w:pP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(1,115)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expense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400" w:type="dxa"/>
            <w:vAlign w:val="bottom"/>
            <w:gridSpan w:val="2"/>
          </w:tcPr>
          <w:p>
            <w:pPr>
              <w:jc w:val="right"/>
              <w:ind w:right="560"/>
              <w:spacing w:after="0"/>
              <w:rPr>
                <w:sz w:val="20"/>
                <w:szCs w:val="20"/>
                <w:color w:val="auto"/>
              </w:rPr>
            </w:pPr>
            <w:r>
              <w:rPr>
                <w:rFonts w:ascii="Arial" w:cs="Arial" w:eastAsia="Arial" w:hAnsi="Arial"/>
                <w:sz w:val="18"/>
                <w:szCs w:val="18"/>
                <w:color w:val="auto"/>
              </w:rPr>
              <w:t>(1,115)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(0.13)</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8,834,951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common share, basic and diluted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(unaudited)(1)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58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used in computing pro</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160"/>
              <w:spacing w:after="0" w:line="203" w:lineRule="exact"/>
              <w:rPr>
                <w:sz w:val="20"/>
                <w:szCs w:val="20"/>
                <w:color w:val="auto"/>
              </w:rPr>
            </w:pPr>
            <w:r>
              <w:rPr>
                <w:rFonts w:ascii="Arial" w:cs="Arial" w:eastAsia="Arial" w:hAnsi="Arial"/>
                <w:sz w:val="18"/>
                <w:szCs w:val="18"/>
                <w:color w:val="auto"/>
              </w:rPr>
              <w:t>forma net loss per share (unaudited)(1)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13,924,176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400" w:hanging="5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appearing elsewhere in this prospectus for an explanation of the method used to calculate historical and pro forma net loss per share and historical and pro forma weighted average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58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5815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 2020</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tcPr>
          <w:p>
            <w:pPr>
              <w:jc w:val="right"/>
              <w:ind w:right="655"/>
              <w:spacing w:after="0" w:line="143" w:lineRule="exact"/>
              <w:rPr>
                <w:sz w:val="20"/>
                <w:szCs w:val="20"/>
                <w:color w:val="auto"/>
              </w:rPr>
            </w:pPr>
            <w:r>
              <w:rPr>
                <w:rFonts w:ascii="Arial" w:cs="Arial" w:eastAsia="Arial" w:hAnsi="Arial"/>
                <w:sz w:val="14"/>
                <w:szCs w:val="14"/>
                <w:b w:val="1"/>
                <w:bCs w:val="1"/>
                <w:color w:val="auto"/>
              </w:rPr>
              <w:t>Pro</w:t>
            </w:r>
          </w:p>
        </w:tc>
        <w:tc>
          <w:tcPr>
            <w:tcW w:w="1100" w:type="dxa"/>
            <w:vAlign w:val="bottom"/>
          </w:tcPr>
          <w:p>
            <w:pPr>
              <w:ind w:left="22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5"/>
        </w:trPr>
        <w:tc>
          <w:tcPr>
            <w:tcW w:w="4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Arial" w:cs="Arial" w:eastAsia="Arial" w:hAnsi="Arial"/>
                <w:sz w:val="14"/>
                <w:szCs w:val="14"/>
                <w:b w:val="1"/>
                <w:bCs w:val="1"/>
                <w:color w:val="auto"/>
              </w:rPr>
              <w:t>Actual</w:t>
            </w:r>
          </w:p>
        </w:tc>
        <w:tc>
          <w:tcPr>
            <w:tcW w:w="1540" w:type="dxa"/>
            <w:vAlign w:val="bottom"/>
          </w:tcPr>
          <w:p>
            <w:pPr>
              <w:jc w:val="right"/>
              <w:ind w:right="475"/>
              <w:spacing w:after="0"/>
              <w:rPr>
                <w:sz w:val="20"/>
                <w:szCs w:val="20"/>
                <w:color w:val="auto"/>
              </w:rPr>
            </w:pPr>
            <w:r>
              <w:rPr>
                <w:rFonts w:ascii="Arial" w:cs="Arial" w:eastAsia="Arial" w:hAnsi="Arial"/>
                <w:sz w:val="14"/>
                <w:szCs w:val="14"/>
                <w:b w:val="1"/>
                <w:bCs w:val="1"/>
                <w:color w:val="auto"/>
              </w:rPr>
              <w:t>Forma(1)</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Adjusted(2)</w:t>
            </w:r>
          </w:p>
        </w:tc>
      </w:tr>
      <w:tr>
        <w:trPr>
          <w:trHeight w:val="183"/>
        </w:trPr>
        <w:tc>
          <w:tcPr>
            <w:tcW w:w="4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2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$ 11,200</w:t>
            </w:r>
          </w:p>
        </w:tc>
        <w:tc>
          <w:tcPr>
            <w:tcW w:w="154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$118,252</w:t>
            </w:r>
          </w:p>
        </w:tc>
        <w:tc>
          <w:tcPr>
            <w:tcW w:w="11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Working (deficit) capital(3)</w:t>
            </w:r>
          </w:p>
        </w:tc>
        <w:tc>
          <w:tcPr>
            <w:tcW w:w="32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(8,791)</w:t>
            </w:r>
          </w:p>
        </w:tc>
        <w:tc>
          <w:tcPr>
            <w:tcW w:w="1540" w:type="dxa"/>
            <w:vAlign w:val="bottom"/>
          </w:tcPr>
          <w:p>
            <w:pPr>
              <w:jc w:val="right"/>
              <w:ind w:right="395"/>
              <w:spacing w:after="0" w:line="202" w:lineRule="exact"/>
              <w:rPr>
                <w:sz w:val="20"/>
                <w:szCs w:val="20"/>
                <w:color w:val="auto"/>
              </w:rPr>
            </w:pPr>
            <w:r>
              <w:rPr>
                <w:rFonts w:ascii="Arial" w:cs="Arial" w:eastAsia="Arial" w:hAnsi="Arial"/>
                <w:sz w:val="18"/>
                <w:szCs w:val="18"/>
                <w:color w:val="auto"/>
              </w:rPr>
              <w:t>115,437</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2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11,318</w:t>
            </w:r>
          </w:p>
        </w:tc>
        <w:tc>
          <w:tcPr>
            <w:tcW w:w="154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118,370</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2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17,176</w:t>
            </w:r>
          </w:p>
        </w:tc>
        <w:tc>
          <w:tcPr>
            <w:tcW w:w="1540" w:type="dxa"/>
            <w:vAlign w:val="bottom"/>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24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18,014</w:t>
            </w:r>
          </w:p>
        </w:tc>
        <w:tc>
          <w:tcPr>
            <w:tcW w:w="154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(27,766)</w:t>
            </w:r>
          </w:p>
        </w:tc>
        <w:tc>
          <w:tcPr>
            <w:tcW w:w="1540" w:type="dxa"/>
            <w:vAlign w:val="bottom"/>
          </w:tcPr>
          <w:p>
            <w:pPr>
              <w:jc w:val="right"/>
              <w:ind w:right="335"/>
              <w:spacing w:after="0" w:line="202" w:lineRule="exact"/>
              <w:rPr>
                <w:sz w:val="20"/>
                <w:szCs w:val="20"/>
                <w:color w:val="auto"/>
              </w:rPr>
            </w:pPr>
            <w:r>
              <w:rPr>
                <w:rFonts w:ascii="Arial" w:cs="Arial" w:eastAsia="Arial" w:hAnsi="Arial"/>
                <w:sz w:val="18"/>
                <w:szCs w:val="18"/>
                <w:color w:val="auto"/>
              </w:rPr>
              <w:t>(27,766)</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32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(26,786)</w:t>
            </w:r>
          </w:p>
        </w:tc>
        <w:tc>
          <w:tcPr>
            <w:tcW w:w="154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115,456</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740" w:right="60" w:hanging="546"/>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 forma column reflects (i) the receipt of $107.1 million in aggregate net proceeds from the issuance and sale of our Series A and Series B convertible preferred stock in July and August 2020 and the related settlement of the convertible preferred stock tranche liability and (ii) the conversion of all of the outstanding preferred shares of our convertible preferred stock into an aggregate of 15,647,048 shares of our common stock upon completion of this offering, including the conversion of 3,800,000 shares of Series A convertible preferred stock issued in July 2020 and 5,647,048 shares of Series B convertible preferred stock issued in July and August 2020, as if such conversion had occurred on June 30, 2020.</w:t>
      </w:r>
    </w:p>
    <w:tbl>
      <w:tblPr>
        <w:tblLayout w:type="fixed"/>
        <w:tblInd w:w="200" w:type="dxa"/>
        <w:tblCellMar>
          <w:top w:w="0" w:type="dxa"/>
          <w:left w:w="0" w:type="dxa"/>
          <w:bottom w:w="0" w:type="dxa"/>
          <w:right w:w="0" w:type="dxa"/>
        </w:tblCellMar>
      </w:tblPr>
      <w:tr>
        <w:trPr>
          <w:trHeight w:val="207"/>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90"/>
              </w:rPr>
              <w:t>(2)</w:t>
            </w:r>
          </w:p>
        </w:tc>
        <w:tc>
          <w:tcPr>
            <w:tcW w:w="8580" w:type="dxa"/>
            <w:vAlign w:val="bottom"/>
            <w:gridSpan w:val="4"/>
          </w:tcPr>
          <w:p>
            <w:pPr>
              <w:ind w:left="160"/>
              <w:spacing w:after="0"/>
              <w:rPr>
                <w:sz w:val="20"/>
                <w:szCs w:val="20"/>
                <w:color w:val="auto"/>
              </w:rPr>
            </w:pPr>
            <w:r>
              <w:rPr>
                <w:rFonts w:ascii="Arial" w:cs="Arial" w:eastAsia="Arial" w:hAnsi="Arial"/>
                <w:sz w:val="18"/>
                <w:szCs w:val="18"/>
                <w:color w:val="auto"/>
              </w:rPr>
              <w:t>The pro forma as adjusted column reflects the pro forma adjustments set forth above and the sale of</w:t>
            </w:r>
          </w:p>
        </w:tc>
        <w:tc>
          <w:tcPr>
            <w:tcW w:w="1880" w:type="dxa"/>
            <w:vAlign w:val="bottom"/>
          </w:tcPr>
          <w:p>
            <w:pPr>
              <w:ind w:left="440"/>
              <w:spacing w:after="0"/>
              <w:rPr>
                <w:sz w:val="20"/>
                <w:szCs w:val="20"/>
                <w:color w:val="auto"/>
              </w:rPr>
            </w:pPr>
            <w:r>
              <w:rPr>
                <w:rFonts w:ascii="Arial" w:cs="Arial" w:eastAsia="Arial" w:hAnsi="Arial"/>
                <w:sz w:val="18"/>
                <w:szCs w:val="18"/>
                <w:color w:val="auto"/>
              </w:rPr>
              <w:t>shares of</w:t>
            </w:r>
          </w:p>
        </w:tc>
      </w:tr>
      <w:tr>
        <w:trPr>
          <w:trHeight w:val="203"/>
        </w:trPr>
        <w:tc>
          <w:tcPr>
            <w:tcW w:w="380" w:type="dxa"/>
            <w:vAlign w:val="bottom"/>
          </w:tcPr>
          <w:p>
            <w:pPr>
              <w:spacing w:after="0"/>
              <w:rPr>
                <w:sz w:val="17"/>
                <w:szCs w:val="17"/>
                <w:color w:val="auto"/>
              </w:rPr>
            </w:pPr>
          </w:p>
        </w:tc>
        <w:tc>
          <w:tcPr>
            <w:tcW w:w="65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common stock in this offering at an assumed initial public offering price of $</w:t>
            </w:r>
          </w:p>
        </w:tc>
        <w:tc>
          <w:tcPr>
            <w:tcW w:w="390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99"/>
              </w:rPr>
              <w:t>per share, which is the midpoint of the price</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range set forth on the cover page of this prospectus, after deducting estimated underwriting fees and commissions and estimated</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offering expenses payable by us. This pro forma as adjusted information is illustrative only and will depend on the actual initial</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public offering price and other terms of this offering determined at pricing. Each $1.00 increase or decrease in the assumed initial</w:t>
            </w:r>
          </w:p>
        </w:tc>
      </w:tr>
      <w:tr>
        <w:trPr>
          <w:trHeight w:val="203"/>
        </w:trPr>
        <w:tc>
          <w:tcPr>
            <w:tcW w:w="380" w:type="dxa"/>
            <w:vAlign w:val="bottom"/>
          </w:tcPr>
          <w:p>
            <w:pPr>
              <w:spacing w:after="0"/>
              <w:rPr>
                <w:sz w:val="17"/>
                <w:szCs w:val="17"/>
                <w:color w:val="auto"/>
              </w:rPr>
            </w:pPr>
          </w:p>
        </w:tc>
        <w:tc>
          <w:tcPr>
            <w:tcW w:w="2460" w:type="dxa"/>
            <w:vAlign w:val="bottom"/>
          </w:tcPr>
          <w:p>
            <w:pPr>
              <w:ind w:left="160"/>
              <w:spacing w:after="0" w:line="202" w:lineRule="exact"/>
              <w:rPr>
                <w:sz w:val="20"/>
                <w:szCs w:val="20"/>
                <w:color w:val="auto"/>
              </w:rPr>
            </w:pPr>
            <w:r>
              <w:rPr>
                <w:rFonts w:ascii="Arial" w:cs="Arial" w:eastAsia="Arial" w:hAnsi="Arial"/>
                <w:sz w:val="18"/>
                <w:szCs w:val="18"/>
                <w:color w:val="auto"/>
              </w:rPr>
              <w:t>public offering price of $</w:t>
            </w:r>
          </w:p>
        </w:tc>
        <w:tc>
          <w:tcPr>
            <w:tcW w:w="800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per share, which is the midpoint of the price range set forth on the cover page of this</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prospectus, would increase or decrease the pro forma as adjusted amount of each of cash and cash equivalents, working capital,</w:t>
            </w:r>
          </w:p>
        </w:tc>
      </w:tr>
      <w:tr>
        <w:trPr>
          <w:trHeight w:val="203"/>
        </w:trPr>
        <w:tc>
          <w:tcPr>
            <w:tcW w:w="380" w:type="dxa"/>
            <w:vAlign w:val="bottom"/>
          </w:tcPr>
          <w:p>
            <w:pPr>
              <w:spacing w:after="0"/>
              <w:rPr>
                <w:sz w:val="17"/>
                <w:szCs w:val="17"/>
                <w:color w:val="auto"/>
              </w:rPr>
            </w:pPr>
          </w:p>
        </w:tc>
        <w:tc>
          <w:tcPr>
            <w:tcW w:w="42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total assets and total stockholders’ equity by $</w:t>
            </w:r>
          </w:p>
        </w:tc>
        <w:tc>
          <w:tcPr>
            <w:tcW w:w="62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million, assuming that the number of shares offered by us, as set forth</w:t>
            </w:r>
          </w:p>
        </w:tc>
      </w:tr>
      <w:tr>
        <w:trPr>
          <w:trHeight w:val="202"/>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on the cover page of this prospectus, remains the same and after deducting the estimated underwriting discounts and</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commissions. Each increase or decrease of 1.0 million in the number of shares we are offering would increase or decrease the</w:t>
            </w:r>
          </w:p>
        </w:tc>
      </w:tr>
      <w:tr>
        <w:trPr>
          <w:trHeight w:val="203"/>
        </w:trPr>
        <w:tc>
          <w:tcPr>
            <w:tcW w:w="380" w:type="dxa"/>
            <w:vAlign w:val="bottom"/>
          </w:tcPr>
          <w:p>
            <w:pPr>
              <w:spacing w:after="0"/>
              <w:rPr>
                <w:sz w:val="17"/>
                <w:szCs w:val="17"/>
                <w:color w:val="auto"/>
              </w:rPr>
            </w:pPr>
          </w:p>
        </w:tc>
        <w:tc>
          <w:tcPr>
            <w:tcW w:w="10460" w:type="dxa"/>
            <w:vAlign w:val="bottom"/>
            <w:gridSpan w:val="5"/>
          </w:tcPr>
          <w:p>
            <w:pPr>
              <w:ind w:left="160"/>
              <w:spacing w:after="0" w:line="202" w:lineRule="exact"/>
              <w:rPr>
                <w:sz w:val="20"/>
                <w:szCs w:val="20"/>
                <w:color w:val="auto"/>
              </w:rPr>
            </w:pPr>
            <w:r>
              <w:rPr>
                <w:rFonts w:ascii="Arial" w:cs="Arial" w:eastAsia="Arial" w:hAnsi="Arial"/>
                <w:sz w:val="18"/>
                <w:szCs w:val="18"/>
                <w:color w:val="auto"/>
                <w:w w:val="99"/>
              </w:rPr>
              <w:t>pro forma as adjusted amount of each of cash and cash equivalents, working capital, total assets and total stockholders’ equity by</w:t>
            </w:r>
          </w:p>
        </w:tc>
      </w:tr>
    </w:tbl>
    <w:p>
      <w:pPr>
        <w:ind w:left="740" w:right="240"/>
        <w:spacing w:after="0" w:line="234" w:lineRule="auto"/>
        <w:rPr>
          <w:sz w:val="20"/>
          <w:szCs w:val="20"/>
          <w:color w:val="auto"/>
        </w:rPr>
      </w:pPr>
      <w:r>
        <w:rPr>
          <w:rFonts w:ascii="Arial" w:cs="Arial" w:eastAsia="Arial" w:hAnsi="Arial"/>
          <w:sz w:val="18"/>
          <w:szCs w:val="18"/>
          <w:color w:val="auto"/>
        </w:rPr>
        <w:t>$ million, assuming no change in the assumed initial public offering price per share and after deducting the estimated underwriting discounts and commissions.</w:t>
      </w:r>
    </w:p>
    <w:p>
      <w:pPr>
        <w:spacing w:after="0" w:line="1" w:lineRule="exact"/>
        <w:rPr>
          <w:sz w:val="20"/>
          <w:szCs w:val="20"/>
          <w:color w:val="auto"/>
        </w:rPr>
      </w:pPr>
    </w:p>
    <w:p>
      <w:pPr>
        <w:ind w:left="740" w:right="220" w:hanging="546"/>
        <w:spacing w:after="0" w:line="246"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define working (deficit) capital as current assets less current liabilities. See our financial statements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60" w:firstLine="562"/>
        <w:spacing w:after="0" w:line="258"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8"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Since our inception, we have incurred significant net losses, and we expect to continue to incur significant expenses and operating losses for the foreseeable future. Our net losses were $1.1 million and $26.7 million for the period from September 20, 2019 (the date of our inception) through December 31, 2019 and for the six months ended June 30, 2020, respectively. As of June 30, 2020, we had an accumulated deficit of $ 27.8 million. We have financed our operations with $126.0 million in gross proceeds raised in our private placements of convertible preferred stock through August 2020. We have no products approved for commercialization and have never generated any revenue from product sales.</w:t>
      </w:r>
    </w:p>
    <w:p>
      <w:pPr>
        <w:spacing w:after="0" w:line="2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All of our product candidates are still in the preclinical testing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108" w:lineRule="exact"/>
        <w:rPr>
          <w:sz w:val="20"/>
          <w:szCs w:val="20"/>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780" w:right="840" w:hanging="219"/>
        <w:spacing w:after="0" w:line="24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our planned clinical trials of TSHA-101 and TSHA-118, as well as initiate and complete additional clinical trials of TSHA-101, TSHA-118, TSHA-102, TSHA-103, TSHA-104 and future product candidates;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4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4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2"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preclinical development. We may never succeed in these activities and, even if we do, may never generate any revenue or revenue that is significant enough to achieve profitability.</w:t>
      </w:r>
    </w:p>
    <w:p>
      <w:pPr>
        <w:spacing w:after="0" w:line="203"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a preclinical-stage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208" w:lineRule="exact"/>
        <w:rPr>
          <w:sz w:val="20"/>
          <w:szCs w:val="20"/>
          <w:color w:val="auto"/>
        </w:rPr>
      </w:pPr>
    </w:p>
    <w:p>
      <w:pPr>
        <w:ind w:right="420" w:firstLine="562"/>
        <w:spacing w:after="0" w:line="24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83"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3"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Our operations have consumed substantial amounts of cash since inception. Identifying potential product candidates and conducting preclinical testing and clinical trials is a time-consuming, expensive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207"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As of June 30, 2020, we had cash and cash equivalents of $ 11.2 million. In July and August 2020, we received $ 107.1 million in aggregate net proceeds from the issuance and sale of our Series A and Series B convertible preferred stock financings. We believe that the anticipated net proceeds from this offering, together with our existing cash and cash equivalents, will be sufficient to fund our operating</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expenses and capital requirements into .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110" w:lineRule="exact"/>
        <w:rPr>
          <w:sz w:val="20"/>
          <w:szCs w:val="20"/>
          <w:color w:val="auto"/>
        </w:rPr>
      </w:pPr>
    </w:p>
    <w:p>
      <w:pPr>
        <w:ind w:left="780" w:right="40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102" w:lineRule="exact"/>
        <w:rPr>
          <w:rFonts w:ascii="Arial" w:cs="Arial" w:eastAsia="Arial" w:hAnsi="Arial"/>
          <w:sz w:val="18"/>
          <w:szCs w:val="18"/>
          <w:color w:val="auto"/>
        </w:rPr>
      </w:pPr>
    </w:p>
    <w:p>
      <w:pPr>
        <w:ind w:left="780" w:right="60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102"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4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780" w:right="420" w:hanging="219"/>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540" w:firstLine="562"/>
        <w:spacing w:after="0" w:line="246"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9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8"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are very early in our development efforts and all of our product candidates are in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8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We expect to commence a Phase 1/2 clinical trial of TSHA-101 by the end of 2020 under a Clinical Trial Agreement, or CTA, with Health Canada, and we intend to initiate a Phase 1/2 clinical trial of TSHA-118 under a currently open IND.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203"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TSHA-118, TSHA-102, TSHA-103, TSHA-104 or any other product candidates that we develop or otherwise may acquire will depend on several factors, including:</w:t>
      </w:r>
    </w:p>
    <w:p>
      <w:pPr>
        <w:spacing w:after="0" w:line="110" w:lineRule="exact"/>
        <w:rPr>
          <w:sz w:val="20"/>
          <w:szCs w:val="20"/>
          <w:color w:val="auto"/>
        </w:rPr>
      </w:pPr>
    </w:p>
    <w:p>
      <w:pPr>
        <w:ind w:left="780" w:hanging="219"/>
        <w:spacing w:after="0" w:line="24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100" w:hanging="219"/>
        <w:spacing w:after="0" w:line="274"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effective investigational new drug applications, or INDs, from the U.S. Food and Drug Administration, or the FDA, or comparable foreign applications that allow commencement of our planned clinical trials or future clinical trials for our product candidates;</w:t>
      </w:r>
    </w:p>
    <w:p>
      <w:pPr>
        <w:spacing w:after="0" w:line="80" w:lineRule="exact"/>
        <w:rPr>
          <w:rFonts w:ascii="Arial" w:cs="Arial" w:eastAsia="Arial" w:hAnsi="Arial"/>
          <w:sz w:val="17"/>
          <w:szCs w:val="17"/>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102" w:lineRule="exact"/>
        <w:rPr>
          <w:rFonts w:ascii="Arial" w:cs="Arial" w:eastAsia="Arial" w:hAnsi="Arial"/>
          <w:sz w:val="18"/>
          <w:szCs w:val="18"/>
          <w:color w:val="auto"/>
        </w:rPr>
      </w:pPr>
    </w:p>
    <w:p>
      <w:pPr>
        <w:ind w:left="780" w:right="4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117" w:lineRule="exact"/>
        <w:rPr>
          <w:rFonts w:ascii="Arial" w:cs="Arial" w:eastAsia="Arial" w:hAnsi="Arial"/>
          <w:sz w:val="18"/>
          <w:szCs w:val="18"/>
          <w:color w:val="auto"/>
        </w:rPr>
      </w:pPr>
    </w:p>
    <w:p>
      <w:pPr>
        <w:ind w:left="780" w:right="44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TSHA-101, TSHA-118, TSHA-102, TSHA-103, TSHA-104 or any other product candidates;</w:t>
      </w:r>
    </w:p>
    <w:p>
      <w:pPr>
        <w:spacing w:after="0" w:line="102" w:lineRule="exact"/>
        <w:rPr>
          <w:rFonts w:ascii="Arial" w:cs="Arial" w:eastAsia="Arial" w:hAnsi="Arial"/>
          <w:sz w:val="18"/>
          <w:szCs w:val="18"/>
          <w:color w:val="auto"/>
        </w:rPr>
      </w:pPr>
    </w:p>
    <w:p>
      <w:pPr>
        <w:ind w:left="780" w:right="60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produce TSHA-101, TSHA-118, TSHA-102, TSHA-103, TSHA-104 or any other product candidates we develop on a commercial scale;</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 and complying effectively with other procedures;</w:t>
      </w:r>
    </w:p>
    <w:p>
      <w:pPr>
        <w:spacing w:after="0" w:line="117" w:lineRule="exact"/>
        <w:rPr>
          <w:rFonts w:ascii="Arial" w:cs="Arial" w:eastAsia="Arial" w:hAnsi="Arial"/>
          <w:sz w:val="18"/>
          <w:szCs w:val="18"/>
          <w:color w:val="auto"/>
        </w:rPr>
      </w:pPr>
    </w:p>
    <w:p>
      <w:pPr>
        <w:ind w:left="780" w:right="60" w:hanging="219"/>
        <w:spacing w:after="0" w:line="24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1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8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68"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strategy is to identify, develop and commercialize gene therapy product candidates using an adeno-associated virus serotype 9, or AAV9, capsid for intrathecal delivery of therapeutic transgenes to certain kinds of cells. Our future success depends on the successful development of these novel therapeutic approaches. To date, very few products that utilize gene transfer have been approved in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197" w:lineRule="exact"/>
        <w:rPr>
          <w:sz w:val="20"/>
          <w:szCs w:val="20"/>
          <w:color w:val="auto"/>
        </w:rPr>
      </w:pPr>
    </w:p>
    <w:p>
      <w:pPr>
        <w:ind w:right="40" w:firstLine="562"/>
        <w:spacing w:after="0" w:line="251" w:lineRule="auto"/>
        <w:rPr>
          <w:sz w:val="20"/>
          <w:szCs w:val="20"/>
          <w:color w:val="auto"/>
        </w:rPr>
      </w:pPr>
      <w:r>
        <w:rPr>
          <w:rFonts w:ascii="Arial" w:cs="Arial" w:eastAsia="Arial" w:hAnsi="Arial"/>
          <w:sz w:val="17"/>
          <w:szCs w:val="17"/>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3"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European Medicines Agency,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20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20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21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6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All of our product candidates are in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202"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TSHA-101 for the treatment of GM2 gangliosidosis, TSHA-118 for the treatment of CLN1 disease (or infantile Batten disease), and TSHA-102 for the treatment of Rett syndrome,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20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92" w:lineRule="exact"/>
        <w:rPr>
          <w:sz w:val="20"/>
          <w:szCs w:val="20"/>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5"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7"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with the FDA, EMA or other regulatory authorities as to the design or implementation of our clinical trials;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approval to commence a clinical trial;</w:t>
      </w:r>
    </w:p>
    <w:p>
      <w:pPr>
        <w:spacing w:after="0" w:line="117" w:lineRule="exact"/>
        <w:rPr>
          <w:rFonts w:ascii="Arial" w:cs="Arial" w:eastAsia="Arial" w:hAnsi="Arial"/>
          <w:sz w:val="18"/>
          <w:szCs w:val="18"/>
          <w:color w:val="auto"/>
        </w:rPr>
      </w:pPr>
    </w:p>
    <w:p>
      <w:pPr>
        <w:ind w:left="780" w:right="320" w:hanging="219"/>
        <w:spacing w:after="0" w:line="24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IRB approval at each trial site;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requirements, or applicable regulatory guidelines in other countries;</w:t>
      </w:r>
    </w:p>
    <w:p>
      <w:pPr>
        <w:spacing w:after="0" w:line="117" w:lineRule="exact"/>
        <w:rPr>
          <w:rFonts w:ascii="Arial" w:cs="Arial" w:eastAsia="Arial" w:hAnsi="Arial"/>
          <w:sz w:val="18"/>
          <w:szCs w:val="18"/>
          <w:color w:val="auto"/>
        </w:rPr>
      </w:pPr>
    </w:p>
    <w:p>
      <w:pPr>
        <w:ind w:left="780" w:right="240" w:hanging="219"/>
        <w:spacing w:after="0" w:line="24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12" w:lineRule="exact"/>
        <w:rPr>
          <w:sz w:val="20"/>
          <w:szCs w:val="20"/>
          <w:color w:val="auto"/>
        </w:rPr>
      </w:pPr>
    </w:p>
    <w:p>
      <w:pPr>
        <w:ind w:right="540" w:firstLine="562"/>
        <w:spacing w:after="0" w:line="246"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102" w:lineRule="exact"/>
        <w:rPr>
          <w:sz w:val="20"/>
          <w:szCs w:val="20"/>
          <w:color w:val="auto"/>
        </w:rPr>
      </w:pPr>
    </w:p>
    <w:p>
      <w:pPr>
        <w:ind w:left="780" w:right="18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changes in regulatory requirements or guidance, or receive feedback from regulatory authorities that requires us to modify the design of our clinical trials;</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102" w:lineRule="exact"/>
        <w:rPr>
          <w:rFonts w:ascii="Arial" w:cs="Arial" w:eastAsia="Arial" w:hAnsi="Arial"/>
          <w:sz w:val="18"/>
          <w:szCs w:val="18"/>
          <w:color w:val="auto"/>
        </w:rPr>
      </w:pPr>
    </w:p>
    <w:p>
      <w:pPr>
        <w:ind w:left="780" w:right="32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08" w:lineRule="exact"/>
        <w:rPr>
          <w:rFonts w:ascii="Arial" w:cs="Arial" w:eastAsia="Arial" w:hAnsi="Arial"/>
          <w:sz w:val="18"/>
          <w:szCs w:val="18"/>
          <w:color w:val="auto"/>
        </w:rPr>
      </w:pPr>
    </w:p>
    <w:p>
      <w:pPr>
        <w:ind w:left="780" w:right="38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97"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w:t>
      </w:r>
    </w:p>
    <w:p>
      <w:pPr>
        <w:ind w:left="780" w:right="40"/>
        <w:spacing w:after="0" w:line="246" w:lineRule="auto"/>
        <w:rPr>
          <w:rFonts w:ascii="Arial" w:cs="Arial" w:eastAsia="Arial" w:hAnsi="Arial"/>
          <w:sz w:val="18"/>
          <w:szCs w:val="18"/>
          <w:color w:val="auto"/>
        </w:rPr>
      </w:pPr>
      <w:r>
        <w:rPr>
          <w:rFonts w:ascii="Arial" w:cs="Arial" w:eastAsia="Arial" w:hAnsi="Arial"/>
          <w:sz w:val="18"/>
          <w:szCs w:val="18"/>
          <w:color w:val="auto"/>
        </w:rPr>
        <w:t>including non-compliance with regulatory requirements, a finding that our product candidates have undesirable side effects or other unexpected characteristics, or a finding that the participants are being exposed to unacceptable health risks;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28" w:lineRule="exact"/>
        <w:rPr>
          <w:rFonts w:ascii="Arial" w:cs="Arial" w:eastAsia="Arial" w:hAnsi="Arial"/>
          <w:sz w:val="17"/>
          <w:szCs w:val="17"/>
          <w:color w:val="auto"/>
        </w:rPr>
      </w:pPr>
    </w:p>
    <w:p>
      <w:pPr>
        <w:ind w:left="780" w:right="8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02"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102" w:lineRule="exact"/>
        <w:rPr>
          <w:rFonts w:ascii="Arial" w:cs="Arial" w:eastAsia="Arial" w:hAnsi="Arial"/>
          <w:sz w:val="18"/>
          <w:szCs w:val="18"/>
          <w:color w:val="auto"/>
        </w:rPr>
      </w:pPr>
    </w:p>
    <w:p>
      <w:pPr>
        <w:ind w:left="780" w:right="260" w:hanging="219"/>
        <w:spacing w:after="0" w:line="24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08" w:lineRule="exact"/>
        <w:rPr>
          <w:sz w:val="20"/>
          <w:szCs w:val="20"/>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biologics license application, or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205"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8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205"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2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TSHA-118, TSHA-102, TSHA-103, TSHA-104 and any future product candidates in a timely manner.</w:t>
      </w:r>
    </w:p>
    <w:p>
      <w:pPr>
        <w:spacing w:after="0" w:line="205"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TSHA-101, TSHA-118, TSHA-102, TSHA-103, TSHA-104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have not yet tested any product candidates in clinical trials. Success in preclinical studies or earlier clinical trials may not be indicative of results in future clinical trials.</w:t>
      </w:r>
    </w:p>
    <w:p>
      <w:pPr>
        <w:spacing w:after="0" w:line="6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both our planned Phase 1/2 clinical trial of TSHA-101 and our planned Phase 1/2 clinical trial of TSHA-118 will involve a small patient population.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205"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8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20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dorsal root ganglia. If our vectors demonstrate a similar effect in other programs, we may decide or be required to perform additional preclinical studies or to halt or delay further clinical development of our product candidates.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204"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205"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02" w:lineRule="exact"/>
        <w:rPr>
          <w:sz w:val="20"/>
          <w:szCs w:val="20"/>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780" w:right="760" w:hanging="219"/>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1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9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As an organization, we are preparing to conduct our first Phase 1/2 clinical trial, and have never conducted pivotal clinical trials, and may be unable to do so for any product candidates we may develop, including TSHA-101, TSHA-118, TSHA-102, TSHA-103 and TSHA-104.</w:t>
      </w:r>
    </w:p>
    <w:p>
      <w:pPr>
        <w:spacing w:after="0" w:line="8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are preparing to conduct our first Phase 1/2 clinical trial,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8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208"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110" w:lineRule="exact"/>
        <w:rPr>
          <w:sz w:val="20"/>
          <w:szCs w:val="20"/>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780" w:right="340" w:hanging="219"/>
        <w:spacing w:after="0" w:line="24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AAV9-based gene therapy approaches and intrathecal delivery systems;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780" w:right="12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02"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8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202"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20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have obtained orphan drug designation from the FDA for TSHA-101 for treatment of GM2 gangliosidosis and TSHA-103 for the treatment of SLC6A1-related disorder.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b w:val="1"/>
          <w:bCs w:val="1"/>
          <w:i w:val="1"/>
          <w:iCs w:val="1"/>
          <w:color w:val="auto"/>
        </w:rPr>
        <w:t>We have received rare pediatric disease designation for TSHA-101 for the treatment of GM2 gangliosidosis, TSHA-118 for the treatment of CLN1 disease and TSHA-103 for the treatment of SLC6A1 haploinsufficiency, and we have applied for rare pediatric disease designation for TSHA-102 for the treatment of Rett syndrome and TSHA-104 for the treatment of SURF1 deficiency. However, a marketing application for TSHA-101, TSHA-118, TSHA-102, TSHA-103 and TSHA-104, if approved, may not meet the eligibility criteria for a priority review voucher or the rare pediatric disease designation program may sunset before FDA is able consider us for a voucher.</w:t>
      </w:r>
    </w:p>
    <w:p>
      <w:pPr>
        <w:spacing w:after="0" w:line="9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have received rare pediatric disease designation for TSHA-101 for the treatment of GM2 gangliosidosis (Tay-Sachs Disease and Sandhoff Disease), TSHA-118 for the treatment of CLN1 disease and TSHA-103 for the treatment of SLC6A1 haploinsufficiency, and we have applied for rare pediatric disease designation for TSHA-102 for the treatment of Rett syndrome and TSHA-104 for the treatment of SURF1 deficiency. Designation of a drug or biologic as a product for a rare pediatric disease does not guarantee that a BLA for such drug or biologic will meet the eligibility criteria for a rare pediatric disease priority review voucher at the time the application is approved. Under the Federal Food, Drugs, and Cosmetic Act, or FDCA, we will need to request a rare pediatric disease priority review voucher in our original BLA for TSHA-101, TSHA-118, TSHA-102, TSHA-103, TSHA-104 and any other candidates for which we submit a marketing application. The FDA may determine that a BLA for TSHA-101, TSHA-118, TSHA-102, TSHA-103 or TSHA-104, if approved, does not meet the eligibility criteria for a priority review voucher, including for the following reasons:</w:t>
      </w:r>
    </w:p>
    <w:p>
      <w:pPr>
        <w:spacing w:after="0" w:line="112" w:lineRule="exact"/>
        <w:rPr>
          <w:sz w:val="20"/>
          <w:szCs w:val="20"/>
          <w:color w:val="auto"/>
        </w:rPr>
      </w:pPr>
    </w:p>
    <w:p>
      <w:pPr>
        <w:ind w:left="780" w:right="80" w:hanging="21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GM2 gangliosidosis, CLN1 disease, Rett syndrome, SLC6A1 haploinsufficiency or SURF1 deficiency no longer meet the definition of a rare pediatric disease;</w:t>
      </w:r>
    </w:p>
    <w:p>
      <w:pPr>
        <w:spacing w:after="0" w:line="102"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BLA contains an active ingredient (including any ester or salt of the active ingredient) that has been previously approved in a BLA;</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jc w:val="both"/>
        <w:ind w:left="780" w:right="12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108" w:lineRule="exact"/>
        <w:rPr>
          <w:rFonts w:ascii="Arial" w:cs="Arial" w:eastAsia="Arial" w:hAnsi="Arial"/>
          <w:sz w:val="18"/>
          <w:szCs w:val="18"/>
          <w:color w:val="auto"/>
        </w:rPr>
      </w:pPr>
    </w:p>
    <w:p>
      <w:pPr>
        <w:ind w:left="780" w:right="360" w:hanging="219"/>
        <w:spacing w:after="0" w:line="24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TSHA-101, TSHA-118, TSHA-102, TSHA-103 or TSHA-104 are designated.</w:t>
      </w:r>
    </w:p>
    <w:p>
      <w:pPr>
        <w:spacing w:after="0" w:line="197"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authority for the FDA to award rare pediatric disease priority review vouchers for drugs that have received rare pediatric disease designation prior to September 30, 2020 currently expires on September 30, 2022. If the BLA for TSHA-101, TSHA-118, TSHA-102, TSHA-103 or TSHA-104 is not approved prior to September 30, 2022 for any reason, regardless of whether it meets the criteria for a rare pediatric disease priority review voucher, it will not be eligible for a priority review voucher. However, it is also possible the authority for FDA to award rare pediatric disease priority review vouchers will be further extended through Federal lawmaking.</w:t>
      </w:r>
    </w:p>
    <w:p>
      <w:pPr>
        <w:spacing w:after="0" w:line="28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83"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condition, the sponsor may apply for FDA fast track designation for a particular indication. There is no 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9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Because we have limited financial and management resources, we must focus on development programs and product candidates that we identify for specific indications. As such, we are currently primarily focused on the development of our first five programs: TSHA-101 (GM2 gangliosidosis), TSHA-118 (CLN1 disease), TSHA-102 (Rett syndrome), TSHA-103 (SLC6A1 haploinsufficiency) and TSHA-104 (SURF1 deficiency).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68"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Our business model is centered on developing therapies for patients with rare, monogenic central nervous system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The University of Texas Southwestern Medical Center, or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9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68"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business and operations may be adversely affected by the effects of the recent and evolving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such orders also may impact the availability or cost of materials, which would disrupt our supply chain and manufacturing efforts and could affect our ability to conduct ongoing and planned clinical trials and preparatory activities.</w:t>
      </w:r>
    </w:p>
    <w:p>
      <w:pPr>
        <w:spacing w:after="0" w:line="197" w:lineRule="exact"/>
        <w:rPr>
          <w:sz w:val="20"/>
          <w:szCs w:val="20"/>
          <w:color w:val="auto"/>
        </w:rPr>
      </w:pPr>
    </w:p>
    <w:p>
      <w:pPr>
        <w:ind w:right="840" w:firstLine="562"/>
        <w:spacing w:after="0" w:line="246" w:lineRule="auto"/>
        <w:rPr>
          <w:sz w:val="20"/>
          <w:szCs w:val="20"/>
          <w:color w:val="auto"/>
        </w:rPr>
      </w:pPr>
      <w:r>
        <w:rPr>
          <w:rFonts w:ascii="Arial" w:cs="Arial" w:eastAsia="Arial" w:hAnsi="Arial"/>
          <w:sz w:val="18"/>
          <w:szCs w:val="18"/>
          <w:color w:val="auto"/>
        </w:rPr>
        <w:t>Although our planned clinical trials have not been impacted by the COVID-19 pandemic to date, we may experience related disruptions in the future that could severely impact our clinical trials, including:</w:t>
      </w:r>
    </w:p>
    <w:p>
      <w:pPr>
        <w:spacing w:after="0" w:line="102" w:lineRule="exact"/>
        <w:rPr>
          <w:sz w:val="20"/>
          <w:szCs w:val="20"/>
          <w:color w:val="auto"/>
        </w:rPr>
      </w:pPr>
    </w:p>
    <w:p>
      <w:pPr>
        <w:ind w:left="780" w:right="2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w:t>
      </w:r>
    </w:p>
    <w:p>
      <w:pPr>
        <w:spacing w:after="0" w:line="117"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02"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102" w:lineRule="exact"/>
        <w:rPr>
          <w:rFonts w:ascii="Arial" w:cs="Arial" w:eastAsia="Arial" w:hAnsi="Arial"/>
          <w:sz w:val="18"/>
          <w:szCs w:val="18"/>
          <w:color w:val="auto"/>
        </w:rPr>
      </w:pPr>
    </w:p>
    <w:p>
      <w:pPr>
        <w:ind w:left="780" w:right="66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02" w:lineRule="exact"/>
        <w:rPr>
          <w:rFonts w:ascii="Arial" w:cs="Arial" w:eastAsia="Arial" w:hAnsi="Arial"/>
          <w:sz w:val="18"/>
          <w:szCs w:val="18"/>
          <w:color w:val="auto"/>
        </w:rPr>
      </w:pPr>
    </w:p>
    <w:p>
      <w:pPr>
        <w:ind w:left="780" w:right="500" w:hanging="219"/>
        <w:spacing w:after="0" w:line="24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1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spread of COVID -19,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0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208"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the United Kingdom will be subject to a transition period until December 31, 2020, or the Transition Period, during which European Union rules will continue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202"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Since a significant proportion of the regulatory framework in the United Kingdom is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and manufacturing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manufacture of gene therapy products is technically complex and necessitates substantial expertise and capital investment.</w:t>
      </w:r>
    </w:p>
    <w:p>
      <w:pPr>
        <w:spacing w:after="0"/>
        <w:rPr>
          <w:sz w:val="20"/>
          <w:szCs w:val="20"/>
          <w:color w:val="auto"/>
        </w:rPr>
      </w:pPr>
      <w:r>
        <w:rPr>
          <w:rFonts w:ascii="Arial" w:cs="Arial" w:eastAsia="Arial" w:hAnsi="Arial"/>
          <w:sz w:val="18"/>
          <w:szCs w:val="18"/>
          <w:color w:val="auto"/>
        </w:rPr>
        <w:t>Production difficulties caused by unforeseen events may delay the availability of material for our clinical studies.</w:t>
      </w:r>
    </w:p>
    <w:p>
      <w:pPr>
        <w:spacing w:after="0" w:line="212"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We currently rely on the UT Southwestern Gene Therapy program to manufacture our product candidates. Although we intend to establish our own manufacturing facility to provide clinical and commercial supply of our product candidates, we expect to rely on UT Southwestern for our manufacturing needs for the foreseeable future. To date, UT Southwestern has met our manufacturing requirements and quality standards for our program materials, and we expect that UT Southwestern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will be capable of providing sufficient quantities of our program materials to meet anticipated clinical trial scale demands.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207"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8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All entities involved in the preparation of therapeutics for clinical trials or commercial sale, including our existing contract manufacturers for components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contract manufacturers must supply all necessary documentation in support of a BLA or MAA on a timely basis. Our facilities and quality systems and the facilities and quality systems of some or all of our third-party contractors must pass</w:t>
      </w:r>
    </w:p>
    <w:p>
      <w:pPr>
        <w:spacing w:after="0" w:line="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03"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68"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6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8"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10" w:lineRule="exact"/>
        <w:rPr>
          <w:sz w:val="20"/>
          <w:szCs w:val="20"/>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780" w:right="24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TSHA-101, TSHA-118, TSHA-102, TSHA-103, TSHA-104 and any other product candidates, once approved;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68"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TSHA-104,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9"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TSHA-101, TSHA-118, TSHA-102, TSHA-103, TSHA-104 or any other product candidate that may receive regulatory approval, we may not be successful in commercializing those product candidates if and when they are approved.</w:t>
      </w:r>
    </w:p>
    <w:p>
      <w:pPr>
        <w:spacing w:after="0" w:line="8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do not have sales or marketing infrastructure. To achieve commercial success for TSHA-101, TSHA-118, TSHA-102, TSHA-103, TSHA-104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17" w:lineRule="exact"/>
        <w:rPr>
          <w:sz w:val="20"/>
          <w:szCs w:val="20"/>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780" w:right="28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02" w:lineRule="exact"/>
        <w:rPr>
          <w:rFonts w:ascii="Arial" w:cs="Arial" w:eastAsia="Arial" w:hAnsi="Arial"/>
          <w:sz w:val="18"/>
          <w:szCs w:val="18"/>
          <w:color w:val="auto"/>
        </w:rPr>
      </w:pPr>
    </w:p>
    <w:p>
      <w:pPr>
        <w:ind w:left="780" w:right="240" w:hanging="219"/>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If we are unable to establish our own sales, marketing and distribution capabilities and are forced to enter into arrangements with, and rely on, third parties to perform these services, our revenue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68"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9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8"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202"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We believe that the majority of our programs will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Axovant is developing AXO-AAV-GM2 for the treatment of GM2 gangliosidosis, and with respect to TSHA-102, we are aware that Novartis is developing AVXS-201 for the treatment of Rett syndrome. We are also aware that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Rett Syndrome Research Trust, Amicus Therapeutics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203"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w:t>
      </w:r>
    </w:p>
    <w:p>
      <w:pPr>
        <w:spacing w:after="0" w:line="3"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marketing. Mergers and acquisitions in the pharmaceutical and biotechnology industries could result in even more resources being concentrated among a small number of our competitors.</w:t>
      </w:r>
    </w:p>
    <w:p>
      <w:pPr>
        <w:spacing w:after="0" w:line="197"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108" w:lineRule="exact"/>
        <w:rPr>
          <w:sz w:val="20"/>
          <w:szCs w:val="20"/>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and commercialize drugs that are superior to other products in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medicines.</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Established pharmaceutical companies may invest heavily to accelerate discovery and development of novel compounds or</w:t>
      </w:r>
    </w:p>
    <w:p>
      <w:pPr>
        <w:ind w:right="120"/>
        <w:spacing w:after="0" w:line="238" w:lineRule="auto"/>
        <w:rPr>
          <w:sz w:val="20"/>
          <w:szCs w:val="20"/>
          <w:color w:val="auto"/>
        </w:rPr>
      </w:pPr>
      <w:r>
        <w:rPr>
          <w:rFonts w:ascii="Arial" w:cs="Arial" w:eastAsia="Arial" w:hAnsi="Arial"/>
          <w:sz w:val="18"/>
          <w:szCs w:val="18"/>
          <w:color w:val="auto"/>
        </w:rPr>
        <w:t>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may face competition sooner than anticipated.</w:t>
      </w:r>
    </w:p>
    <w:p>
      <w:pPr>
        <w:spacing w:after="0" w:line="126"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w:t>
      </w:r>
    </w:p>
    <w:p>
      <w:pPr>
        <w:ind w:right="60"/>
        <w:spacing w:after="0" w:line="236" w:lineRule="auto"/>
        <w:rPr>
          <w:sz w:val="20"/>
          <w:szCs w:val="20"/>
          <w:color w:val="auto"/>
        </w:rPr>
      </w:pPr>
      <w:r>
        <w:rPr>
          <w:rFonts w:ascii="Arial" w:cs="Arial" w:eastAsia="Arial" w:hAnsi="Arial"/>
          <w:sz w:val="18"/>
          <w:szCs w:val="18"/>
          <w:color w:val="auto"/>
        </w:rPr>
        <w:t>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68" w:lineRule="exact"/>
        <w:rPr>
          <w:sz w:val="20"/>
          <w:szCs w:val="20"/>
          <w:color w:val="auto"/>
        </w:rPr>
      </w:pPr>
    </w:p>
    <w:p>
      <w:pPr>
        <w:ind w:right="80" w:firstLine="562"/>
        <w:spacing w:after="0" w:line="235" w:lineRule="auto"/>
        <w:rPr>
          <w:sz w:val="20"/>
          <w:szCs w:val="20"/>
          <w:color w:val="auto"/>
        </w:rPr>
      </w:pPr>
      <w:r>
        <w:rPr>
          <w:rFonts w:ascii="Arial" w:cs="Arial" w:eastAsia="Arial" w:hAnsi="Arial"/>
          <w:sz w:val="18"/>
          <w:szCs w:val="18"/>
          <w:color w:val="auto"/>
        </w:rPr>
        <w:t>We believe our success depends on obtaining and maintaining coverage and adequate reimbursement for our product candidates, including TSHA-101 for the treatment of GM2 gangliosidosis, TSHA-118 for the treatment of CLN1 disease, TSHA-102 for the treatment of Rett syndrome, TSHA-103 for the treatment of SLC6A1 haploinsufficiency and TSHA-104 for the treatment of SURF1 deficiency,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20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03"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20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There can be no assurance that TSHA-101, TSHA-118, TSHA-102, TSHA-103, TSHA-104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8"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110" w:lineRule="exact"/>
        <w:rPr>
          <w:sz w:val="20"/>
          <w:szCs w:val="20"/>
          <w:color w:val="auto"/>
        </w:rPr>
      </w:pPr>
    </w:p>
    <w:p>
      <w:pPr>
        <w:ind w:left="5520" w:right="4300" w:hanging="4959"/>
        <w:spacing w:after="0" w:line="418" w:lineRule="auto"/>
        <w:tabs>
          <w:tab w:leader="none" w:pos="7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 44</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cybersecurity.</w:t>
      </w:r>
    </w:p>
    <w:p>
      <w:pPr>
        <w:spacing w:after="0" w:line="68"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In May 2018, a new privacy regime, the General Data Protection Regulation or the GDPR, took effect in the European Economic Area, or the EEA.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203"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on June 28, 2018, and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While there is currently an exception for protected health information that is subject to HIPAA and clinical trial regulations, as currently written, the CCPA may impact certain of our business activities. Some observers have noted that the CCPA could mark the beginning of a trend toward more stringent privacy legislation in the United States. Other states are beginning to pass similar laws. For example, an amendment to Nevada’s privacy laws, which went into effect October 1, 2019, requires us to offer to consumers the right to opt-out of the sale of their personal information.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90"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Our collaboration with UT Southwestern is critical to our business. We have entered into a Research, Collaboration and License Agreement, or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regulatory authorities. Although we plan to be the sponsor for each product candidate’s IND, UT Southwestern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202"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The term of the research funding portion of the UT Southwestern Agreement, under which we have the ability to acquire exclusive rights to additional gene therapy products for rare, monogenic central nervous system indications, expires in November 2021, subject to mutual agreement to extend research funding pursuant to sponsored research agreements. If we seek to extend the research portion of our collaboration, we will need to negotiate a new or amended agreement, which may not be available to us on equally favorable terms, if at all.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8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We intend to engage CROs to conduct our planned clinical trials, including our planned Phase 1/2 trials of TSHA-101 and TSHA-118.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interrupted by the ongoing COVID-19 pandemic, including due to travel or quarantine policies, heightened exposure of CRO staff who are healthcare providers to COVID-19 or prioritization of resources toward the pandemic.</w:t>
      </w:r>
    </w:p>
    <w:p>
      <w:pPr>
        <w:spacing w:after="0" w:line="197"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20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21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TSHA-118, TSHA-102, TSHA-103, TSHA-104 or any other product candidates.</w:t>
      </w:r>
    </w:p>
    <w:p>
      <w:pPr>
        <w:spacing w:after="0" w:line="203"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00"/>
        <w:spacing w:after="0" w:line="301"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4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780" w:right="300" w:hanging="219"/>
        <w:spacing w:after="0" w:line="23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10" w:lineRule="exact"/>
        <w:rPr>
          <w:rFonts w:ascii="Arial" w:cs="Arial" w:eastAsia="Arial" w:hAnsi="Arial"/>
          <w:sz w:val="18"/>
          <w:szCs w:val="18"/>
          <w:color w:val="auto"/>
        </w:rPr>
      </w:pPr>
    </w:p>
    <w:p>
      <w:pPr>
        <w:ind w:left="780" w:right="540" w:hanging="219"/>
        <w:spacing w:after="0" w:line="274"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0" w:lineRule="exact"/>
        <w:rPr>
          <w:rFonts w:ascii="Arial" w:cs="Arial" w:eastAsia="Arial" w:hAnsi="Arial"/>
          <w:sz w:val="17"/>
          <w:szCs w:val="17"/>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780" w:right="2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108"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02" w:lineRule="exact"/>
        <w:rPr>
          <w:rFonts w:ascii="Arial" w:cs="Arial" w:eastAsia="Arial" w:hAnsi="Arial"/>
          <w:sz w:val="18"/>
          <w:szCs w:val="18"/>
          <w:color w:val="auto"/>
        </w:rPr>
      </w:pPr>
    </w:p>
    <w:p>
      <w:pPr>
        <w:ind w:left="780" w:right="80" w:hanging="219"/>
        <w:spacing w:after="0" w:line="23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0" w:lineRule="exact"/>
        <w:rPr>
          <w:rFonts w:ascii="Arial" w:cs="Arial" w:eastAsia="Arial" w:hAnsi="Arial"/>
          <w:sz w:val="18"/>
          <w:szCs w:val="18"/>
          <w:color w:val="auto"/>
        </w:rPr>
      </w:pPr>
    </w:p>
    <w:p>
      <w:pPr>
        <w:ind w:left="780" w:right="72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08" w:lineRule="exact"/>
        <w:rPr>
          <w:rFonts w:ascii="Arial" w:cs="Arial" w:eastAsia="Arial" w:hAnsi="Arial"/>
          <w:sz w:val="18"/>
          <w:szCs w:val="18"/>
          <w:color w:val="auto"/>
        </w:rPr>
      </w:pPr>
    </w:p>
    <w:p>
      <w:pPr>
        <w:ind w:left="5520" w:right="20" w:hanging="4959"/>
        <w:spacing w:after="0" w:line="418" w:lineRule="auto"/>
        <w:tabs>
          <w:tab w:leader="none" w:pos="7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 49</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40" w:hanging="219"/>
        <w:spacing w:after="0" w:line="24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97"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68" w:lineRule="exact"/>
        <w:rPr>
          <w:sz w:val="20"/>
          <w:szCs w:val="20"/>
          <w:color w:val="auto"/>
        </w:rPr>
      </w:pPr>
    </w:p>
    <w:p>
      <w:pPr>
        <w:jc w:val="both"/>
        <w:ind w:right="520" w:firstLine="562"/>
        <w:spacing w:after="0" w:line="261"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8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 patent applications, if issued, are expected to expire between 2040 and 2041. We cannot offer any assurances about which of our patent applications will issue, the breadth of any resulting patent or whether any of the issued patents will be found invalid and unenforceable or will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6"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8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30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6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are heavily reliant upon licenses to certain patent rights and proprietary technology for the development of our product candidates, in particular the UT Southwestern Agreement and our license agreements with Queen’s University at Kingston and Abeona Therapeutics Inc.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205"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562"/>
        <w:spacing w:after="0" w:line="257" w:lineRule="auto"/>
        <w:rPr>
          <w:sz w:val="20"/>
          <w:szCs w:val="20"/>
          <w:color w:val="auto"/>
        </w:rPr>
      </w:pPr>
      <w:r>
        <w:rPr>
          <w:rFonts w:ascii="Arial" w:cs="Arial" w:eastAsia="Arial" w:hAnsi="Arial"/>
          <w:sz w:val="17"/>
          <w:szCs w:val="17"/>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89"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9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68"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213"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Similarly, changes in patent laws and regulations in other countries or jurisdictions, changes in the governmental bodies that enforce them or changes in how the relevant governmental authority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6"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213" w:lineRule="exact"/>
        <w:rPr>
          <w:sz w:val="20"/>
          <w:szCs w:val="20"/>
          <w:color w:val="auto"/>
        </w:rPr>
      </w:pPr>
    </w:p>
    <w:p>
      <w:pPr>
        <w:ind w:right="60" w:firstLine="562"/>
        <w:spacing w:after="0" w:line="25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95"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results of hearings, motions, or other interim proceedings or developments. If securities analysts or investors perceive these results to be negative, it could have a material adverse effect on the price of our common stock.</w:t>
      </w:r>
    </w:p>
    <w:p>
      <w:pPr>
        <w:spacing w:after="0" w:line="283"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9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TSHA-118, TSHA-102, TSHA-103, TSHA-104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2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202" w:lineRule="exact"/>
        <w:rPr>
          <w:sz w:val="20"/>
          <w:szCs w:val="20"/>
          <w:color w:val="auto"/>
        </w:rPr>
      </w:pPr>
    </w:p>
    <w:p>
      <w:pPr>
        <w:ind w:right="40" w:firstLine="562"/>
        <w:spacing w:after="0" w:line="235" w:lineRule="auto"/>
        <w:rPr>
          <w:sz w:val="20"/>
          <w:szCs w:val="20"/>
          <w:color w:val="auto"/>
        </w:rPr>
      </w:pPr>
      <w:r>
        <w:rPr>
          <w:rFonts w:ascii="Arial" w:cs="Arial" w:eastAsia="Arial" w:hAnsi="Arial"/>
          <w:sz w:val="18"/>
          <w:szCs w:val="18"/>
          <w:color w:val="auto"/>
        </w:rPr>
        <w:t>We are aware of issued patent or patents issued to REGENXBIO Inc., or REGENX, that claim AAV vectors that have an AAV9 capsid serotype. If we commercialize any of our product candidates prior to the expiry of those patents in 2026 without a license, the patent owner could bring an action claiming infringement. In August 2020, we received a letter from REGENX that stated REGENX is the owner of or has exclusive licenses to various issued patents or patent applications regarding the use of AAV9 vectors and offered to discuss licensing the applicable patents from them. We intend to review their letter in detail and to take appropriate actions based on our review, which may include, if we deem it appropriate, speaking with REGENX regarding their letter.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21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459" w:right="3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205"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89"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0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5"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83" w:lineRule="exact"/>
        <w:rPr>
          <w:sz w:val="20"/>
          <w:szCs w:val="20"/>
          <w:color w:val="auto"/>
        </w:rPr>
      </w:pPr>
    </w:p>
    <w:p>
      <w:pPr>
        <w:ind w:right="180" w:firstLine="562"/>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9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8"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08" w:lineRule="exact"/>
        <w:rPr>
          <w:sz w:val="20"/>
          <w:szCs w:val="20"/>
          <w:color w:val="auto"/>
        </w:rPr>
      </w:pPr>
    </w:p>
    <w:p>
      <w:pPr>
        <w:ind w:left="780" w:right="58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our current or future patents;</w:t>
      </w:r>
    </w:p>
    <w:p>
      <w:pPr>
        <w:spacing w:after="0" w:line="102"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make the inventions covered by our issued or future issued patents or our pending patent applications;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780" w:right="400" w:hanging="219"/>
        <w:spacing w:after="0" w:line="24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jc w:val="center"/>
        <w:ind w:left="5520" w:right="280" w:hanging="4959"/>
        <w:spacing w:after="0" w:line="418" w:lineRule="auto"/>
        <w:tabs>
          <w:tab w:leader="none" w:pos="7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in-license may be held invalid or unenforceable as a result of legal challenges by our competitors; 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17"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1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88"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113" w:lineRule="exact"/>
        <w:rPr>
          <w:sz w:val="20"/>
          <w:szCs w:val="20"/>
          <w:color w:val="auto"/>
        </w:rPr>
      </w:pPr>
    </w:p>
    <w:p>
      <w:pPr>
        <w:ind w:left="780" w:hanging="219"/>
        <w:spacing w:after="0" w:line="236"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109" w:lineRule="exact"/>
        <w:rPr>
          <w:rFonts w:ascii="Arial" w:cs="Arial" w:eastAsia="Arial" w:hAnsi="Arial"/>
          <w:sz w:val="18"/>
          <w:szCs w:val="18"/>
          <w:color w:val="auto"/>
        </w:rPr>
      </w:pPr>
    </w:p>
    <w:p>
      <w:pPr>
        <w:ind w:left="780" w:right="12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20"/>
        <w:spacing w:after="0" w:line="236" w:lineRule="auto"/>
        <w:rPr>
          <w:sz w:val="20"/>
          <w:szCs w:val="20"/>
          <w:color w:val="auto"/>
        </w:rPr>
      </w:pPr>
      <w:r>
        <w:rPr>
          <w:rFonts w:ascii="Arial" w:cs="Arial" w:eastAsia="Arial" w:hAnsi="Arial"/>
          <w:sz w:val="18"/>
          <w:szCs w:val="18"/>
          <w:color w:val="auto"/>
        </w:rPr>
        <w:t>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113" w:lineRule="exact"/>
        <w:rPr>
          <w:sz w:val="20"/>
          <w:szCs w:val="20"/>
          <w:color w:val="auto"/>
        </w:rPr>
      </w:pPr>
    </w:p>
    <w:p>
      <w:pPr>
        <w:ind w:left="780" w:right="60" w:hanging="219"/>
        <w:spacing w:after="0" w:line="237"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10" w:lineRule="exact"/>
        <w:rPr>
          <w:rFonts w:ascii="Arial" w:cs="Arial" w:eastAsia="Arial" w:hAnsi="Arial"/>
          <w:sz w:val="18"/>
          <w:szCs w:val="18"/>
          <w:color w:val="auto"/>
        </w:rPr>
      </w:pPr>
    </w:p>
    <w:p>
      <w:pPr>
        <w:ind w:left="780" w:hanging="219"/>
        <w:spacing w:after="0" w:line="23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13" w:lineRule="exact"/>
        <w:rPr>
          <w:rFonts w:ascii="Arial" w:cs="Arial" w:eastAsia="Arial" w:hAnsi="Arial"/>
          <w:sz w:val="18"/>
          <w:szCs w:val="18"/>
          <w:color w:val="auto"/>
        </w:rPr>
      </w:pPr>
    </w:p>
    <w:p>
      <w:pPr>
        <w:ind w:left="780" w:right="80" w:hanging="219"/>
        <w:spacing w:after="0" w:line="23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 and</w:t>
      </w:r>
    </w:p>
    <w:p>
      <w:pPr>
        <w:spacing w:after="0" w:line="113" w:lineRule="exact"/>
        <w:rPr>
          <w:rFonts w:ascii="Arial" w:cs="Arial" w:eastAsia="Arial" w:hAnsi="Arial"/>
          <w:sz w:val="18"/>
          <w:szCs w:val="18"/>
          <w:color w:val="auto"/>
        </w:rPr>
      </w:pPr>
    </w:p>
    <w:p>
      <w:pPr>
        <w:ind w:left="780" w:right="80" w:hanging="219"/>
        <w:spacing w:after="0" w:line="237"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which differ from each other in significant ways and often are not preempted by HIPAA, thus complicating compliance efforts.</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07"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8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Even if we obtain regulatory approval for TSHA-101, TSHA-118, TSHA-102, TSHA-103, TSHA-104 or any future product candidates, they will remain subject to ongoing regulatory oversight.</w:t>
      </w:r>
    </w:p>
    <w:p>
      <w:pPr>
        <w:spacing w:after="0" w:line="6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Even if we obtain any regulatory approval for TSHA-101, TSHA-118, TSHA-102, TSHA-103, TSHA-104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TSHA-118, TSHA-102, TSHA-103, TSHA-104 or any future product candidates may also be subject to a risk evaluation and mitigation strategy,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206"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manufacturing process. A company that is found to have improperly promoted off-label uses of their products may be subject to significant civil, criminal and administrative penalties.</w:t>
      </w:r>
    </w:p>
    <w:p>
      <w:pPr>
        <w:spacing w:after="0" w:line="197" w:lineRule="exact"/>
        <w:rPr>
          <w:sz w:val="20"/>
          <w:szCs w:val="20"/>
          <w:color w:val="auto"/>
        </w:rPr>
      </w:pPr>
    </w:p>
    <w:p>
      <w:pPr>
        <w:ind w:right="140" w:firstLine="562"/>
        <w:spacing w:after="0" w:line="237"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fail to comply with applicable regulatory requirements following approval of TSHA-101, TSHA-118, TSHA-102, TSHA-103,</w:t>
      </w:r>
    </w:p>
    <w:p>
      <w:pPr>
        <w:spacing w:after="0"/>
        <w:rPr>
          <w:sz w:val="20"/>
          <w:szCs w:val="20"/>
          <w:color w:val="auto"/>
        </w:rPr>
      </w:pPr>
      <w:r>
        <w:rPr>
          <w:rFonts w:ascii="Arial" w:cs="Arial" w:eastAsia="Arial" w:hAnsi="Arial"/>
          <w:sz w:val="18"/>
          <w:szCs w:val="18"/>
          <w:color w:val="auto"/>
        </w:rPr>
        <w:t>TSHA-104 or any future product candidates, a regulatory authority may:</w:t>
      </w:r>
    </w:p>
    <w:p>
      <w:pPr>
        <w:spacing w:after="0" w:line="117" w:lineRule="exact"/>
        <w:rPr>
          <w:sz w:val="20"/>
          <w:szCs w:val="20"/>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TSHA-118, TSHA-102, TSHA-103, TSHA-104 or any future product candidates and harm our business, financial condition, results of operations and prospects.</w:t>
      </w:r>
    </w:p>
    <w:p>
      <w:pPr>
        <w:spacing w:after="0" w:line="29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83"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26" w:lineRule="exact"/>
        <w:rPr>
          <w:sz w:val="20"/>
          <w:szCs w:val="20"/>
          <w:color w:val="auto"/>
        </w:rPr>
      </w:pPr>
    </w:p>
    <w:p>
      <w:pPr>
        <w:ind w:right="200" w:firstLine="562"/>
        <w:spacing w:after="0"/>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203" w:lineRule="exact"/>
        <w:rPr>
          <w:sz w:val="20"/>
          <w:szCs w:val="20"/>
          <w:color w:val="auto"/>
        </w:rPr>
      </w:pPr>
    </w:p>
    <w:p>
      <w:pPr>
        <w:ind w:firstLine="562"/>
        <w:spacing w:after="0" w:line="248"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or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w:t>
      </w:r>
    </w:p>
    <w:p>
      <w:pPr>
        <w:spacing w:after="0" w:line="7" w:lineRule="exact"/>
        <w:rPr>
          <w:sz w:val="20"/>
          <w:szCs w:val="20"/>
          <w:color w:val="auto"/>
        </w:rPr>
      </w:pPr>
    </w:p>
    <w:p>
      <w:pPr>
        <w:ind w:right="100" w:firstLine="8"/>
        <w:spacing w:after="0" w:line="237"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While Congress has not passed comprehensive repeal legislation, several bills affecting the implementation of certain taxes under the ACA have been signed into law. The Tax Cuts and Jobs Act of 2017, or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or the BBA, among other things, amended the ACA, effective January 1, 2019, to close the coverage gap in most Medicare drug plans, commonly referred to as the “donut hole.” In December 2018, CMS published a new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21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206" w:lineRule="exact"/>
        <w:rPr>
          <w:sz w:val="20"/>
          <w:szCs w:val="20"/>
          <w:color w:val="auto"/>
        </w:rPr>
      </w:pPr>
    </w:p>
    <w:p>
      <w:pPr>
        <w:ind w:right="180" w:firstLine="562"/>
        <w:spacing w:after="0" w:line="236"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expenses, provide an option to cap Medicare Part D beneficiary monthly out-of-pocket expenses, and place limits on pharmaceutical price increases. Further, the Trump administration previously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On July 24, 2020, President Trump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plans, pharmacies, and pharmaceutical benefit managers; and one that reduces costs of insulin and epipens to patients of federally qualified health centers. The probability of success of these newly announced policies and their impact on the U.S. prescription drug marketplace is unknown. While some of these and other measures may require additional authorization to become effective,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to address the COVID-19 pandemic.</w:t>
      </w:r>
    </w:p>
    <w:p>
      <w:pPr>
        <w:spacing w:after="0" w:line="20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addition, FDA regulations and guidance may be revised or reinterpreted by the FDA in ways that may significantly affect our business and our products. The Trump administration has also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TSHA-101, TSHA-118, TSHA-102, TSHA-103, TSHA-104 or any future product candidates. We cannot determine how changes in regulations, statutes, policies, or interpretations when and if issued, enacted or adopted, may affect our business in the future. Such changes could, among other things, require:</w:t>
      </w:r>
    </w:p>
    <w:p>
      <w:pPr>
        <w:spacing w:after="0" w:line="110" w:lineRule="exact"/>
        <w:rPr>
          <w:sz w:val="20"/>
          <w:szCs w:val="20"/>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Such changes would likely require substantial time and impose significant costs, or could reduce the potential commercial value of TSHA-101, TSHA-118, TSHA-102, TSHA-103, TSHA-104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9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business activities will be subject to the Foreign Corrupt Practices Act, or FCPA, and similar anti-bribery and anti-corruption laws.</w:t>
      </w:r>
    </w:p>
    <w:p>
      <w:pPr>
        <w:spacing w:after="0" w:line="68"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8"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 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26"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particularly RA Session II, our President and Chief Executive Officer. Each of our executive officers may currently terminate their employment with us at any time. We do not maintain “key person” insurance for any of our executives or employees.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currently have a limited number of employees, and we rely on PBM Capital Group, LLC to provide various administrative and management services.</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currently rely on the support and administrative services provided by PBM Capital Group, LLC, which, together with its affiliate PBM TGT Holdings, LLC, is a holder of more than 5% of our capital stock, pursuant to our services agreement with PBM Capital Group, LLC. We do not expect personnel and support staff that provide services to us under these services agreements will have as their primary responsibility the management and administration of our business or act exclusively for us. As a result, such individuals will not allocate all of their time and resources to us. See “Certain Relationships and Related Party Transactions—Our Relationship with PBM Capital Group, LLC.”</w:t>
      </w:r>
    </w:p>
    <w:p>
      <w:pPr>
        <w:spacing w:after="0" w:line="202" w:lineRule="exact"/>
        <w:rPr>
          <w:sz w:val="20"/>
          <w:szCs w:val="20"/>
          <w:color w:val="auto"/>
        </w:rPr>
      </w:pPr>
    </w:p>
    <w:p>
      <w:pPr>
        <w:ind w:right="500" w:firstLine="562"/>
        <w:spacing w:after="0" w:line="246" w:lineRule="auto"/>
        <w:rPr>
          <w:sz w:val="20"/>
          <w:szCs w:val="20"/>
          <w:color w:val="auto"/>
        </w:rPr>
      </w:pPr>
      <w:r>
        <w:rPr>
          <w:rFonts w:ascii="Arial" w:cs="Arial" w:eastAsia="Arial" w:hAnsi="Arial"/>
          <w:sz w:val="18"/>
          <w:szCs w:val="18"/>
          <w:color w:val="auto"/>
        </w:rPr>
        <w:t>If PBM Capital Group, LLC fails to perform their obligations in accordance with the terms of the services agreements, it could be difficult for us to operate our business. Any failure by PBM Capital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Group, LLC to effectively manage administrative or other services that they provide to us could harm our business, financial condition and results of operations. In addition, the termination of our relationship with PBM Capital Group, LLC and any delay in appointing or finding a suitable replacement provider (if one exists) could make it difficult for us to operate our business.</w:t>
      </w:r>
    </w:p>
    <w:p>
      <w:pPr>
        <w:spacing w:after="0" w:line="203"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Additionally, over time we will need to transition from receiving the services that PBM Capital Group, LLC is currently providing to performing such activities internally. If we do not have adequate financial resources or personnel and systems in place at the time that we assume responsibilities for such services, we may not be successful in effectively or efficiently transitioning these services from PBM Capital Group, LLC, which could disrupt our business and have a material adverse effect on our financial condition and results of operations. Even if we are able to successfully transition these services, they may be more expensive or less efficient than the services we are receiving from PBM Capital Group, LLC during the transition period.</w:t>
      </w:r>
    </w:p>
    <w:p>
      <w:pPr>
        <w:spacing w:after="0" w:line="291" w:lineRule="exact"/>
        <w:rPr>
          <w:sz w:val="20"/>
          <w:szCs w:val="20"/>
          <w:color w:val="auto"/>
        </w:rPr>
      </w:pPr>
    </w:p>
    <w:p>
      <w:pPr>
        <w:ind w:right="820"/>
        <w:spacing w:after="0" w:line="253" w:lineRule="auto"/>
        <w:rPr>
          <w:sz w:val="20"/>
          <w:szCs w:val="20"/>
          <w:color w:val="auto"/>
        </w:rPr>
      </w:pPr>
      <w:r>
        <w:rPr>
          <w:rFonts w:ascii="Arial" w:cs="Arial" w:eastAsia="Arial" w:hAnsi="Arial"/>
          <w:sz w:val="18"/>
          <w:szCs w:val="18"/>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8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As of August 31, 2020, we had ten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68" w:lineRule="exact"/>
        <w:rPr>
          <w:sz w:val="20"/>
          <w:szCs w:val="20"/>
          <w:color w:val="auto"/>
        </w:rPr>
      </w:pPr>
    </w:p>
    <w:p>
      <w:pPr>
        <w:ind w:right="20" w:firstLine="562"/>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21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and may not be indicative of the price at which our common stock will trade after the closing of this offering. Although our common stock has been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The trading price of the shares of our common stock may be volatile, and purchasers of our common stock could incur substantial losses.</w:t>
      </w:r>
    </w:p>
    <w:p>
      <w:pPr>
        <w:spacing w:after="0" w:line="68"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10" w:lineRule="exact"/>
        <w:rPr>
          <w:sz w:val="20"/>
          <w:szCs w:val="20"/>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reporting of unfavorable preclinical results;</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TSHA-101, TSHA-118, TSHA-102, TSHA-103, TSHA-104 or any future clinical trials we may conduct, or changes in the development status of our product candidates;</w:t>
      </w:r>
    </w:p>
    <w:p>
      <w:pPr>
        <w:spacing w:after="0" w:line="102" w:lineRule="exact"/>
        <w:rPr>
          <w:rFonts w:ascii="Arial" w:cs="Arial" w:eastAsia="Arial" w:hAnsi="Arial"/>
          <w:sz w:val="18"/>
          <w:szCs w:val="18"/>
          <w:color w:val="auto"/>
        </w:rPr>
      </w:pPr>
    </w:p>
    <w:p>
      <w:pPr>
        <w:ind w:left="780" w:hanging="219"/>
        <w:spacing w:after="0" w:line="23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 in our regulatory filings for TSHA-101, TSHA-118, TSHA-102, TSHA-103, TSHA-104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10"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17" w:lineRule="exact"/>
        <w:rPr>
          <w:rFonts w:ascii="Arial" w:cs="Arial" w:eastAsia="Arial" w:hAnsi="Arial"/>
          <w:sz w:val="18"/>
          <w:szCs w:val="18"/>
          <w:color w:val="auto"/>
        </w:rPr>
      </w:pPr>
    </w:p>
    <w:p>
      <w:pPr>
        <w:ind w:left="780" w:right="120" w:hanging="219"/>
        <w:spacing w:after="0" w:line="24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TSHA-101, TSHA-118, TSHA-102, TSHA-103, TSHA-104 or any other product candidate;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line="24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102" w:lineRule="exact"/>
        <w:rPr>
          <w:rFonts w:ascii="Arial" w:cs="Arial" w:eastAsia="Arial" w:hAnsi="Arial"/>
          <w:sz w:val="18"/>
          <w:szCs w:val="18"/>
          <w:color w:val="auto"/>
        </w:rPr>
      </w:pPr>
    </w:p>
    <w:p>
      <w:pPr>
        <w:ind w:left="780" w:right="720" w:hanging="219"/>
        <w:spacing w:after="0" w:line="24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80" w:right="360" w:hanging="219"/>
        <w:spacing w:after="0" w:line="24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208"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2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(deficit) per share of our common stock. Therefore, if you purchase shares of our common stock in this offering, you will pay a price per share that substantially exceeds our pro forma as adjusted net tangible book value per share after this offering. Based on the assumed initial public offering price of</w:t>
      </w:r>
    </w:p>
    <w:p>
      <w:pPr>
        <w:spacing w:after="0" w:line="2" w:lineRule="exact"/>
        <w:rPr>
          <w:sz w:val="20"/>
          <w:szCs w:val="20"/>
          <w:color w:val="auto"/>
        </w:rPr>
      </w:pPr>
    </w:p>
    <w:p>
      <w:pPr>
        <w:ind w:left="5520" w:right="4440" w:hanging="5512"/>
        <w:spacing w:after="0" w:line="418" w:lineRule="auto"/>
        <w:tabs>
          <w:tab w:leader="none" w:pos="7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71</w:t>
      </w:r>
    </w:p>
    <w:p>
      <w:pPr>
        <w:sectPr>
          <w:pgSz w:w="11900" w:h="16838" w:orient="portrait"/>
          <w:cols w:equalWidth="0" w:num="1">
            <w:col w:w="11200"/>
          </w:cols>
          <w:pgMar w:left="320" w:top="459"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prospectus, you will experience immediate dilution of $</w:t>
      </w:r>
      <w:r>
        <w:rPr>
          <w:sz w:val="20"/>
          <w:szCs w:val="20"/>
          <w:color w:val="auto"/>
        </w:rPr>
        <w:tab/>
      </w:r>
      <w:r>
        <w:rPr>
          <w:rFonts w:ascii="Arial" w:cs="Arial" w:eastAsia="Arial" w:hAnsi="Arial"/>
          <w:sz w:val="18"/>
          <w:szCs w:val="18"/>
          <w:color w:val="auto"/>
        </w:rPr>
        <w:t>per share, representing the difference between our pro forma as adjusted net</w:t>
      </w:r>
    </w:p>
    <w:p>
      <w:pPr>
        <w:spacing w:after="0"/>
        <w:rPr>
          <w:sz w:val="20"/>
          <w:szCs w:val="20"/>
          <w:color w:val="auto"/>
        </w:rPr>
      </w:pPr>
      <w:r>
        <w:rPr>
          <w:rFonts w:ascii="Arial" w:cs="Arial" w:eastAsia="Arial" w:hAnsi="Arial"/>
          <w:sz w:val="18"/>
          <w:szCs w:val="18"/>
          <w:color w:val="auto"/>
        </w:rPr>
        <w:t>tangible book value per share after this offering and the assumed initial public offering price.</w:t>
      </w:r>
    </w:p>
    <w:p>
      <w:pPr>
        <w:spacing w:after="0" w:line="21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In addition, as of September 2, 2020, we had outstanding stock options to purchase an aggregate of 15,000 shares of common stock at an exercise price of $16.23 per share. To the extent these outstanding options are exercised, there will be further dilution to investors in this offering.</w:t>
      </w:r>
    </w:p>
    <w:p>
      <w:pPr>
        <w:spacing w:after="0" w:line="28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8"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203" w:lineRule="exact"/>
        <w:rPr>
          <w:sz w:val="20"/>
          <w:szCs w:val="20"/>
          <w:color w:val="auto"/>
        </w:rPr>
      </w:pPr>
    </w:p>
    <w:p>
      <w:pPr>
        <w:ind w:right="560" w:firstLine="562"/>
        <w:spacing w:after="0" w:line="234" w:lineRule="auto"/>
        <w:rPr>
          <w:sz w:val="20"/>
          <w:szCs w:val="20"/>
          <w:color w:val="auto"/>
        </w:rPr>
      </w:pPr>
      <w:r>
        <w:rPr>
          <w:rFonts w:ascii="Arial" w:cs="Arial" w:eastAsia="Arial" w:hAnsi="Arial"/>
          <w:sz w:val="18"/>
          <w:szCs w:val="18"/>
          <w:color w:val="auto"/>
        </w:rPr>
        <w:t>Upon the closing of this offering, we will have outstanding shares of common stock, after giving effect to the automatic conversion of our outstanding convertible preferred stock into 15,647,048 shares of our common stock, and assuming no exercise of</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outstanding options to purchase shares of our convertible preferred stock. Of these shares, the shares sold in this offering will be freely tradable upon the closing of this offering and the remaining shares of common stock will be available for sale in the public market beginning 180 days after the date of this prospectus following the expiration of lock-up agreements between some of our stockholders and the underwriters. Goldman Sachs &amp; Co. LLC, Morgan Stanley &amp; Co. LLC and Jefferies LLC may release these stockholders from</w:t>
      </w:r>
    </w:p>
    <w:p>
      <w:pPr>
        <w:spacing w:after="0" w:line="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their lock-up agreements with the underwriters at any time and without notice, which would allow for earlier sales of shares in the public market.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following the closing of this offering, we intend to file one or more registration statements on Form S-8 under the Securities</w:t>
      </w:r>
    </w:p>
    <w:p>
      <w:pPr>
        <w:ind w:right="80"/>
        <w:spacing w:after="0" w:line="238" w:lineRule="auto"/>
        <w:rPr>
          <w:sz w:val="20"/>
          <w:szCs w:val="20"/>
          <w:color w:val="auto"/>
        </w:rPr>
      </w:pPr>
      <w:r>
        <w:rPr>
          <w:rFonts w:ascii="Arial" w:cs="Arial" w:eastAsia="Arial" w:hAnsi="Arial"/>
          <w:sz w:val="18"/>
          <w:szCs w:val="18"/>
          <w:color w:val="auto"/>
        </w:rPr>
        <w:t>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205"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Additionally, after this offering, the holders of an aggregate of 25,647,048 shares of our common stock, or their transferees, will have rights, subject to some conditions, to require us to file one or more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8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83" w:lineRule="exact"/>
        <w:rPr>
          <w:sz w:val="20"/>
          <w:szCs w:val="20"/>
          <w:color w:val="auto"/>
        </w:rPr>
      </w:pPr>
    </w:p>
    <w:p>
      <w:pPr>
        <w:ind w:firstLine="562"/>
        <w:spacing w:after="0" w:line="248" w:lineRule="auto"/>
        <w:rPr>
          <w:sz w:val="20"/>
          <w:szCs w:val="20"/>
          <w:color w:val="auto"/>
        </w:rPr>
      </w:pPr>
      <w:r>
        <w:rPr>
          <w:rFonts w:ascii="Arial" w:cs="Arial" w:eastAsia="Arial" w:hAnsi="Arial"/>
          <w:sz w:val="17"/>
          <w:szCs w:val="17"/>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and other stockholders. For 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17" w:lineRule="exact"/>
        <w:rPr>
          <w:sz w:val="20"/>
          <w:szCs w:val="20"/>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 2/3% vote and only for cause;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9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8"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over 80% of our outstanding common stock prior to this offering and will continue to own a majority of our common stock following this offering.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202" w:lineRule="exact"/>
        <w:rPr>
          <w:sz w:val="20"/>
          <w:szCs w:val="20"/>
          <w:color w:val="auto"/>
        </w:rPr>
      </w:pPr>
    </w:p>
    <w:p>
      <w:pPr>
        <w:ind w:right="700" w:firstLine="562"/>
        <w:spacing w:after="0" w:line="246"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83"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108" w:lineRule="exact"/>
        <w:rPr>
          <w:sz w:val="20"/>
          <w:szCs w:val="20"/>
          <w:color w:val="auto"/>
        </w:rPr>
      </w:pPr>
    </w:p>
    <w:p>
      <w:pPr>
        <w:ind w:left="780" w:right="58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02" w:lineRule="exact"/>
        <w:rPr>
          <w:rFonts w:ascii="Arial" w:cs="Arial" w:eastAsia="Arial" w:hAnsi="Arial"/>
          <w:sz w:val="18"/>
          <w:szCs w:val="18"/>
          <w:color w:val="auto"/>
        </w:rPr>
      </w:pPr>
    </w:p>
    <w:p>
      <w:pPr>
        <w:ind w:left="780" w:right="12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Arial" w:cs="Arial" w:eastAsia="Arial" w:hAnsi="Arial"/>
          <w:sz w:val="18"/>
          <w:szCs w:val="18"/>
          <w:color w:val="auto"/>
        </w:rPr>
      </w:pPr>
    </w:p>
    <w:p>
      <w:pPr>
        <w:ind w:left="780" w:right="68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02" w:lineRule="exact"/>
        <w:rPr>
          <w:rFonts w:ascii="Arial" w:cs="Arial" w:eastAsia="Arial" w:hAnsi="Arial"/>
          <w:sz w:val="18"/>
          <w:szCs w:val="18"/>
          <w:color w:val="auto"/>
        </w:rPr>
      </w:pPr>
    </w:p>
    <w:p>
      <w:pPr>
        <w:ind w:left="780" w:right="780" w:hanging="219"/>
        <w:spacing w:after="0" w:line="246"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97"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203" w:lineRule="exact"/>
        <w:rPr>
          <w:sz w:val="20"/>
          <w:szCs w:val="20"/>
          <w:color w:val="auto"/>
        </w:rPr>
      </w:pPr>
    </w:p>
    <w:p>
      <w:pPr>
        <w:ind w:right="460" w:firstLine="562"/>
        <w:spacing w:after="0"/>
        <w:rPr>
          <w:sz w:val="20"/>
          <w:szCs w:val="20"/>
          <w:color w:val="auto"/>
        </w:rPr>
      </w:pPr>
      <w:r>
        <w:rPr>
          <w:rFonts w:ascii="Arial" w:cs="Arial" w:eastAsia="Arial" w:hAnsi="Arial"/>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8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68"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After the closing of this offering, we will be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205"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Commencing with our fiscal year ending December 31, 2021, we must perform system and process evaluation and testing of our internal control over financial reporting to allow management to report on the effectiveness of our internal control over financial reporting in our Form 10-K filing for that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2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8" w:lineRule="exact"/>
        <w:rPr>
          <w:sz w:val="20"/>
          <w:szCs w:val="20"/>
          <w:color w:val="auto"/>
        </w:rPr>
      </w:pPr>
    </w:p>
    <w:p>
      <w:pPr>
        <w:ind w:right="140" w:firstLine="562"/>
        <w:spacing w:after="0" w:line="234"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cash and cash equivalents, to .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126"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We expect to generate significant federal and state net operating loss, or NOL, carryforwards in the future. These NOL carryforwards could expire unused and be unavailable to offset future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tax liabilities. Under the Tax Cuts and Jobs, or the Tax Act, as modified by the CARES Act, federal NOLs incurred in taxable years beginning after December 31, 2017 and in future taxable years may be carried forward indefinitely, but the deductibility of such federal NOLs incurred in the taxable year 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9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8"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costs, which we anticipate will be between $1.0 million and $2.0 million annually.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02" w:lineRule="exact"/>
        <w:rPr>
          <w:sz w:val="20"/>
          <w:szCs w:val="20"/>
          <w:color w:val="auto"/>
        </w:rPr>
      </w:pPr>
    </w:p>
    <w:p>
      <w:pPr>
        <w:ind w:left="780" w:hanging="219"/>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02"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11" w:lineRule="exact"/>
        <w:rPr>
          <w:sz w:val="20"/>
          <w:szCs w:val="20"/>
          <w:color w:val="auto"/>
        </w:rPr>
      </w:pPr>
    </w:p>
    <w:p>
      <w:pPr>
        <w:ind w:left="780" w:right="2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08"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our planned IND and CTA submissions, initiation of clinical trials and timing of expected clinical results for TSHA-101, TSHA-118, TSHA-102, TSHA-103, TSHA-104 and our other future product candidates;</w:t>
      </w:r>
    </w:p>
    <w:p>
      <w:pPr>
        <w:spacing w:after="0" w:line="102"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102" w:lineRule="exact"/>
        <w:rPr>
          <w:rFonts w:ascii="Arial" w:cs="Arial" w:eastAsia="Arial" w:hAnsi="Arial"/>
          <w:sz w:val="18"/>
          <w:szCs w:val="18"/>
          <w:color w:val="auto"/>
        </w:rPr>
      </w:pPr>
    </w:p>
    <w:p>
      <w:pPr>
        <w:ind w:left="780" w:right="56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which could adversely impact our business, including our preclinical studies and clinical trials;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our product candidates, and to enroll patients in trials;</w:t>
      </w:r>
    </w:p>
    <w:p>
      <w:pPr>
        <w:spacing w:after="0" w:line="117" w:lineRule="exact"/>
        <w:rPr>
          <w:rFonts w:ascii="Arial" w:cs="Arial" w:eastAsia="Arial" w:hAnsi="Arial"/>
          <w:sz w:val="18"/>
          <w:szCs w:val="18"/>
          <w:color w:val="auto"/>
        </w:rPr>
      </w:pPr>
    </w:p>
    <w:p>
      <w:pPr>
        <w:ind w:left="780" w:right="50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102" w:lineRule="exact"/>
        <w:rPr>
          <w:rFonts w:ascii="Arial" w:cs="Arial" w:eastAsia="Arial" w:hAnsi="Arial"/>
          <w:sz w:val="18"/>
          <w:szCs w:val="18"/>
          <w:color w:val="auto"/>
        </w:rPr>
      </w:pPr>
    </w:p>
    <w:p>
      <w:pPr>
        <w:ind w:left="780" w:right="34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102"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TSHA-101, TSHA-118, TSHA-102, TSHA-103, TSHA-104 or any other product candidate;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leverage our platform, including our next-generation technologies, to identify and develop future product candidates;</w:t>
      </w:r>
    </w:p>
    <w:p>
      <w:pPr>
        <w:spacing w:after="0" w:line="117"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17"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reliance upon intellectual property licensed from third parties and our ability to obtain such licenses on commercially reasonable terms or at all;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2"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The foregoing list of risks is not exhaustive. Other sections of this prospectus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 You should refer to the ‘‘Risk Factors’’ section of this prospectus for a discussion of important factors that may cause our actual results to differ materially from those expressed or implied by our forward-looking statements.</w:t>
      </w:r>
    </w:p>
    <w:p>
      <w:pPr>
        <w:spacing w:after="0" w:line="205"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obtained the industry, statistical and market data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we are not aware of any misstatements regarding the third-party information and we believe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6500" w:val="left"/>
        </w:tabs>
        <w:rPr>
          <w:sz w:val="20"/>
          <w:szCs w:val="20"/>
          <w:color w:val="auto"/>
        </w:rPr>
      </w:pPr>
      <w:r>
        <w:rPr>
          <w:rFonts w:ascii="Arial" w:cs="Arial" w:eastAsia="Arial" w:hAnsi="Arial"/>
          <w:sz w:val="18"/>
          <w:szCs w:val="18"/>
          <w:color w:val="auto"/>
        </w:rPr>
        <w:t>We estimate that the net proceeds from our issuance and sale of</w:t>
      </w:r>
      <w:r>
        <w:rPr>
          <w:sz w:val="20"/>
          <w:szCs w:val="20"/>
          <w:color w:val="auto"/>
        </w:rPr>
        <w:tab/>
      </w:r>
      <w:r>
        <w:rPr>
          <w:rFonts w:ascii="Arial" w:cs="Arial" w:eastAsia="Arial" w:hAnsi="Arial"/>
          <w:sz w:val="17"/>
          <w:szCs w:val="17"/>
          <w:color w:val="auto"/>
        </w:rPr>
        <w:t>shares of our common stock in this offering will be</w:t>
      </w:r>
    </w:p>
    <w:p>
      <w:pPr>
        <w:spacing w:after="0"/>
        <w:tabs>
          <w:tab w:leader="none" w:pos="2060" w:val="left"/>
          <w:tab w:leader="none" w:pos="49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million if the underwriters exercise in full their option to purchase up</w:t>
      </w:r>
    </w:p>
    <w:p>
      <w:pPr>
        <w:spacing w:after="0"/>
        <w:tabs>
          <w:tab w:leader="none" w:pos="940" w:val="left"/>
          <w:tab w:leader="none" w:pos="67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additional shares), assuming an initial public offering price of $</w:t>
      </w:r>
      <w:r>
        <w:rPr>
          <w:sz w:val="20"/>
          <w:szCs w:val="20"/>
          <w:color w:val="auto"/>
        </w:rPr>
        <w:tab/>
      </w:r>
      <w:r>
        <w:rPr>
          <w:rFonts w:ascii="Arial" w:cs="Arial" w:eastAsia="Arial" w:hAnsi="Arial"/>
          <w:sz w:val="17"/>
          <w:szCs w:val="17"/>
          <w:color w:val="auto"/>
        </w:rPr>
        <w:t>per share, which is the midpoint of the price range set</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forth on the cover page of this prospectus, and after deducting the estimated underwriting discounts and commissions and estimated offering expenses payable by us.</w:t>
      </w:r>
    </w:p>
    <w:p>
      <w:pPr>
        <w:spacing w:after="0" w:line="197" w:lineRule="exact"/>
        <w:rPr>
          <w:sz w:val="20"/>
          <w:szCs w:val="20"/>
          <w:color w:val="auto"/>
        </w:rPr>
      </w:pPr>
    </w:p>
    <w:p>
      <w:pPr>
        <w:ind w:right="40" w:firstLine="562"/>
        <w:spacing w:after="0" w:line="234" w:lineRule="auto"/>
        <w:rPr>
          <w:sz w:val="20"/>
          <w:szCs w:val="20"/>
          <w:color w:val="auto"/>
        </w:rPr>
      </w:pPr>
      <w:r>
        <w:rPr>
          <w:rFonts w:ascii="Arial" w:cs="Arial" w:eastAsia="Arial" w:hAnsi="Arial"/>
          <w:sz w:val="18"/>
          <w:szCs w:val="18"/>
          <w:color w:val="auto"/>
        </w:rPr>
        <w:t>Each $1.00 increase (decrease) in the assumed initial public offering price of $ per share would increase (decrease) the net proceeds to us from this offering by approximately $ million, assuming the number of shares offered by us, as set forth on the cover</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payable by us, by approximately $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203"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As of June 30, 2020, we had a cash balance of $11.2 million. In July and August 2020, we received $107.1 million of aggregate net proceeds from an additional closing of our Series A convertible preferred stock financing and the issuance and sale of our Series B convertible preferred stock. We intend to use the net proceeds from this offering, together with our existing cash and cash equivalents, as follows:</w:t>
      </w:r>
    </w:p>
    <w:p>
      <w:pPr>
        <w:sectPr>
          <w:pgSz w:w="11900" w:h="16838" w:orient="portrait"/>
          <w:cols w:equalWidth="0" w:num="1">
            <w:col w:w="11220"/>
          </w:cols>
          <w:pgMar w:left="320" w:top="459" w:right="359" w:bottom="1440" w:gutter="0" w:footer="0" w:header="0"/>
        </w:sectPr>
      </w:pPr>
    </w:p>
    <w:p>
      <w:pPr>
        <w:spacing w:after="0" w:line="110" w:lineRule="exact"/>
        <w:rPr>
          <w:sz w:val="20"/>
          <w:szCs w:val="20"/>
          <w:color w:val="auto"/>
        </w:r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approximately $</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million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3">
            <w:col w:w="2120" w:space="720"/>
            <w:col w:w="720" w:space="640"/>
            <w:col w:w="7020"/>
          </w:cols>
          <w:pgMar w:left="320" w:top="459" w:right="359" w:bottom="1440" w:gutter="0" w:footer="0" w:header="0"/>
          <w:type w:val="continuous"/>
        </w:sect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million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and</w:t>
      </w:r>
    </w:p>
    <w:p>
      <w:pPr>
        <w:spacing w:after="0" w:line="128" w:lineRule="exact"/>
        <w:rPr>
          <w:sz w:val="20"/>
          <w:szCs w:val="20"/>
          <w:color w:val="auto"/>
        </w:rPr>
      </w:pPr>
    </w:p>
    <w:p>
      <w:pPr>
        <w:sectPr>
          <w:pgSz w:w="11900" w:h="16838" w:orient="portrait"/>
          <w:cols w:equalWidth="0" w:num="3">
            <w:col w:w="2120" w:space="720"/>
            <w:col w:w="720" w:space="640"/>
            <w:col w:w="7020"/>
          </w:cols>
          <w:pgMar w:left="320" w:top="459" w:right="359" w:bottom="1440" w:gutter="0" w:footer="0" w:header="0"/>
          <w:type w:val="continuous"/>
        </w:sectPr>
      </w:pPr>
    </w:p>
    <w:p>
      <w:pPr>
        <w:ind w:left="560"/>
        <w:spacing w:after="0"/>
        <w:tabs>
          <w:tab w:leader="none" w:pos="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working capital and other general corporate purposes.</w:t>
      </w:r>
    </w:p>
    <w:p>
      <w:pPr>
        <w:spacing w:after="0" w:line="212"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We believe that the anticipated net proceeds of this offering, together with our existing cash and cash equivalents, will enable us to fund our operating expenses and capital requirements into . Based on our current operational plans and assumptions, we expect our cash and cash equivalents, together with the net proceeds from this offering, will be sufficient to . We have based these</w:t>
      </w:r>
    </w:p>
    <w:p>
      <w:pPr>
        <w:sectPr>
          <w:pgSz w:w="11900" w:h="16838" w:orient="portrait"/>
          <w:cols w:equalWidth="0" w:num="1">
            <w:col w:w="11220"/>
          </w:cols>
          <w:pgMar w:left="320" w:top="459" w:right="359" w:bottom="1440" w:gutter="0" w:footer="0" w:header="0"/>
          <w:type w:val="continuous"/>
        </w:sectPr>
      </w:pPr>
    </w:p>
    <w:p>
      <w:pPr>
        <w:spacing w:after="0" w:line="235" w:lineRule="auto"/>
        <w:rPr>
          <w:sz w:val="20"/>
          <w:szCs w:val="20"/>
          <w:color w:val="auto"/>
        </w:rPr>
      </w:pPr>
      <w:r>
        <w:rPr>
          <w:rFonts w:ascii="Arial" w:cs="Arial" w:eastAsia="Arial" w:hAnsi="Arial"/>
          <w:sz w:val="18"/>
          <w:szCs w:val="18"/>
          <w:color w:val="auto"/>
        </w:rPr>
        <w:t>estimates on assumptions that may prove to be wrong, and we could use our available capital resources sooner than we expect.</w:t>
      </w:r>
    </w:p>
    <w:p>
      <w:pPr>
        <w:spacing w:after="0" w:line="202"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although we have no current agreements, commitments or understandings to do so.</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our drug candidates, and any unforeseen cash needs. 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17" w:lineRule="exact"/>
        <w:rPr>
          <w:sz w:val="20"/>
          <w:szCs w:val="20"/>
          <w:color w:val="auto"/>
        </w:rPr>
      </w:pPr>
    </w:p>
    <w:p>
      <w:pPr>
        <w:ind w:left="780" w:hanging="21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780" w:hanging="219"/>
        <w:spacing w:after="0" w:line="237"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basis to give effect to: (i) the receipt of $107.1 million in aggregate net proceeds from the issuance and sale of Series A and Series B convertible preferred stock in July and August 2020 and the related settlement of the convertible preferred stock tranche liability of $17.2 million; (ii) the conversion of all outstanding shares of our convertible preferred stock into an aggregate of 15,647,048 shares of our common stock, including the conversion of the convertible preferred stock issued in July and August 2020, as if such conversion had occurred on June 30, 2020; and (iii) the filing and effectiveness of our amended and restated certificate of incorporation upon the closing of this offering; and</w:t>
      </w:r>
    </w:p>
    <w:p>
      <w:pPr>
        <w:spacing w:after="0" w:line="105" w:lineRule="exact"/>
        <w:rPr>
          <w:rFonts w:ascii="Arial" w:cs="Arial" w:eastAsia="Arial" w:hAnsi="Arial"/>
          <w:sz w:val="18"/>
          <w:szCs w:val="18"/>
          <w:color w:val="auto"/>
        </w:rPr>
      </w:pPr>
    </w:p>
    <w:p>
      <w:pPr>
        <w:ind w:left="780" w:hanging="21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(i) the pro forma adjustments described above; and (ii) our issuance and sale</w:t>
      </w:r>
    </w:p>
    <w:p>
      <w:pPr>
        <w:jc w:val="both"/>
        <w:ind w:left="780" w:right="60"/>
        <w:spacing w:after="0" w:line="238" w:lineRule="auto"/>
        <w:rPr>
          <w:sz w:val="20"/>
          <w:szCs w:val="20"/>
          <w:color w:val="auto"/>
        </w:rPr>
      </w:pPr>
      <w:r>
        <w:rPr>
          <w:rFonts w:ascii="Arial" w:cs="Arial" w:eastAsia="Arial" w:hAnsi="Arial"/>
          <w:sz w:val="18"/>
          <w:szCs w:val="18"/>
          <w:color w:val="auto"/>
        </w:rPr>
        <w:t>of shares of common stock in this offering at an assumed initial public offering price of $ per share, which is the midpoint of the price range set forth on the cover page of this prospectus, after deducting the estimated underwriting discounts and estimated offering expenses payable by us. This pro forma as adjusted information is illustrative only and will depend on the actual initial public offering price and other terms of this offering determined at pricing.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at the end of this prospectus, the sections of this prospectus titled “Selected Financial Data” and “Management’s Discussion and Analysis of Financial Condition and Results of Operations” and other financial information contained in this prospectus.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 June 30, 2020</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5"/>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Pro Forma</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r>
      <w:tr>
        <w:trPr>
          <w:trHeight w:val="156"/>
        </w:trPr>
        <w:tc>
          <w:tcPr>
            <w:tcW w:w="3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7"/>
          </w:tcPr>
          <w:p>
            <w:pPr>
              <w:ind w:left="36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60" w:type="dxa"/>
            <w:vAlign w:val="bottom"/>
          </w:tcPr>
          <w:p>
            <w:pPr>
              <w:spacing w:after="0"/>
              <w:rPr>
                <w:sz w:val="13"/>
                <w:szCs w:val="13"/>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11,200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118,252</w:t>
            </w: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rPr>
              <w:t>Preferred stock tranche liability</w:t>
            </w:r>
          </w:p>
        </w:tc>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17,176</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7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$0.00001 par value; 10,000,000 shares authorized,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issued and outstanding, actual; no shares authorized, issued or outstanding, pro</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forma and pro forma as adjusted</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18,014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580" w:type="dxa"/>
            <w:vAlign w:val="bottom"/>
            <w:gridSpan w:val="3"/>
          </w:tcPr>
          <w:p>
            <w:pPr>
              <w:spacing w:after="0" w:line="201" w:lineRule="exact"/>
              <w:rPr>
                <w:sz w:val="20"/>
                <w:szCs w:val="20"/>
                <w:color w:val="auto"/>
              </w:rPr>
            </w:pPr>
            <w:r>
              <w:rPr>
                <w:rFonts w:ascii="Arial" w:cs="Arial" w:eastAsia="Arial" w:hAnsi="Arial"/>
                <w:sz w:val="18"/>
                <w:szCs w:val="18"/>
                <w:color w:val="auto"/>
              </w:rPr>
              <w:t>Series B convertible preferred stock, $0.00001 par value; no shares authorized, issued and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2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outstanding, actual, pro forma and pro forma as adjusted</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758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Preferred stock, $0.00001 par value; no shares authorized, issued or outstanding, actual;</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80" w:type="dxa"/>
            <w:vAlign w:val="bottom"/>
            <w:gridSpan w:val="3"/>
          </w:tcPr>
          <w:p>
            <w:pPr>
              <w:ind w:left="1140"/>
              <w:spacing w:after="0" w:line="202" w:lineRule="exact"/>
              <w:rPr>
                <w:sz w:val="20"/>
                <w:szCs w:val="20"/>
                <w:color w:val="auto"/>
              </w:rPr>
            </w:pPr>
            <w:r>
              <w:rPr>
                <w:rFonts w:ascii="Arial" w:cs="Arial" w:eastAsia="Arial" w:hAnsi="Arial"/>
                <w:sz w:val="18"/>
                <w:szCs w:val="18"/>
                <w:color w:val="auto"/>
                <w:w w:val="99"/>
              </w:rPr>
              <w:t>shares authorized and no shares issued or outstanding, pro forma and pro forma</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80" w:type="dxa"/>
            <w:vAlign w:val="bottom"/>
          </w:tcPr>
          <w:p>
            <w:pPr>
              <w:ind w:left="540"/>
              <w:spacing w:after="0" w:line="203" w:lineRule="exact"/>
              <w:rPr>
                <w:sz w:val="20"/>
                <w:szCs w:val="20"/>
                <w:color w:val="auto"/>
              </w:rPr>
            </w:pPr>
            <w:r>
              <w:rPr>
                <w:rFonts w:ascii="Arial" w:cs="Arial" w:eastAsia="Arial" w:hAnsi="Arial"/>
                <w:sz w:val="18"/>
                <w:szCs w:val="18"/>
                <w:color w:val="auto"/>
              </w:rPr>
              <w:t>as adjusted</w:t>
            </w:r>
          </w:p>
        </w:tc>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5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$0.00001 par value; 23,000,000 shares authorized, 10,000,000 shares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actual;</w:t>
            </w:r>
          </w:p>
        </w:tc>
        <w:tc>
          <w:tcPr>
            <w:tcW w:w="4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shares authorized, 25,647,048 shares issued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and outstanding, pro forma;</w:t>
            </w:r>
          </w:p>
        </w:tc>
        <w:tc>
          <w:tcPr>
            <w:tcW w:w="19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shares authorized,</w:t>
            </w:r>
          </w:p>
        </w:tc>
        <w:tc>
          <w:tcPr>
            <w:tcW w:w="23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shares issued and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outstanding, pro forma as adjusted</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9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8"/>
              </w:rPr>
              <w:t>143,222</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(27,766)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(27,766)</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(26,786)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115,456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3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9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8,404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115,456</w:t>
            </w:r>
          </w:p>
        </w:tc>
        <w:tc>
          <w:tcPr>
            <w:tcW w:w="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5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580" w:type="dxa"/>
            <w:vAlign w:val="bottom"/>
            <w:gridSpan w:val="3"/>
          </w:tcPr>
          <w:p>
            <w:pPr>
              <w:ind w:left="56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3660" w:type="dxa"/>
            <w:vAlign w:val="bottom"/>
            <w:gridSpan w:val="10"/>
          </w:tcPr>
          <w:p>
            <w:pPr>
              <w:ind w:left="20"/>
              <w:spacing w:after="0"/>
              <w:rPr>
                <w:sz w:val="20"/>
                <w:szCs w:val="20"/>
                <w:color w:val="auto"/>
              </w:rPr>
            </w:pPr>
            <w:r>
              <w:rPr>
                <w:rFonts w:ascii="Arial" w:cs="Arial" w:eastAsia="Arial" w:hAnsi="Arial"/>
                <w:sz w:val="18"/>
                <w:szCs w:val="18"/>
                <w:color w:val="auto"/>
              </w:rPr>
              <w:t>per share, which is the midpoint of the price</w:t>
            </w:r>
          </w:p>
        </w:tc>
      </w:tr>
    </w:tbl>
    <w:p>
      <w:pPr>
        <w:spacing w:after="0" w:line="234" w:lineRule="auto"/>
        <w:rPr>
          <w:sz w:val="20"/>
          <w:szCs w:val="20"/>
          <w:color w:val="auto"/>
        </w:rPr>
      </w:pPr>
      <w:r>
        <w:rPr>
          <w:rFonts w:ascii="Arial" w:cs="Arial" w:eastAsia="Arial" w:hAnsi="Arial"/>
          <w:sz w:val="18"/>
          <w:szCs w:val="18"/>
          <w:color w:val="auto"/>
        </w:rPr>
        <w:t>range set forth on the cover page of this prospectus, would increase (decrease) the pro forma as adjusted amount of each of cash and cash</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equivalents, additional paid-in capital, total stockholders’ equity and total capitalization by $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w:t>
      </w:r>
    </w:p>
    <w:p>
      <w:pPr>
        <w:spacing w:after="0" w:line="2" w:lineRule="exact"/>
        <w:rPr>
          <w:sz w:val="20"/>
          <w:szCs w:val="20"/>
          <w:color w:val="auto"/>
        </w:rPr>
      </w:pPr>
    </w:p>
    <w:p>
      <w:pPr>
        <w:ind w:right="60"/>
        <w:spacing w:after="0" w:line="587" w:lineRule="auto"/>
        <w:rPr>
          <w:sz w:val="20"/>
          <w:szCs w:val="20"/>
          <w:color w:val="auto"/>
        </w:rPr>
      </w:pPr>
      <w:r>
        <w:rPr>
          <w:rFonts w:ascii="Arial" w:cs="Arial" w:eastAsia="Arial" w:hAnsi="Arial"/>
          <w:sz w:val="18"/>
          <w:szCs w:val="18"/>
          <w:color w:val="auto"/>
        </w:rPr>
        <w:t>number of shares offered by us at the assumed initial public offering price per share of $ per share, which is the midpoint of the price range set forth on the cover page of this prospectus, would increase (decrease) the pro forma as adjusted amount of each of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paid-in capital, total stockholders’ equity and total capitalization by $</w:t>
      </w:r>
      <w:r>
        <w:rPr>
          <w:sz w:val="20"/>
          <w:szCs w:val="20"/>
          <w:color w:val="auto"/>
        </w:rPr>
        <w:tab/>
      </w:r>
      <w:r>
        <w:rPr>
          <w:rFonts w:ascii="Arial" w:cs="Arial" w:eastAsia="Arial" w:hAnsi="Arial"/>
          <w:sz w:val="18"/>
          <w:szCs w:val="18"/>
          <w:color w:val="auto"/>
        </w:rPr>
        <w:t>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our common stock outstanding in the table above excludes:</w:t>
      </w:r>
    </w:p>
    <w:p>
      <w:pPr>
        <w:spacing w:after="0" w:line="117" w:lineRule="exact"/>
        <w:rPr>
          <w:sz w:val="20"/>
          <w:szCs w:val="20"/>
          <w:color w:val="auto"/>
        </w:rPr>
      </w:pPr>
    </w:p>
    <w:p>
      <w:pPr>
        <w:ind w:left="780" w:hanging="219"/>
        <w:spacing w:after="0" w:line="24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15,000 shares of our common stock issuable upon the exercise of options under the Existing Plan, granted subsequent to June 30, 2020, at an exercise price of $16.23 per share;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705,882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2,615,935 shares of common stock issuable upon the vesting of restricted stock units awarded under the Existing Plan subsequent to June 30, 2020;</w:t>
      </w:r>
    </w:p>
    <w:p>
      <w:pPr>
        <w:spacing w:after="0" w:line="102" w:lineRule="exact"/>
        <w:rPr>
          <w:rFonts w:ascii="Arial" w:cs="Arial" w:eastAsia="Arial" w:hAnsi="Arial"/>
          <w:sz w:val="18"/>
          <w:szCs w:val="18"/>
          <w:color w:val="auto"/>
        </w:rPr>
      </w:pPr>
    </w:p>
    <w:p>
      <w:pPr>
        <w:ind w:left="780" w:right="80" w:hanging="219"/>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192,595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108" w:lineRule="exact"/>
        <w:rPr>
          <w:rFonts w:ascii="Arial" w:cs="Arial" w:eastAsia="Arial" w:hAnsi="Arial"/>
          <w:sz w:val="18"/>
          <w:szCs w:val="18"/>
          <w:color w:val="auto"/>
        </w:rPr>
      </w:pPr>
    </w:p>
    <w:p>
      <w:pPr>
        <w:ind w:left="780" w:right="80" w:hanging="219"/>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108" w:lineRule="exact"/>
        <w:rPr>
          <w:rFonts w:ascii="Arial" w:cs="Arial" w:eastAsia="Arial" w:hAnsi="Arial"/>
          <w:sz w:val="18"/>
          <w:szCs w:val="18"/>
          <w:color w:val="auto"/>
        </w:rPr>
      </w:pPr>
    </w:p>
    <w:p>
      <w:pPr>
        <w:jc w:val="both"/>
        <w:ind w:left="780" w:right="160" w:hanging="219"/>
        <w:spacing w:after="0"/>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320" w:top="459"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20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As of June 30, 2020, we had a historical net tangible book value (deficit) of $ (26.8) million, or $(2.68) per share of common stock. Our historical net tangible book value (deficit) per share represents total tangible assets less total liabilities, including our convertible preferred stock, divided by the number of shares of our common stock outstanding as of June 30, 2020.</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pro forma net tangible book value as of June 30, 2020 was $115.5 million, or $4.50 per share of our common stock. Pro forma net tangible book value represents the amount of our total tangible assets less our total liabilities, after giving effect to (i) the receipt of $107.1 million in net proceeds from the issuance and sale of Series A and Series B convertible preferred stock in July and August 2020 and the related settlement of the convertible preferred stock tranche liability and (ii) the conversion of all outstanding shares of our convertible preferred stock, including the conversion of the convertible preferred stock issued in July and August 2020, into an aggregate of 15,647,048 shares of our common stock, as if such conversion had occurred on June 30, 2020. Pro forma net tangible book value per share represents pro forma net tangible book value divided by the total number of shares outstanding as of June 30, 2020, after giving effect to the pro forma adjustments described above.</w:t>
      </w:r>
    </w:p>
    <w:p>
      <w:pPr>
        <w:spacing w:after="0" w:line="203" w:lineRule="exact"/>
        <w:rPr>
          <w:sz w:val="20"/>
          <w:szCs w:val="20"/>
          <w:color w:val="auto"/>
        </w:rPr>
      </w:pPr>
    </w:p>
    <w:p>
      <w:pPr>
        <w:ind w:left="560"/>
        <w:spacing w:after="0"/>
        <w:tabs>
          <w:tab w:leader="none" w:pos="448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7"/>
          <w:szCs w:val="17"/>
          <w:color w:val="auto"/>
        </w:rPr>
        <w:t>shares of common stock in this offering at an assumed initial public offering price of</w:t>
      </w:r>
    </w:p>
    <w:p>
      <w:pPr>
        <w:ind w:left="960" w:hanging="952"/>
        <w:spacing w:after="0" w:line="234"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and after deducting the</w:t>
      </w:r>
    </w:p>
    <w:p>
      <w:pPr>
        <w:spacing w:after="0" w:line="234" w:lineRule="auto"/>
        <w:rPr>
          <w:rFonts w:ascii="Arial" w:cs="Arial" w:eastAsia="Arial" w:hAnsi="Arial"/>
          <w:sz w:val="18"/>
          <w:szCs w:val="18"/>
          <w:color w:val="auto"/>
        </w:rPr>
      </w:pPr>
      <w:r>
        <w:rPr>
          <w:rFonts w:ascii="Arial" w:cs="Arial" w:eastAsia="Arial" w:hAnsi="Arial"/>
          <w:sz w:val="18"/>
          <w:szCs w:val="18"/>
          <w:color w:val="auto"/>
        </w:rPr>
        <w:t>estimated underwriting discounts and commissions and estimated offering expenses payable by us, our pro forma as adjusted net tangible</w:t>
      </w:r>
    </w:p>
    <w:p>
      <w:pPr>
        <w:spacing w:after="0" w:line="20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book value as of June 30, 2020 would have been $ million, or $ per share. This amount represents an immediate increase in pro forma net tangible book value of $ per share to our existing stockholders and immediate dilution of $ per</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share to new investors in this offering. We determine dilution by subtracting the pro forma as adjusted net tangible book value per share after this offering from the amount of cash that a new investor paid for a share of common stock in this offering.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00" w:type="dxa"/>
            <w:vAlign w:val="bottom"/>
          </w:tcPr>
          <w:p>
            <w:pPr>
              <w:ind w:left="560"/>
              <w:spacing w:after="0"/>
              <w:rPr>
                <w:sz w:val="20"/>
                <w:szCs w:val="20"/>
                <w:color w:val="auto"/>
              </w:rPr>
            </w:pPr>
            <w:r>
              <w:rPr>
                <w:rFonts w:ascii="Arial" w:cs="Arial" w:eastAsia="Arial" w:hAnsi="Arial"/>
                <w:sz w:val="18"/>
                <w:szCs w:val="18"/>
                <w:color w:val="auto"/>
              </w:rPr>
              <w:t>The following table illustrates this dilution:</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940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8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$(2.68)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9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 forma increase in net tangible book value (deficit) per share attributable to the pro forma transactions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4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described above</w:t>
            </w:r>
          </w:p>
        </w:tc>
        <w:tc>
          <w:tcPr>
            <w:tcW w:w="1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40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participating in</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4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this offering</w:t>
            </w:r>
          </w:p>
        </w:tc>
        <w:tc>
          <w:tcPr>
            <w:tcW w:w="1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40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10420" w:type="dxa"/>
            <w:vAlign w:val="bottom"/>
            <w:gridSpan w:val="5"/>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240" w:type="dxa"/>
            <w:vAlign w:val="bottom"/>
            <w:gridSpan w:val="7"/>
          </w:tcPr>
          <w:p>
            <w:pPr>
              <w:ind w:left="560"/>
              <w:spacing w:after="0"/>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w:t>
            </w:r>
          </w:p>
        </w:tc>
      </w:tr>
      <w:tr>
        <w:trPr>
          <w:trHeight w:val="203"/>
        </w:trPr>
        <w:tc>
          <w:tcPr>
            <w:tcW w:w="10280" w:type="dxa"/>
            <w:vAlign w:val="bottom"/>
            <w:gridSpan w:val="4"/>
          </w:tcPr>
          <w:p>
            <w:pPr>
              <w:spacing w:after="0" w:line="202" w:lineRule="exact"/>
              <w:rPr>
                <w:sz w:val="20"/>
                <w:szCs w:val="20"/>
                <w:color w:val="auto"/>
              </w:rPr>
            </w:pPr>
            <w:r>
              <w:rPr>
                <w:rFonts w:ascii="Arial" w:cs="Arial" w:eastAsia="Arial" w:hAnsi="Arial"/>
                <w:sz w:val="18"/>
                <w:szCs w:val="18"/>
                <w:color w:val="auto"/>
              </w:rPr>
              <w:t>terms of this offering determined at pricing. Each $1.00 increase (decrease) in the assumed initial public offering price of $</w:t>
            </w:r>
          </w:p>
        </w:tc>
        <w:tc>
          <w:tcPr>
            <w:tcW w:w="140" w:type="dxa"/>
            <w:vAlign w:val="bottom"/>
          </w:tcPr>
          <w:p>
            <w:pPr>
              <w:spacing w:after="0"/>
              <w:rPr>
                <w:sz w:val="17"/>
                <w:szCs w:val="17"/>
                <w:color w:val="auto"/>
              </w:rPr>
            </w:pPr>
          </w:p>
        </w:tc>
        <w:tc>
          <w:tcPr>
            <w:tcW w:w="8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per</w:t>
            </w:r>
          </w:p>
        </w:tc>
      </w:tr>
    </w:tbl>
    <w:p>
      <w:pPr>
        <w:spacing w:after="0"/>
        <w:rPr>
          <w:sz w:val="20"/>
          <w:szCs w:val="20"/>
          <w:color w:val="auto"/>
        </w:rPr>
      </w:pPr>
      <w:r>
        <w:rPr>
          <w:rFonts w:ascii="Arial" w:cs="Arial" w:eastAsia="Arial" w:hAnsi="Arial"/>
          <w:sz w:val="18"/>
          <w:szCs w:val="18"/>
          <w:color w:val="auto"/>
        </w:rPr>
        <w:t>share, which is the midpoint of the price range set forth on the cover page of this prospectus, would increase (decrease) the pro forma as</w:t>
      </w:r>
    </w:p>
    <w:p>
      <w:pPr>
        <w:spacing w:after="0" w:line="200" w:lineRule="exact"/>
        <w:rPr>
          <w:sz w:val="20"/>
          <w:szCs w:val="20"/>
          <w:color w:val="auto"/>
        </w:rPr>
      </w:pPr>
    </w:p>
    <w:p>
      <w:pPr>
        <w:spacing w:after="0" w:line="209"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adjusted net tangible book value per share after this offering by approximately $</w:t>
      </w:r>
      <w:r>
        <w:rPr>
          <w:sz w:val="20"/>
          <w:szCs w:val="20"/>
          <w:color w:val="auto"/>
        </w:rPr>
        <w:tab/>
      </w:r>
      <w:r>
        <w:rPr>
          <w:rFonts w:ascii="Arial" w:cs="Arial" w:eastAsia="Arial" w:hAnsi="Arial"/>
          <w:sz w:val="17"/>
          <w:szCs w:val="17"/>
          <w:color w:val="auto"/>
        </w:rPr>
        <w:t>,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dilution in pro forma net tangible book value per share to new investors by approximately $</w:t>
      </w:r>
      <w:r>
        <w:rPr>
          <w:sz w:val="20"/>
          <w:szCs w:val="20"/>
          <w:color w:val="auto"/>
        </w:rPr>
        <w:tab/>
      </w:r>
      <w:r>
        <w:rPr>
          <w:rFonts w:ascii="Arial" w:cs="Arial" w:eastAsia="Arial" w:hAnsi="Arial"/>
          <w:sz w:val="18"/>
          <w:szCs w:val="18"/>
          <w:color w:val="auto"/>
        </w:rPr>
        <w:t>, assuming that the number of shares</w:t>
      </w:r>
    </w:p>
    <w:p>
      <w:pPr>
        <w:ind w:right="120"/>
        <w:spacing w:after="0" w:line="192" w:lineRule="auto"/>
        <w:rPr>
          <w:sz w:val="20"/>
          <w:szCs w:val="20"/>
          <w:color w:val="auto"/>
        </w:rPr>
      </w:pPr>
      <w:r>
        <w:rPr>
          <w:rFonts w:ascii="Arial" w:cs="Arial" w:eastAsia="Arial" w:hAnsi="Arial"/>
          <w:sz w:val="11"/>
          <w:szCs w:val="11"/>
          <w:color w:val="auto"/>
        </w:rPr>
        <w:t>offered by us, as set forth on the cover page of this prospectus, remains the same and after deducting estimated underwriting discounts and commissions and estimated offering expenses payable by us. An increase of 1.0 million shares in the number of shares we are offering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would increase the pro forma as adjusted net tangible book value per share after this offering by $ and decrease the dilution per share to new investors participating in this offering by $ , assuming no change in the assumed initial public offering price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after deducting the estimated underwriting discounts and commissions. A decrease of 1.0 million shares in the number of shares we are</w:t>
      </w:r>
    </w:p>
    <w:p>
      <w:pPr>
        <w:spacing w:after="0" w:line="200" w:lineRule="exact"/>
        <w:rPr>
          <w:sz w:val="20"/>
          <w:szCs w:val="20"/>
          <w:color w:val="auto"/>
        </w:rPr>
      </w:pPr>
    </w:p>
    <w:p>
      <w:pPr>
        <w:spacing w:after="0" w:line="20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offering would decrease the pro forma as adjusted net tangible book value per share after this offering by $ and increase the dilution per share to new investors participating in this offering by $ , assuming no change in the assumed initial public offering price per share and after deducting the estimated underwriting discounts and commissions.</w:t>
      </w:r>
    </w:p>
    <w:p>
      <w:pPr>
        <w:spacing w:after="0" w:line="203"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spacing w:after="0" w:line="205"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The following table summarizes, as of June 30, 2020, on the pro forma as adjusted basis described above, the differences between the number of shares purchased from us, the total consideration paid to us in cash and the average price per share that existing stockholders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and new investors paid for such shares. The calculation below is based on an assumed initial public offering price of $ per share, which is the midpoint of the price range set forth on the cover page of this prospectus, before deducting the estimated underwriting discounts and commissions and estimated offering expenses payable by 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38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rPr>
              <w:t>Total Shares</w:t>
            </w:r>
          </w:p>
        </w:tc>
        <w:tc>
          <w:tcPr>
            <w:tcW w:w="120" w:type="dxa"/>
            <w:vAlign w:val="bottom"/>
          </w:tcPr>
          <w:p>
            <w:pPr>
              <w:spacing w:after="0"/>
              <w:rPr>
                <w:sz w:val="14"/>
                <w:szCs w:val="14"/>
                <w:color w:val="auto"/>
              </w:rPr>
            </w:pPr>
          </w:p>
        </w:tc>
        <w:tc>
          <w:tcPr>
            <w:tcW w:w="242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w:t>
            </w: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25,647,048</w:t>
            </w: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125,999,896</w:t>
            </w: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9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The foregoing tables and calculations are based on the number of shares of our common stock outstanding as of June 30, 2020, after giving effect to the conversion of all outstanding shares of our convertible preferred stock into an aggregate of 15,647,048 shares of common stock, including the conversion of the convertible preferred stock issued in July and August 2020, and excludes:</w:t>
      </w:r>
    </w:p>
    <w:p>
      <w:pPr>
        <w:spacing w:after="0" w:line="108" w:lineRule="exact"/>
        <w:rPr>
          <w:sz w:val="20"/>
          <w:szCs w:val="20"/>
          <w:color w:val="auto"/>
        </w:rPr>
      </w:pPr>
    </w:p>
    <w:p>
      <w:pPr>
        <w:ind w:left="780" w:right="60" w:hanging="219"/>
        <w:spacing w:after="0" w:line="246"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15,000 shares of our common stock issuable upon the exercise of options under the Existing Plan, granted subsequent to June 30, 2020, at an exercise price of $16.23 per share;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705,882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2,615,935 shares of common stock issuable upon the vesting of restricted stock units awarded under the Existing Plan subsequent to June 30, 2020;</w:t>
      </w:r>
    </w:p>
    <w:p>
      <w:pPr>
        <w:spacing w:after="0" w:line="102" w:lineRule="exact"/>
        <w:rPr>
          <w:rFonts w:ascii="Arial" w:cs="Arial" w:eastAsia="Arial" w:hAnsi="Arial"/>
          <w:sz w:val="18"/>
          <w:szCs w:val="18"/>
          <w:color w:val="auto"/>
        </w:rPr>
      </w:pPr>
    </w:p>
    <w:p>
      <w:pPr>
        <w:ind w:left="780" w:right="140" w:hanging="219"/>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192,595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108" w:lineRule="exact"/>
        <w:rPr>
          <w:rFonts w:ascii="Arial" w:cs="Arial" w:eastAsia="Arial" w:hAnsi="Arial"/>
          <w:sz w:val="18"/>
          <w:szCs w:val="18"/>
          <w:color w:val="auto"/>
        </w:rPr>
      </w:pPr>
    </w:p>
    <w:p>
      <w:pPr>
        <w:jc w:val="both"/>
        <w:ind w:left="780" w:right="80" w:hanging="219"/>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The following tables set forth our selected statement of operations data for the period from September 20, 2019 (the date of our inception) through December 31, 2019 and the selected balance sheet data as of December 31, 2019. We have derived the statement of operations data for the period from September 20, 2019 (the date of our inception) through December 31, 2019 and the balance sheet data as of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208"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8"/>
          <w:szCs w:val="18"/>
          <w:color w:val="auto"/>
        </w:rPr>
        <w:t>You should read the following selected financial data together with our financial statements and the related notes thereto included elsewhere in this prospectus and the section of this prospectus titled “Management’s Discussion and Analysis of Financial Condition and Results of Operations.” The selected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Period from September 20,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2019 (date of inception)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1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9"/>
              </w:rPr>
              <w:t>$</w:t>
            </w: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987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2"/>
          </w:tcPr>
          <w:p>
            <w:pPr>
              <w:jc w:val="right"/>
              <w:ind w:right="126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00"/>
              <w:spacing w:after="0" w:line="202" w:lineRule="exact"/>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3020" w:type="dxa"/>
            <w:vAlign w:val="bottom"/>
            <w:gridSpan w:val="2"/>
          </w:tcPr>
          <w:p>
            <w:pPr>
              <w:jc w:val="right"/>
              <w:ind w:right="1200"/>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6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w w:val="99"/>
              </w:rPr>
              <w:t>$</w:t>
            </w:r>
          </w:p>
        </w:tc>
        <w:tc>
          <w:tcPr>
            <w:tcW w:w="3020" w:type="dxa"/>
            <w:vAlign w:val="bottom"/>
            <w:gridSpan w:val="2"/>
            <w:shd w:val="clear" w:color="auto" w:fill="CCEEFF"/>
          </w:tcPr>
          <w:p>
            <w:pPr>
              <w:jc w:val="right"/>
              <w:ind w:right="1200"/>
              <w:spacing w:after="0" w:line="196" w:lineRule="exact"/>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2"/>
          </w:tcPr>
          <w:p>
            <w:pPr>
              <w:jc w:val="right"/>
              <w:ind w:right="1260"/>
              <w:spacing w:after="0" w:line="196" w:lineRule="exact"/>
              <w:rPr>
                <w:sz w:val="20"/>
                <w:szCs w:val="20"/>
                <w:color w:val="auto"/>
              </w:rPr>
            </w:pPr>
            <w:r>
              <w:rPr>
                <w:rFonts w:ascii="Arial" w:cs="Arial" w:eastAsia="Arial" w:hAnsi="Arial"/>
                <w:sz w:val="18"/>
                <w:szCs w:val="18"/>
                <w:color w:val="auto"/>
              </w:rPr>
              <w:t>8,834,951</w:t>
            </w: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common share, basic and diluted (unaudited)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used in computing pro forma</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80"/>
              <w:spacing w:after="0" w:line="203" w:lineRule="exact"/>
              <w:rPr>
                <w:sz w:val="20"/>
                <w:szCs w:val="20"/>
                <w:color w:val="auto"/>
              </w:rPr>
            </w:pPr>
            <w:r>
              <w:rPr>
                <w:rFonts w:ascii="Arial" w:cs="Arial" w:eastAsia="Arial" w:hAnsi="Arial"/>
                <w:sz w:val="18"/>
                <w:szCs w:val="18"/>
                <w:color w:val="auto"/>
              </w:rPr>
              <w:t>net loss per share (unaudited)(1)</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13,924,176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82" w:lineRule="exact"/>
        <w:rPr>
          <w:sz w:val="20"/>
          <w:szCs w:val="20"/>
          <w:color w:val="auto"/>
        </w:rPr>
      </w:pPr>
    </w:p>
    <w:p>
      <w:pPr>
        <w:ind w:left="560" w:right="80" w:hanging="552"/>
        <w:spacing w:after="0"/>
        <w:tabs>
          <w:tab w:leader="none" w:pos="5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included elsewhere in this prospectus for an explanation of the method used to calculate historical and pro forma net loss per share and historical and pro forma weighted average common shares outstanding.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5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10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83"/>
        </w:trPr>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3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$ 11,200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Working capital deficit(1)</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(8,791)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11,318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17,176</w:t>
            </w:r>
          </w:p>
        </w:tc>
      </w:tr>
      <w:tr>
        <w:trPr>
          <w:trHeight w:val="202"/>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18,014</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(1,115)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left="560" w:right="380" w:hanging="552"/>
        <w:spacing w:after="0" w:line="246" w:lineRule="auto"/>
        <w:tabs>
          <w:tab w:leader="none" w:pos="5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define working capital deficit as current assets less current liabilities. See our financial statements appearing elsewhere in this prospectus.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60" w:firstLine="562"/>
        <w:spacing w:after="0" w:line="25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Financial Data” section of this prospectus and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capabilities, we believe we have created a powerful engine to develop transformative therapies to dramatically improve patients’ lives. We expect to initiate a Phase 1/2 clinical trial of TSHA-101 for the treatment of GM2 gangliosidosis, under a Clinical Trial Application,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0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preclinical testing stage. We do not have any product candidates approved for sale and have not generated any revenue from product sales. We have funded our operations through the sale of equity, raising an aggregate of $126.0 million of gross proceeds from the sale of shares of our convertible preferred stock through August 2020.</w:t>
      </w:r>
    </w:p>
    <w:p>
      <w:pPr>
        <w:spacing w:after="0" w:line="9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Since our inception, we have incurred significant operating losses. Our net losses were $1.1 million for the period from September 20, 2019 (date of inception) through December 31, 2019, and $26.7 million for the six months ended June 30, 2020. As of June 30, 2020, we had an accumulated deficit of $27.8 million. We expect to continue to incur significant expenses and operating losses for the foreseeable future. We anticipate that our expenses will increase significantly in connection with our ongoing activities, as we:</w:t>
      </w:r>
    </w:p>
    <w:p>
      <w:pPr>
        <w:spacing w:after="0" w:line="110" w:lineRule="exact"/>
        <w:rPr>
          <w:sz w:val="20"/>
          <w:szCs w:val="20"/>
          <w:color w:val="auto"/>
        </w:rPr>
      </w:pPr>
    </w:p>
    <w:p>
      <w:pPr>
        <w:jc w:val="center"/>
        <w:ind w:left="5520" w:right="360" w:hanging="4959"/>
        <w:spacing w:after="0" w:line="418" w:lineRule="auto"/>
        <w:tabs>
          <w:tab w:leader="none" w:pos="7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 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280" w:hanging="219"/>
        <w:spacing w:after="0" w:line="24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conduct our planned clinical trial of TSHA-101, as well as initiate and complete additional clinical trials of TSHA-101, TSHA-118, TSHA-102, TSHA-103, TSHA-104 and future product candidates;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4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4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26"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In November 2019, we entered into the UT Southwestern Agreement with The Board of Regents of the University of Texas System on behalf of UT Southwestern, as amended in April 2020.</w:t>
      </w:r>
    </w:p>
    <w:p>
      <w:pPr>
        <w:spacing w:after="0" w:line="89"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95"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In connection with the entry into the UT Southwestern Agreement, we issued to UT Southwestern 2,000,000 shares of our common stock. We do not have any future milestone or royalty obligations to UT Southwestern under the UT Southwestern Agreement, other than costs related to the maintenance of patents.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connection with the Queen’s University Agreement, we paid Queen’s University a one-time fee of $3.0 million as an upfront fee and approximately $220,000 to reimburse Queen’s University for certain plasmid production costs.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207"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We are also obligated under the terms of a separate research grant agreement between us and Queen’s University to pay up to a total of $3.8 million to fund certain manufacturing 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August 2020, we entered into a license agreement, or the Abeona Agreement, with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(or infantile Batten disease) in humans.</w:t>
      </w:r>
    </w:p>
    <w:p>
      <w:pPr>
        <w:spacing w:after="0" w:line="202"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208" w:lineRule="exact"/>
        <w:rPr>
          <w:sz w:val="20"/>
          <w:szCs w:val="20"/>
          <w:color w:val="auto"/>
        </w:rPr>
      </w:pPr>
    </w:p>
    <w:p>
      <w:pPr>
        <w:ind w:right="280" w:firstLine="562"/>
        <w:spacing w:after="0"/>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110" w:lineRule="exact"/>
        <w:rPr>
          <w:sz w:val="20"/>
          <w:szCs w:val="20"/>
          <w:color w:val="auto"/>
        </w:rPr>
      </w:pPr>
    </w:p>
    <w:p>
      <w:pPr>
        <w:ind w:left="780" w:right="680" w:hanging="219"/>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102" w:lineRule="exact"/>
        <w:rPr>
          <w:rFonts w:ascii="Arial" w:cs="Arial" w:eastAsia="Arial" w:hAnsi="Arial"/>
          <w:sz w:val="18"/>
          <w:szCs w:val="18"/>
          <w:color w:val="auto"/>
        </w:rPr>
      </w:pPr>
    </w:p>
    <w:p>
      <w:pPr>
        <w:ind w:left="780" w:right="820" w:hanging="219"/>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investigative sites and consultants to conduct our preclinical studies;</w:t>
      </w:r>
    </w:p>
    <w:p>
      <w:pPr>
        <w:spacing w:after="0" w:line="102" w:lineRule="exact"/>
        <w:rPr>
          <w:rFonts w:ascii="Arial" w:cs="Arial" w:eastAsia="Arial" w:hAnsi="Arial"/>
          <w:sz w:val="18"/>
          <w:szCs w:val="18"/>
          <w:color w:val="auto"/>
        </w:rPr>
      </w:pPr>
    </w:p>
    <w:p>
      <w:pPr>
        <w:ind w:left="780" w:right="260" w:hanging="219"/>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Research and development activities are central to our business model. We do not currently track our research and development expenses on a program-by-program basis as such costs are deployed across multiple projects under development.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substantial additional capital in the future. Our clinical development costs are expected to increase significantly as we commence clinical trials. Our future expenses may vary significantly each period based on factors such as:</w:t>
      </w:r>
    </w:p>
    <w:p>
      <w:pPr>
        <w:spacing w:after="0" w:line="102" w:lineRule="exact"/>
        <w:rPr>
          <w:sz w:val="20"/>
          <w:szCs w:val="20"/>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780" w:right="140" w:hanging="219"/>
        <w:spacing w:after="0" w:line="24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102" w:lineRule="exact"/>
        <w:rPr>
          <w:rFonts w:ascii="Arial" w:cs="Arial" w:eastAsia="Arial" w:hAnsi="Arial"/>
          <w:sz w:val="18"/>
          <w:szCs w:val="18"/>
          <w:color w:val="auto"/>
        </w:rPr>
      </w:pPr>
    </w:p>
    <w:p>
      <w:pPr>
        <w:jc w:val="both"/>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accounting and tax-related services and insurance costs. We began paying salaries and related costs for personnel during the quarter ended June 30, 2020 and granted equity awards to employees and directors during the quarter ending September 30, 2020.</w:t>
      </w:r>
    </w:p>
    <w:p>
      <w:pPr>
        <w:spacing w:after="0" w:line="94"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$1.0 million and $2.0 million on an annual basis.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2020</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Ended</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w:t>
            </w:r>
          </w:p>
        </w:tc>
      </w:tr>
      <w:tr>
        <w:trPr>
          <w:trHeight w:val="175"/>
        </w:trPr>
        <w:tc>
          <w:tcPr>
            <w:tcW w:w="10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103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8,576</w:t>
            </w: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7"/>
                <w:szCs w:val="17"/>
                <w:color w:val="auto"/>
              </w:rPr>
            </w:pPr>
          </w:p>
        </w:tc>
      </w:tr>
      <w:tr>
        <w:trPr>
          <w:trHeight w:val="217"/>
        </w:trPr>
        <w:tc>
          <w:tcPr>
            <w:tcW w:w="10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(9,594)</w:t>
            </w:r>
          </w:p>
        </w:tc>
      </w:tr>
      <w:tr>
        <w:trPr>
          <w:trHeight w:val="209"/>
        </w:trPr>
        <w:tc>
          <w:tcPr>
            <w:tcW w:w="1034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(17,030)</w:t>
            </w: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7"/>
        </w:trPr>
        <w:tc>
          <w:tcPr>
            <w:tcW w:w="10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(17,057)</w:t>
            </w:r>
          </w:p>
        </w:tc>
      </w:tr>
      <w:tr>
        <w:trPr>
          <w:trHeight w:val="210"/>
        </w:trPr>
        <w:tc>
          <w:tcPr>
            <w:tcW w:w="103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0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Research and development expenses were $8.6 million for the six months ended June 30, 2020, and were primarily attributable to the upfront payment pursuant to the Queen’s University Agreement for $3.0 million in March 2020, $3.8 million of chemistry, manufacturing and control costs for clinical trial material, $1.5 million of research expenses and the remainder in research and development personnel and consulting costs. We expensed the initial cost of the license acquired pursuant to the Queen’s University Agreement within research and development expenses as it does not have an alternative future use.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General and administrative expenses were $1.0 million for the six months ended June 30, 2020 and were primarily attributable to $0.5 million of compensation and benefits to new hires, $0.3 million in consulting fees and $0.2 million of legal expenses related to general corporate matters.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12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20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On June 30, 2020, ahead of the anticipated closing of the Series B preferred stock financing at a purchase price of $17.00 per share on July 2, 2020, certain investors elected to exercise in full their options to purchase their pro-rata portion of the milestone shares prior to our achievement of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clinical milestones and purchased 200,000 shares of Series A convertible preferred stock. We remeasured the fair value of the entire tranche liability at June 30, 2020, and recognized a non-cash expense of approximately $17.0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September 20, 2019 (date of inception) through December 31,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 from September 20, 2019 (date of inception) through</w:t>
      </w:r>
    </w:p>
    <w:p>
      <w:pPr>
        <w:spacing w:after="0"/>
        <w:rPr>
          <w:sz w:val="20"/>
          <w:szCs w:val="20"/>
          <w:color w:val="auto"/>
        </w:rPr>
      </w:pPr>
      <w:r>
        <w:rPr>
          <w:rFonts w:ascii="Arial" w:cs="Arial" w:eastAsia="Arial" w:hAnsi="Arial"/>
          <w:sz w:val="18"/>
          <w:szCs w:val="18"/>
          <w:color w:val="auto"/>
        </w:rPr>
        <w:t>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Period from</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20, 2019</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(date of inception)</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w:t>
            </w:r>
          </w:p>
        </w:tc>
      </w:tr>
      <w:tr>
        <w:trPr>
          <w:trHeight w:val="175"/>
        </w:trPr>
        <w:tc>
          <w:tcPr>
            <w:tcW w:w="6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6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7"/>
                <w:szCs w:val="17"/>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r>
      <w:tr>
        <w:trPr>
          <w:trHeight w:val="20"/>
        </w:trPr>
        <w:tc>
          <w:tcPr>
            <w:tcW w:w="6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Research and development expenses were $1.0 million for the period from September 20, 2019 (date of inception) through December 31, 2019, and were primarily attributable to the issuance of 2,000,000 shares to UT Southwestern as consideration for the license rights granted under the UT Southwestern Agreement. We expensed the initial cost of the license within research and development expenses as it does not have an alternative future use, and measured the cost of the license based on the grant date fair value of the aggregate shares of common stock issued to UT Southwestern of $980,000, or $0.49 per share. We anticipate our research and development expenses will continue to increase as we advance development of our programs.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General and administrative expenses were $ 0.1 million for the period from September 20, 2019 (date of inception) through December 31, 2019, and were primarily attributable to legal and formation costs. We anticipate that our general and administrative expenses will increase in the future as we increase our headcount to support our expanded operations as well as from increases in costs related to our public company compliance efforts.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As of June 30, 2020, we had cash and cash equivalents of $11.2 million. We have funded our operations through sales of convertible preferred stock, raising an aggregate of $126.0 million of gross proceeds from the sale of shares of our convertible preferred stock through August 2020.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In addition, if we obtain approval for any of our product candidates, we expect to incur significant commercialization expenses related to sales, marketing, manufacturing and distribution. Furthermore, following the completion of this offering,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w:t>
      </w:r>
    </w:p>
    <w:p>
      <w:pPr>
        <w:spacing w:after="0"/>
        <w:rPr>
          <w:sz w:val="20"/>
          <w:szCs w:val="20"/>
          <w:color w:val="auto"/>
        </w:rPr>
      </w:pPr>
      <w:r>
        <w:rPr>
          <w:rFonts w:ascii="Arial" w:cs="Arial" w:eastAsia="Arial" w:hAnsi="Arial"/>
          <w:sz w:val="18"/>
          <w:szCs w:val="18"/>
          <w:color w:val="auto"/>
        </w:rPr>
        <w:t>fund our operating expenses and capital requirements into . We intend to devote the majority of the net proceeds from this offering to the clinical and preclinical development of our product candidates. We have based this estimate on assumptions that may prove to be imprecise, and we could utilize our available capital resources sooner than we expect.</w:t>
      </w:r>
    </w:p>
    <w:p>
      <w:pPr>
        <w:spacing w:after="0" w:line="9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108" w:lineRule="exact"/>
        <w:rPr>
          <w:sz w:val="20"/>
          <w:szCs w:val="20"/>
          <w:color w:val="auto"/>
        </w:rPr>
      </w:pPr>
    </w:p>
    <w:p>
      <w:pPr>
        <w:ind w:left="780" w:right="38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102" w:lineRule="exact"/>
        <w:rPr>
          <w:rFonts w:ascii="Arial" w:cs="Arial" w:eastAsia="Arial" w:hAnsi="Arial"/>
          <w:sz w:val="18"/>
          <w:szCs w:val="18"/>
          <w:color w:val="auto"/>
        </w:rPr>
      </w:pPr>
    </w:p>
    <w:p>
      <w:pPr>
        <w:ind w:left="780" w:right="58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102" w:lineRule="exact"/>
        <w:rPr>
          <w:rFonts w:ascii="Arial" w:cs="Arial" w:eastAsia="Arial" w:hAnsi="Arial"/>
          <w:sz w:val="18"/>
          <w:szCs w:val="18"/>
          <w:color w:val="auto"/>
        </w:rPr>
      </w:pPr>
    </w:p>
    <w:p>
      <w:pPr>
        <w:ind w:left="780" w:right="36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6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780" w:right="400" w:hanging="219"/>
        <w:spacing w:after="0" w:line="24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04" w:lineRule="exact"/>
        <w:rPr>
          <w:sz w:val="20"/>
          <w:szCs w:val="20"/>
          <w:color w:val="auto"/>
        </w:rPr>
      </w:pPr>
    </w:p>
    <w:p>
      <w:pPr>
        <w:ind w:right="120" w:firstLine="562"/>
        <w:spacing w:after="0" w:line="252" w:lineRule="auto"/>
        <w:rPr>
          <w:sz w:val="20"/>
          <w:szCs w:val="20"/>
          <w:color w:val="auto"/>
        </w:rPr>
      </w:pPr>
      <w:r>
        <w:rPr>
          <w:rFonts w:ascii="Arial" w:cs="Arial" w:eastAsia="Arial" w:hAnsi="Arial"/>
          <w:sz w:val="17"/>
          <w:szCs w:val="17"/>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Prior to the issuance and sale of our Series A convertible preferred stock in March 2020, we had no cash. Outstanding accrued expenses of $0.2 million as of December 31, 2019 were paid in 2020 following the receipt of the proceeds from the issuance and sale of our Series A convertible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six months ended June 30, 2020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4400" w:type="dxa"/>
            <w:vAlign w:val="bottom"/>
            <w:tcBorders>
              <w:bottom w:val="single" w:sz="8" w:color="CCEEFF"/>
            </w:tcBorders>
          </w:tcPr>
          <w:p>
            <w:pPr>
              <w:spacing w:after="0"/>
              <w:rPr>
                <w:sz w:val="15"/>
                <w:szCs w:val="15"/>
                <w:color w:val="auto"/>
              </w:rPr>
            </w:pPr>
          </w:p>
        </w:tc>
        <w:tc>
          <w:tcPr>
            <w:tcW w:w="5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59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59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940" w:type="dxa"/>
            <w:vAlign w:val="bottom"/>
            <w:vMerge w:val="restart"/>
          </w:tcPr>
          <w:p>
            <w:pPr>
              <w:jc w:val="right"/>
              <w:ind w:right="4530"/>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During the six months ended June 30, 2020, operating activities used $4.2 million of cash. Net cash used in operating activities for the six months ended June 30, 2020 was primarily attributable to a $ 26.7 million net loss and offset by $20.0 million of non-cash items, primarily driven by a change in fair value of our preferred stock tranche of $17.0 million liability related to the issuance of Series A convertible preferred stock and the upfront payment to acquire the license rights pursuant to the Queen’s University Agreement for $ 3.0 million, which was recorded as a component of research and development expenses. The $26.7 million net loss was also partially offset by a $2.5 million increase in the cash provided by operating assets and liabilities, primarily resulting from an increase in accounts payable and accrued expenses.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During the six months ended June 30, 2020, investing activities used $3.0 million of cash attributable to the upfront payment to acquire the license rights pursuant to the Queen’s University Agreement of $3.0 million.</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During the six months ended June 30, 2020, financing activities provided $18.4 million of cash, which was primarily attributable to the issuance of 6,200,000 shares of our Series A convertible preferred stock in exchange for gross proceeds of $18.6 million, net of the payment of issuance costs of approximately $0.3 million. In January 2020, we also entered into two secured promissory notes with a related party, our President and Chief Executive Officer, RA Session II, for an aggregate of $ 1.67 million. During March 2020, we repaid $1.65 million of the notes. The remaining balance of approximately $28,000 was repaid in July 2020.</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34" w:lineRule="exact"/>
        <w:rPr>
          <w:sz w:val="20"/>
          <w:szCs w:val="20"/>
          <w:color w:val="auto"/>
        </w:rPr>
      </w:pPr>
    </w:p>
    <w:p>
      <w:pPr>
        <w:jc w:val="both"/>
        <w:ind w:right="200" w:firstLine="562"/>
        <w:spacing w:after="0"/>
        <w:rPr>
          <w:sz w:val="20"/>
          <w:szCs w:val="20"/>
          <w:color w:val="auto"/>
        </w:rPr>
      </w:pPr>
      <w:r>
        <w:rPr>
          <w:rFonts w:ascii="Arial" w:cs="Arial" w:eastAsia="Arial" w:hAnsi="Arial"/>
          <w:sz w:val="18"/>
          <w:szCs w:val="18"/>
          <w:color w:val="auto"/>
        </w:rPr>
        <w:t>As of December 31, 2019, we did not have any commitments or contractual obligations. In addition, we enter into agreements in the normal course of business with CROs, CMOs and other vendors for research and development services for operating purposes, which are generally cancelable upon written notice. These payments are therefore not included in our contractual obligations herein.</w:t>
      </w:r>
    </w:p>
    <w:p>
      <w:pPr>
        <w:spacing w:after="0" w:line="203"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We have not included milestone or royalty payments or other contractual payment obligations as the timing and amount of such obligations are unknown or uncertain, and are contingent upon the initiation and successful completion of future activities. See Notes 4 and 10 to our unaudited condensed consolidated financial statements included elsewhere in this prospectus.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4"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accordance with U.S. GAAP, we evaluate our estimates and judgments on an ongoing basis, including those related to accrued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financial statements and our unaudited condensed consolidated financial statements appearing elsewhere in this prospectus, we believe the following are the critical accounting policies used in the preparation of our financial statements that require significant estimates and judgments.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third-party licenses.</w:t>
      </w:r>
    </w:p>
    <w:p>
      <w:pPr>
        <w:spacing w:after="0" w:line="212"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For the six months ended June 30, 2020 and the period from September 20, 2019 (date of inception) through December 31, 2019, we did not incur any stock-based compensation expense related to equity awards granted to any employee, director or consultant. We began granting equity awards to employees and directors in the quarter ending September 30, 2020.</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On July 1, 2020, we granted options to purchase an aggregate of 2,658,822 shares of common stock, all of which were subsequently cancelled, and a restricted stock award with respect to 705,882 shares of restricted common stock under our 2020 Equity Incentive Plan. We estimated that the fair value of such restricted stock was $5.75 per share. On September 2, 2020, we granted options to purchase an aggregate of 15,000 shares with an exercise price of $16.23 per share and restricted stock unit awards with respect to 2,615,935 shares of common stock. We estimated that the fair value of such restricted stock units was $16.23 per share.</w:t>
      </w:r>
    </w:p>
    <w:p>
      <w:pPr>
        <w:spacing w:after="0" w:line="202" w:lineRule="exact"/>
        <w:rPr>
          <w:sz w:val="20"/>
          <w:szCs w:val="20"/>
          <w:color w:val="auto"/>
        </w:rPr>
      </w:pPr>
    </w:p>
    <w:p>
      <w:pPr>
        <w:jc w:val="both"/>
        <w:ind w:right="160" w:firstLine="562"/>
        <w:spacing w:after="0" w:line="238" w:lineRule="auto"/>
        <w:rPr>
          <w:sz w:val="20"/>
          <w:szCs w:val="20"/>
          <w:color w:val="auto"/>
        </w:rPr>
      </w:pPr>
      <w:r>
        <w:rPr>
          <w:rFonts w:ascii="Arial" w:cs="Arial" w:eastAsia="Arial" w:hAnsi="Arial"/>
          <w:sz w:val="18"/>
          <w:szCs w:val="18"/>
          <w:color w:val="auto"/>
        </w:rPr>
        <w:t>We measure and recognize compensation expense for all options, restricted common stock awards and restricted stock units based on the estimated fair value of the award on the grant date. For our grants of restricted common stock awards and restricted stock units, the grant date fair value is based on the fair value of our common stock on the date of grant. We use the Black-Scholes option-pricing model to estimate the fair value of option awards. The fair value of these awards is recognized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32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expense over the requisite service period, which is generally the vesting period of the respective award, on a straight-line basis when the only condition to vesting is continued service. We account for forfeitures as they occur. For awards where vesting is subject to a market or performance condition, expense recognition would be based on the derived service period. Expense for awards with performance conditions would be estimated and adjusted on a quarterly basis based upon our assessment of the probability that the performance condition will be met.</w:t>
      </w:r>
    </w:p>
    <w:p>
      <w:pPr>
        <w:spacing w:after="0" w:line="20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The determination of the grant date fair value of options using an option-pricing model is affected principally by our estimated fair value of shares of our common stock and requires management to make a number of other assumptions, including the expected life of the option, the volatility of the underlying shares, the risk-free interest rate and expected dividends. The assumptions used in our Black-Scholes option-pricing model represent management’s best estimates at the time of grant. These estimates are complex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are estimated as follows:</w:t>
      </w:r>
    </w:p>
    <w:p>
      <w:pPr>
        <w:spacing w:after="0" w:line="99" w:lineRule="exact"/>
        <w:rPr>
          <w:sz w:val="20"/>
          <w:szCs w:val="20"/>
          <w:color w:val="auto"/>
        </w:rPr>
      </w:pPr>
    </w:p>
    <w:p>
      <w:pPr>
        <w:ind w:left="780" w:right="320" w:hanging="219"/>
        <w:spacing w:after="0" w:line="26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common stock has not historically been publicly traded, we estimate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See “—Fair Value of Common Stock.”</w:t>
      </w:r>
    </w:p>
    <w:p>
      <w:pPr>
        <w:spacing w:after="0" w:line="65" w:lineRule="exact"/>
        <w:rPr>
          <w:rFonts w:ascii="Arial" w:cs="Arial" w:eastAsia="Arial" w:hAnsi="Arial"/>
          <w:sz w:val="18"/>
          <w:szCs w:val="18"/>
          <w:color w:val="auto"/>
        </w:rPr>
      </w:pPr>
    </w:p>
    <w:p>
      <w:pPr>
        <w:ind w:left="780" w:right="180" w:hanging="219"/>
        <w:spacing w:after="0" w:line="245"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our options are expected to be outstanding. For options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“plain vanilla”, we calculate the expected term using the simplified method based on the average of each option’s vesting term and the contractual period during which the option can be exercised, which is typically 10 years following the date of grant.</w:t>
      </w:r>
    </w:p>
    <w:p>
      <w:pPr>
        <w:spacing w:after="0" w:line="86" w:lineRule="exact"/>
        <w:rPr>
          <w:rFonts w:ascii="Arial" w:cs="Arial" w:eastAsia="Arial" w:hAnsi="Arial"/>
          <w:sz w:val="18"/>
          <w:szCs w:val="18"/>
          <w:color w:val="auto"/>
        </w:rPr>
      </w:pPr>
    </w:p>
    <w:p>
      <w:pPr>
        <w:ind w:left="780" w:right="180" w:hanging="219"/>
        <w:spacing w:after="0" w:line="250"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based on the historical share volatility of several of our comparable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of time equal to the expected term of the options, as we do not have any trading history to use the volatility of our own common stock.</w:t>
      </w:r>
    </w:p>
    <w:p>
      <w:pPr>
        <w:spacing w:after="0" w:line="82" w:lineRule="exact"/>
        <w:rPr>
          <w:rFonts w:ascii="Arial" w:cs="Arial" w:eastAsia="Arial" w:hAnsi="Arial"/>
          <w:sz w:val="18"/>
          <w:szCs w:val="18"/>
          <w:color w:val="auto"/>
        </w:rPr>
      </w:pPr>
    </w:p>
    <w:p>
      <w:pPr>
        <w:ind w:left="780" w:right="200" w:hanging="219"/>
        <w:spacing w:after="0" w:line="26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term of the award.</w:t>
      </w:r>
    </w:p>
    <w:p>
      <w:pPr>
        <w:spacing w:after="0" w:line="65" w:lineRule="exact"/>
        <w:rPr>
          <w:rFonts w:ascii="Arial" w:cs="Arial" w:eastAsia="Arial" w:hAnsi="Arial"/>
          <w:sz w:val="18"/>
          <w:szCs w:val="18"/>
          <w:color w:val="auto"/>
        </w:rPr>
      </w:pPr>
    </w:p>
    <w:p>
      <w:pPr>
        <w:ind w:left="780" w:hanging="219"/>
        <w:spacing w:after="0" w:line="26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not paid dividends on our common stock nor do we expect to pay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of Common Stock</w:t>
      </w:r>
    </w:p>
    <w:p>
      <w:pPr>
        <w:spacing w:after="0" w:line="12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Beginning in July 2020 with the approval by our board of directors of our 2020 Equity Incentive Plan, the fair values of the shares of common stock underlying our options were estimated on each grant date by our board of directors. In order to determine the fair value, our board of directors considered, among other things, contemporaneous valuations of our common stock prepared by unrelated third-party valuation firms in accordance with the guidance provided by the American Institute of Certified Public Accountants Audit and Accounting Practice Aid Series: Valuation of Privately-Held-Company Equity Securities Issued as Compensation, or the Practice Aid. Given the absence of a public trading market of our capital stock, our board of directors will exercise reasonable judgment and consider a number of objective and subjective factors to determine the best estimate of the fair value of our common and preferred stock, including:</w:t>
      </w:r>
    </w:p>
    <w:p>
      <w:pPr>
        <w:spacing w:after="0" w:line="108" w:lineRule="exact"/>
        <w:rPr>
          <w:sz w:val="20"/>
          <w:szCs w:val="20"/>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contemporaneous third-party valuations of our common stock;</w:t>
      </w:r>
    </w:p>
    <w:p>
      <w:pPr>
        <w:spacing w:after="0" w:line="117" w:lineRule="exact"/>
        <w:rPr>
          <w:rFonts w:ascii="Arial" w:cs="Arial" w:eastAsia="Arial" w:hAnsi="Arial"/>
          <w:sz w:val="18"/>
          <w:szCs w:val="18"/>
          <w:color w:val="auto"/>
        </w:rPr>
      </w:pPr>
    </w:p>
    <w:p>
      <w:pPr>
        <w:ind w:left="5480" w:right="1820" w:hanging="4919"/>
        <w:spacing w:after="0" w:line="418" w:lineRule="auto"/>
        <w:tabs>
          <w:tab w:leader="none" w:pos="78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our common stock; 102</w:t>
      </w:r>
    </w:p>
    <w:p>
      <w:pPr>
        <w:sectPr>
          <w:pgSz w:w="11900" w:h="16838" w:orient="portrait"/>
          <w:cols w:equalWidth="0" w:num="1">
            <w:col w:w="11200"/>
          </w:cols>
          <w:pgMar w:left="32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17" w:lineRule="exact"/>
        <w:rPr>
          <w:rFonts w:ascii="Arial" w:cs="Arial" w:eastAsia="Arial" w:hAnsi="Arial"/>
          <w:sz w:val="18"/>
          <w:szCs w:val="18"/>
          <w:color w:val="auto"/>
        </w:rPr>
      </w:pPr>
    </w:p>
    <w:p>
      <w:pPr>
        <w:ind w:left="780" w:right="700" w:hanging="219"/>
        <w:spacing w:after="0" w:line="24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2"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contemporaneous valuations prepared as of November 19, 2019, March 4, 2020, July 1, 2020 and August 15, 2020 resulted in a valuation of our common stock of $0.49, $0.52, $5.75 and $16.23 per share, respectively, as of those dates.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 Methodology</w:t>
      </w:r>
    </w:p>
    <w:p>
      <w:pPr>
        <w:spacing w:after="0" w:line="12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In determining the estimated fair value of common stock, our board of directors considered the subjective factors discussed above in conjunction with the most recent valuations of our common stock that were prepared by an independent third-party.</w:t>
      </w:r>
    </w:p>
    <w:p>
      <w:pPr>
        <w:spacing w:after="0" w:line="197"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estimating the fair market value of our common stock, our board of directors first determined the equity value of our business using accepted valuation methods. For valuations as of July 1, 2020 and November 19, 2019, we used the option-pricing model, or OPM, under which shares are valued by creating a series of call options with exercise prices based on the liquidation preferences and conversion terms of each equity class. The estimated fair values of the preferred and common stock are inferred by analyzing these options. Specifically, we use the OPM backsolve method to estimate the fair value of our common stock, which derives the implied equity value for one type of equity security from a contemporaneous transaction involving another type of security, such as the shares of our Series A and Series B convertible preferred stock. We used the OPM backsolve method because we were at an early stage of development and future liquidity events were difficult to forecast. We applied a discount for lack of marketability to account for a lack of access to an active public market.</w:t>
      </w:r>
    </w:p>
    <w:p>
      <w:pPr>
        <w:spacing w:after="0" w:line="208"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For the valuation conducted as of August 15, 2020, we used a hybrid equity valuation and allocation model to determine our total equity value and resulting common stock per share value. The methodology aligns with the “Hybrid” method as described in the Practice Aid that incorporates weighted outcomes akin to the Probability Weighted Expected Return Method. Specifically, we considered the possibility of a near term low-priced, mid-priced and high-priced IPO and a scenario where no IPO takes place. This method is generally considered appropriate to use when there are several distinct scenarios to be considered.</w:t>
      </w:r>
    </w:p>
    <w:p>
      <w:pPr>
        <w:spacing w:after="0" w:line="202"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Following the closing of this offering, the fair value of our common stock will be the closing price of our common stock on the Nasdaq Global Market as reported on the date of the grant.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 a freestanding financial instrument, or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changes in its fair value recognized as a component of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estimated the fair value of the tranche liability using a Monte Carlo simulation at the initial issuance date. As of March 4, 2020, the simulations occurred based on our implied aggregate equity value derived from the Series A convertible preferred stock offering price of $3.00 per share, along with, in part, the following subjective assumptions: risk-free rate of 0.59%, an expected volatility of 80%, the expected term to a liquidity event of one year and a 60% probability of achieving the clinical milestones and timing thereof. Subsequently, we estimated the fair value of the tranche liability using a backsolve approach at June 30, 2020, which was calculated based on our aggregate equity value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Income taxes are recorded in accordance with ASC 740, Income Taxes, or ASC 740,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or NOL, carryforwards and research and development tax credit carryforwards. Valuation allowances are provided, if based upon the weight of available evidence, it is more likely than not that some or all of the deferred tax assets will not be realized. We have recorded a full valuation allowance to reduce our net deferred income tax assets to zero. In the event we were to determine that we would be able to realize some or all of our deferred income tax assets in the future, an adjustment to the deferred income tax asset valuation allowance would increase income in the period such determination was made.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See Note 2 to our audited financial statements and our unaudited condensed consolidated financial statements appearing elsewhere in this prospectus for a description of recent accounting pronouncements applicable to our financial statements.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4"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of our investments, including cash equivalents, which may be in the form of a money market fund.</w:t>
      </w:r>
    </w:p>
    <w:p>
      <w:pPr>
        <w:spacing w:after="0" w:line="19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We occasionally contract with vendors globally. We may be subject to fluctuations in foreign currency rates in connection with certain of these agreements. Transactions denominated in currencies other than the United States dollar are recorded based on exchange rates at the time such transactions arise. We have not engaged in the hedging of our foreign currency transactions to date. As of June 30, 2020, substantially all of our total liabilities were denominated in the United States dollar. We therefore believe that the risk of a significant impact on our loss from operations from foreign currency fluctuations is not substantial.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six months ended June 30, 2020 and the period from September 20, 2019 (date of inception) through December 31, 2019.</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3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202"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02" w:lineRule="exact"/>
        <w:rPr>
          <w:sz w:val="20"/>
          <w:szCs w:val="20"/>
          <w:color w:val="auto"/>
        </w:rPr>
      </w:pPr>
    </w:p>
    <w:p>
      <w:pPr>
        <w:jc w:val="both"/>
        <w:ind w:left="780" w:right="44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108" w:lineRule="exact"/>
        <w:rPr>
          <w:rFonts w:ascii="Arial" w:cs="Arial" w:eastAsia="Arial" w:hAnsi="Arial"/>
          <w:sz w:val="18"/>
          <w:szCs w:val="18"/>
          <w:color w:val="auto"/>
        </w:rPr>
      </w:pPr>
    </w:p>
    <w:p>
      <w:pPr>
        <w:ind w:left="780" w:right="540" w:hanging="219"/>
        <w:spacing w:after="0" w:line="24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102" w:lineRule="exact"/>
        <w:rPr>
          <w:rFonts w:ascii="Arial" w:cs="Arial" w:eastAsia="Arial" w:hAnsi="Arial"/>
          <w:sz w:val="18"/>
          <w:szCs w:val="18"/>
          <w:color w:val="auto"/>
        </w:rPr>
      </w:pPr>
    </w:p>
    <w:p>
      <w:pPr>
        <w:ind w:left="780" w:right="460" w:hanging="219"/>
        <w:spacing w:after="0" w:line="24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102" w:lineRule="exact"/>
        <w:rPr>
          <w:rFonts w:ascii="Arial" w:cs="Arial" w:eastAsia="Arial" w:hAnsi="Arial"/>
          <w:sz w:val="18"/>
          <w:szCs w:val="18"/>
          <w:color w:val="auto"/>
        </w:rPr>
      </w:pPr>
    </w:p>
    <w:p>
      <w:pPr>
        <w:ind w:left="780" w:right="840" w:hanging="219"/>
        <w:spacing w:after="0" w:line="24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102" w:lineRule="exact"/>
        <w:rPr>
          <w:rFonts w:ascii="Arial" w:cs="Arial" w:eastAsia="Arial" w:hAnsi="Arial"/>
          <w:sz w:val="18"/>
          <w:szCs w:val="18"/>
          <w:color w:val="auto"/>
        </w:rPr>
      </w:pPr>
    </w:p>
    <w:p>
      <w:pPr>
        <w:ind w:left="780" w:right="980" w:hanging="219"/>
        <w:spacing w:after="0" w:line="24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97"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the December 31, 2025, (ii) the last day of the fiscal year in which we have more than $ 1.07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firstLine="562"/>
        <w:spacing w:after="0" w:line="234"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w:t>
      </w:r>
    </w:p>
    <w:p>
      <w:pPr>
        <w:spacing w:after="0" w:line="2" w:lineRule="exact"/>
        <w:rPr>
          <w:sz w:val="20"/>
          <w:szCs w:val="20"/>
          <w:color w:val="auto"/>
        </w:rPr>
      </w:pPr>
    </w:p>
    <w:p>
      <w:pPr>
        <w:ind w:firstLine="8"/>
        <w:spacing w:after="0" w:line="237" w:lineRule="auto"/>
        <w:tabs>
          <w:tab w:leader="none" w:pos="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320" w:top="459" w:right="3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214" w:lineRule="exact"/>
        <w:rPr>
          <w:sz w:val="20"/>
          <w:szCs w:val="20"/>
          <w:color w:val="auto"/>
        </w:rPr>
      </w:pPr>
    </w:p>
    <w:p>
      <w:pPr>
        <w:ind w:right="380" w:firstLine="562"/>
        <w:spacing w:after="0" w:line="238" w:lineRule="auto"/>
        <w:rPr>
          <w:sz w:val="20"/>
          <w:szCs w:val="20"/>
          <w:color w:val="auto"/>
        </w:rPr>
      </w:pPr>
      <w:r>
        <w:rPr>
          <w:rFonts w:ascii="Arial" w:cs="Arial" w:eastAsia="Arial" w:hAnsi="Arial"/>
          <w:sz w:val="18"/>
          <w:szCs w:val="18"/>
          <w:color w:val="auto"/>
        </w:rPr>
        <w:t>Our pipeline consists of AAV9-based gene therapies intended to be delivered using the intrathecal route of administration. Our manufacturing process utilizes suspension HEK293 cell culture that is highly scalable from the preclinical stages of development through commercialization. We believe this combination of AAV9, intrathecal delivery and suspension cell culture will accelerate our product development timelines while enhancing our probability of successfully developing and commercializing safe, efficacious therapies for patients.</w:t>
      </w:r>
    </w:p>
    <w:p>
      <w:pPr>
        <w:spacing w:after="0" w:line="202"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We use an adeno-associated virus serotype 9, or AAV9, capsid, to deliver therapeutic genes engineered to replace a mutated gene, enhance the expression of a silenced gene or decrease the expression of a gene, depending on the underlying biology of the specific disease. In preclinical studies, the AAV9 capsid has been observed to have significantly higher transduction efficiency in cells of the central nervous system, or CNS, in comparison to AAV serotypes used in other gene therapy programs. In third-party clinical trials, AAV9 has been shown to be well tolerated, and in 2019, Zolgensma was approved as the first systemic gene therapy utilizing AAV9 for the treatment of spinal muscular atrophy, or SMA, Type 1, a severe neurodegenerative disease.</w:t>
      </w:r>
    </w:p>
    <w:p>
      <w:pPr>
        <w:spacing w:after="0" w:line="205"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We use intrathecal administration, which involves direct delivery of our gene therapies to the cerebrospinal fluid, or CSF, to facilitate optimal biodistribution and cell transduction within the CNS. Because the CNS is immune-privileged, intrathecal gene therapy may be administered even in the presence of pre-existing antibodies to AAV. We believe that intrathecal delivery of AAV9-based gene therapies provides the highest likelihood of achieving transformative efficacy for patients suffering from severe, life-threatening neurological diseases.</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believe this capacity will be sufficient to meet the clinical demand for our full pipeline of product candidates. We also intend to establish our own commercial-scale, GMP-</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compliant manufacturing facility to meet demand in the event that our product candidates receive marketing approval.</w:t>
      </w:r>
    </w:p>
    <w:p>
      <w:pPr>
        <w:spacing w:after="0" w:line="21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 neurodegenerative diseases, neurodevelopmental disorders and genetic epilepsies. Neurodegenerative diseases refer to conditions characterized by the progressive degeneration of the structures and functions of the CNS. Our neurodegenerative product candidates include TSHA-101 for the treatment of GM2 gangliosidosis, a family of severe neurodegenerative diseases that includes Tay-Sachs disease and Sandhoff disease, TSHA-118 for the treatment of CLN1, a progressive, fatal neurodegenerative disease with early childhood onset, and TSHA-104 for the treatment of SURF1 deficiency, a fatal, early-onset neurodegenerative disease. Neurodevelopmental disorders are a group of conditions with onset during the time when the brain is developing and are a reflection of disabilities associated primarily with the functioning of the neurological system and brain. One of our neurodevelopmental product candidates, TSHA-102, is in development for the treatment of Rett syndrome, which is one of the most common genetic causes of severe intellectual disability. Genetic epilepsies refer to disorders with recurrent seizures associated with abnormal development of the brain. One of our genetic epilepsy product candidates, TSHA-103, is in development for the treatment of SLC6A1 haploinsufficiency disorder, which is one of the most common monogenic causes of epilepsy. We expect to initiate a Phase 1/2 clinical trial of TSHA-101 by the end of 2020 under a CTA in Canada, and we plan to submit INDs to the FDA by the end of 2021 for each of TSHA-101, TSHA-102, TSHA-103 and TSHA-104. We intend to initiate a Phase 1/2 clinical trial of TSHA-118 under a currently open IND.</w:t>
      </w:r>
    </w:p>
    <w:p>
      <w:pPr>
        <w:spacing w:after="0" w:line="21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have established an exclusive, differentiated partnership with UT Southwestern, one of the premier academic medical centers in the United States. We hold an exclusive, worldwide royalty-free license from UT Southwestern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filings, strategy, commercial manufacturing and commercialization of approved product candidates. UT Southwestern has developed a state-of-the-art GMP viral vector manufacturing facility with the capacity to support the development of our product candidates from the discovery stage through early clinical development. We believe these factors differentiate our partnership with UT Southwestern from traditional collaborations between industry and academia and will enable us to advance our development programs with speed and scale. Our collaboration with UT Southwestern is led by Dr. Steven Gray, an expert in the development of AAV-based gene therapies for CNS disorders, and Dr. Berge Minassian, an expert in the diagnosis, management and treatment of rare pediatric neurological disorders. Drs. Gray and Minassian are also our scientific founders and currently serve as our Chief Scientific Advisor and Chief Medical Advisor, respectively.</w:t>
      </w:r>
    </w:p>
    <w:p>
      <w:pPr>
        <w:spacing w:after="0" w:line="204"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Drs. Gray and Minassian,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President, Chief Executive Officer and Founder. Since our inception, we have raised an aggregate of approximately $126.0 million of gross proceeds from the sale of preferred stock, including from leading institutional and life science investors such as PBM Capital, certain funds managed by Fidelity Management &amp; Research Company LLC, Nolan Capital, GV (formerly Google Ventures), Invus, Casdin Capital, Franklin Templeton, Octagon Capital, Perceptive Advisors LLC, Sands Capital, ArrowMark Partners, Venrock Healthcare Capital Partners and other mutual fund and institutional investors.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Pipeline</w:t>
      </w:r>
    </w:p>
    <w:p>
      <w:pPr>
        <w:spacing w:after="0" w:line="234"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 xml:space="preserve">TSHA-101, a neurodegenerative disease product candidate, is being developed for the treatment of GM2 gangliosidosis, including Tay-Sachs disease and Sandhoff disease. GM2 gangliosidosis refers to a group of lysosomal storage disorders resulting from a deficiency in the ß-hexosaminidase A enzyme, leading to an accumulation of GM2 ganglioside in lysosomes and ultimately neuronal cell death and neurodegeneration.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plan to initiate a Phase 1/2 clinical trial of TSHA-101 by the end of 2020 under a CTA in Canada, and we plan to submit an IND to the FDA by the end of 2021.</w:t>
      </w:r>
    </w:p>
    <w:p>
      <w:pPr>
        <w:spacing w:after="0" w:line="20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 xml:space="preserve">TSHA-118, a neurodegenerative disease product candidate, is being developed for the treatment of CLN1 disease (or infantile Batten disease), a lysosomal storage disorder that is a progressive, fatal disease with early childhood onset.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chicken ß-actin hybrid promoter. Preclinical studies evaluating safety and biodistribution have been conducted, and we plan to conduct a Phase 1/2 clinical trial of TSHA-118 under a currently open IND.</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 xml:space="preserve">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We designed TSHA-102 to prevent gene overexpression-related toxicity by inserting microRNA, or miRNA, targets into the 3’ untranslated region of viral genomes.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 xml:space="preserve">MECP2 </w:t>
      </w:r>
      <w:r>
        <w:rPr>
          <w:rFonts w:ascii="Arial" w:cs="Arial" w:eastAsia="Arial" w:hAnsi="Arial"/>
          <w:sz w:val="18"/>
          <w:szCs w:val="18"/>
          <w:color w:val="auto"/>
        </w:rPr>
        <w:t>result in a clinical phenotype similar to Rett syndrome both in terms of symptoms and severity. TSHA-102 is constructed from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by the end of 2021.</w:t>
      </w:r>
    </w:p>
    <w:p>
      <w:pPr>
        <w:spacing w:after="0" w:line="207"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 xml:space="preserve">TSHA-103, a genetic epilepsy product candidate, is being developed for the treatment of SLC6A1 haploinsufficiency disorder, one of the most common monogenic causes of epilepsy characterized by myoclonic atonic seizures, autism spectrum disorder and intellectual disability. TSHA-103 is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plan to submit an IND for TSHA-103 to the FDA by the end of 2021.</w:t>
      </w:r>
    </w:p>
    <w:p>
      <w:pPr>
        <w:spacing w:after="0" w:line="205"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 xml:space="preserve">TSHA-104, a neurodegenerative disease product candidate, is being developed for the treatment of Surfeit locus 1, or SURF1, deficiency, a fatal, early-onset neurodegenerative disease. TSHA-104 is constructed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modified version of the chicken ß-actin, or CBA, promoter CBA hybrid intron, or CBh. We plan to submit an IND for TSHA-104 to the FDA by the end of 2021.</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Strategic Partnership with The University of Texas Southwestern Medical Center</w:t>
      </w:r>
    </w:p>
    <w:p>
      <w:pPr>
        <w:spacing w:after="0" w:line="23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have established a differentiated partnership with UT Southwestern, one of the premier academic medical centers in the United States with a focus on integrating pioneering biomedical research with exceptional clinical care and education. Collectively, UT Southwestern faculty members have received six Nobel Prizes, and the faculty includes 24 members of the National Academy of Sciences, 16 members of the National Academy of Medicine and 13 Howard Hughes Medical Institute Investigators. The faculty of more than 2,700 is responsible for groundbreaking medical advances and is committed to translating science-driven research quickly to new clinical treatments.</w:t>
      </w:r>
    </w:p>
    <w:p>
      <w:pPr>
        <w:spacing w:after="0" w:line="202"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The UT Southwestern Gene Therapy Program is led by Steven Gray, Ph.D., Director of the Viral Vector Core and Associate Professor in the Department of Pediatrics, and Berge Minassian, M.D., Division Chief of Child Neurology.</w:t>
      </w:r>
    </w:p>
    <w:p>
      <w:pPr>
        <w:spacing w:after="0" w:line="197"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Dr. Gray serves as our Chief Scientific Advisor. His core expertise is in AAV-based gene therapy vector engineering and optimizing approaches to deliver therapeutic transgene to the CNS. His research also includes the design and execution of preclinical studies to apply these approaches toward the development of treatments for neurological diseases including giant axonal neuropathy, or GAN, Krabbe disease, Batten disease, Tay-Sachs disease, Sandhoff disease and Rett syndrome. He is the lead investigator on the GAN gene therapy project, which was the first clinical development program to deliver AAV9 through intrathecal administration. Dr. Gray has published over 50 peer-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reviewed papers in journals such as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Molecular Therapy</w:t>
      </w:r>
      <w:r>
        <w:rPr>
          <w:rFonts w:ascii="Arial" w:cs="Arial" w:eastAsia="Arial" w:hAnsi="Arial"/>
          <w:sz w:val="18"/>
          <w:szCs w:val="18"/>
          <w:color w:val="auto"/>
        </w:rPr>
        <w:t xml:space="preserve">,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Gene Therapy</w:t>
      </w:r>
      <w:r>
        <w:rPr>
          <w:rFonts w:ascii="Arial" w:cs="Arial" w:eastAsia="Arial" w:hAnsi="Arial"/>
          <w:sz w:val="18"/>
          <w:szCs w:val="18"/>
          <w:color w:val="auto"/>
        </w:rPr>
        <w:t xml:space="preserve">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 of the National Academy of Sciences</w:t>
      </w:r>
      <w:r>
        <w:rPr>
          <w:rFonts w:ascii="Arial" w:cs="Arial" w:eastAsia="Arial" w:hAnsi="Arial"/>
          <w:sz w:val="18"/>
          <w:szCs w:val="18"/>
          <w:color w:val="auto"/>
        </w:rPr>
        <w:t>. His research has been funded by the National Institute for Neurological Disorders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Stroke, as well as numerous large and small research foundations and patient advocacy organizations. In 2019, Dr. Gray was the recipient of the American Society for Gene and Cell Therapy Outstanding New Investigator Award. He earned his Ph.D. in molecular biology from Vanderbilt University and a B.S. with honors from Auburn University. He performed his postdoctoral fellowship focusing on gene therapy in the laboratory of world-renowned gene therapy expert Jude Samulski at the University of North Carolina, Chapel Hill.</w:t>
      </w:r>
    </w:p>
    <w:p>
      <w:pPr>
        <w:spacing w:after="0" w:line="202"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 xml:space="preserve">Dr. Minassian serves as our Chief Medical Advisor. He is a Professor in the Departments of Pediatrics, Neurology and Neurotherapeutics and Neuroscience at UT Southwestern. He is the Division Chief of Child Neurology and serves on the faculty of the Children’s Medical Center Research Institute at UT Southwestern. Dr. Minassian is a pediatric neurologist whose clinical specialties are epilepsy, neurodegenerative diseases and neurodevelopmental conditions. In 2004, Dr. Minassian described a new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isoform, </w:t>
      </w:r>
      <w:r>
        <w:rPr>
          <w:rFonts w:ascii="Arial" w:cs="Arial" w:eastAsia="Arial" w:hAnsi="Arial"/>
          <w:sz w:val="18"/>
          <w:szCs w:val="18"/>
          <w:i w:val="1"/>
          <w:iCs w:val="1"/>
          <w:color w:val="auto"/>
        </w:rPr>
        <w:t xml:space="preserve">MECP2B </w:t>
      </w:r>
      <w:r>
        <w:rPr>
          <w:rFonts w:ascii="Arial" w:cs="Arial" w:eastAsia="Arial" w:hAnsi="Arial"/>
          <w:sz w:val="18"/>
          <w:szCs w:val="18"/>
          <w:color w:val="auto"/>
        </w:rPr>
        <w:t>and its encoded protein MECP2B. Dr. Minassian is also credited with discovering the</w:t>
      </w:r>
      <w:r>
        <w:rPr>
          <w:rFonts w:ascii="Arial" w:cs="Arial" w:eastAsia="Arial" w:hAnsi="Arial"/>
          <w:sz w:val="18"/>
          <w:szCs w:val="18"/>
          <w:i w:val="1"/>
          <w:iCs w:val="1"/>
          <w:color w:val="auto"/>
        </w:rPr>
        <w:t xml:space="preserve"> EPM2A and EPM2B </w:t>
      </w:r>
      <w:r>
        <w:rPr>
          <w:rFonts w:ascii="Arial" w:cs="Arial" w:eastAsia="Arial" w:hAnsi="Arial"/>
          <w:sz w:val="18"/>
          <w:szCs w:val="18"/>
          <w:color w:val="auto"/>
        </w:rPr>
        <w:t>genes that cause Lafora</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He has published more than 120 scholarly articles and authored or contributed to 10 books, and his many professional honors include the Jacob’s Ladder 2014 Norman Saunders International Research Prize for Outstanding Scientist, the American Academy of Neurology 2007 Dreifuss-Penry Epilepsy Award, the Canadian Pediatric Society 2008 Sanofi Pasteur Research Award and the American Epilepsy Society 1996 Young Investigator Award. Dr. Minassian is a Fellow (Neurology) of the Royal College of Physicians and Surgeons of Canada.</w:t>
      </w:r>
    </w:p>
    <w:p>
      <w:pPr>
        <w:spacing w:after="0" w:line="20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have received an exclusive, worldwide royalty-free license to discover, develop and commercialize gene therapies for our pipeline.</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Drs. Gray and Minassian expect significant growth in the number of researchers, clinicians, scientists and experts in gene therapy process development and manufacturing affiliated with the Gene Therapy Program over the next five years.</w:t>
      </w:r>
    </w:p>
    <w:p>
      <w:pPr>
        <w:spacing w:after="0" w:line="202"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UT Southwestern’s state-of-the art, GMP viral vector manufacturing facility consists of a full process development laboratory and 500 liter GMP suite with the capacity to support multiple preclinical and early clinical development efforts in parallel.</w:t>
      </w:r>
    </w:p>
    <w:p>
      <w:pPr>
        <w:spacing w:after="0" w:line="19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UT Southwestern is home a major pediatric neurology residency program. Dr. Minassian has spent more than two decades diagnosing patients with rare, often fatal disorders of the CNS. Dr. Minassian is focused on transforming the practice of clinical neurology through a commitment to integrating patient care and teaching, with the goal of fostering the development of new disease-modifying therapies. This unique integration of research and clinical care provides us with key insights into our patients’ disease and its progression, symptoms and impact on quality of life. We plan to use these insights to design and refine our preclinical studies and clinical trials, understand incidence, prevalence and molecular epidemiology of the diseases and disorders we intend to treat, select the appropriate clinical endpoints for our efficacy studies and identify and characterize serum and imaging biomarkers. We also expect that UT Southwestern will serve as a source of enrollment for our clinical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trials, which is critically important for the less prevalent diseases in our pipeline. We collaborate with UT Southwestern to foster relationships with patient advocacy organizations and research foundations, including the National Tay-Sachs &amp; Allied Diseases Association, Cure and Action for Tay-Sachs, SLC6A1 Connect, TESS Research Foundation, Cure Surf1 Foundation, Rett Syndrome Research Trust and International FOXG1 Foundation.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right="420" w:firstLine="562"/>
        <w:spacing w:after="0" w:line="274"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58" w:lineRule="exact"/>
        <w:rPr>
          <w:sz w:val="20"/>
          <w:szCs w:val="20"/>
          <w:color w:val="auto"/>
        </w:rPr>
      </w:pPr>
    </w:p>
    <w:p>
      <w:pPr>
        <w:ind w:left="780" w:right="140" w:hanging="219"/>
        <w:spacing w:after="0" w:line="247"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 consistent stream of new commercial product launches. To that end, we are focused on rapidly advancing our current pipeline of AAV9-based gene therapies while actively developing our next-generation platforms to discover and develop additional product candidates.</w:t>
      </w:r>
    </w:p>
    <w:p>
      <w:pPr>
        <w:spacing w:after="0" w:line="79" w:lineRule="exact"/>
        <w:rPr>
          <w:rFonts w:ascii="Arial" w:cs="Arial" w:eastAsia="Arial" w:hAnsi="Arial"/>
          <w:sz w:val="18"/>
          <w:szCs w:val="18"/>
          <w:color w:val="auto"/>
        </w:rPr>
      </w:pPr>
    </w:p>
    <w:p>
      <w:pPr>
        <w:ind w:left="780" w:hanging="21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intend to initiate a Phase 1/2 clinical trial of TSHA-118 under a currently open IND. If our clinical trials are successful, we plan to discuss expedited regulatory approval strategies with regulatory authorities.</w:t>
      </w:r>
    </w:p>
    <w:p>
      <w:pPr>
        <w:spacing w:after="0" w:line="85" w:lineRule="exact"/>
        <w:rPr>
          <w:rFonts w:ascii="Arial" w:cs="Arial" w:eastAsia="Arial" w:hAnsi="Arial"/>
          <w:sz w:val="18"/>
          <w:szCs w:val="18"/>
          <w:color w:val="auto"/>
        </w:rPr>
      </w:pPr>
    </w:p>
    <w:p>
      <w:pPr>
        <w:ind w:left="780" w:right="220" w:hanging="219"/>
        <w:spacing w:after="0" w:line="244"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rapidly discover, develop and commercialize novel gene therapies.</w:t>
      </w:r>
    </w:p>
    <w:p>
      <w:pPr>
        <w:spacing w:after="0" w:line="81" w:lineRule="exact"/>
        <w:rPr>
          <w:rFonts w:ascii="Arial" w:cs="Arial" w:eastAsia="Arial" w:hAnsi="Arial"/>
          <w:sz w:val="18"/>
          <w:szCs w:val="18"/>
          <w:color w:val="auto"/>
        </w:rPr>
      </w:pPr>
    </w:p>
    <w:p>
      <w:pPr>
        <w:ind w:left="780" w:hanging="219"/>
        <w:spacing w:after="0" w:line="239"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expected to be required to manufacture each product candidate. In addition, we intend to establish our own commercial scale GMP-compliant manufacturing facility to meet commercial demand if our product candidates receive marketing approval.</w:t>
      </w:r>
    </w:p>
    <w:p>
      <w:pPr>
        <w:spacing w:after="0" w:line="85" w:lineRule="exact"/>
        <w:rPr>
          <w:rFonts w:ascii="Arial" w:cs="Arial" w:eastAsia="Arial" w:hAnsi="Arial"/>
          <w:sz w:val="18"/>
          <w:szCs w:val="18"/>
          <w:color w:val="auto"/>
        </w:rPr>
      </w:pPr>
    </w:p>
    <w:p>
      <w:pPr>
        <w:ind w:left="780" w:right="80" w:hanging="219"/>
        <w:spacing w:after="0" w:line="247"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next-generation platform technologies. </w:t>
      </w:r>
      <w:r>
        <w:rPr>
          <w:rFonts w:ascii="Arial" w:cs="Arial" w:eastAsia="Arial" w:hAnsi="Arial"/>
          <w:sz w:val="18"/>
          <w:szCs w:val="18"/>
          <w:color w:val="auto"/>
        </w:rPr>
        <w:t>In addition to our pipeline of AAV9-based gene therapies, we are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hanging="219"/>
        <w:spacing w:after="0" w:line="247"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 through a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Approach</w:t>
      </w:r>
    </w:p>
    <w:p>
      <w:pPr>
        <w:spacing w:after="0" w:line="23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approach to rapidly developing and commercializing gene therapies centers on the use of AAV9 delivered directly to the CSF using intrathecal administration. We manufacture our therapies using a scalable, HEK293 suspension-based process. We believe the combination of AAV9 manufactured in suspension and delivered intrathecally will allow us to rapidly advance the development candidates in our product pipeline.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AAV9, Intrathecal Administration and Manufacturing</w:t>
      </w:r>
    </w:p>
    <w:p>
      <w:pPr>
        <w:spacing w:after="0" w:line="12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Since its discovery more than 50 years ago, AAV has been one of the most well studied vectors for the delivery of gene therapies, having been studied in over 250 clinical trials. 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SMA Type 1 in infants.</w:t>
      </w:r>
    </w:p>
    <w:p>
      <w:pPr>
        <w:spacing w:after="0" w:line="202"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206"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 xml:space="preserve">We believe that intrathecally delivered AAV9-based gene therapies are more likely to achieve clinical and regulatory success than alternative delivery approaches. A third party is conducting a clinical trial of 32 patients to evaluate the efficacy, safety and tolerability of a one-time intrathecal administration of AAV9 delivering a copy of the </w:t>
      </w:r>
      <w:r>
        <w:rPr>
          <w:rFonts w:ascii="Arial" w:cs="Arial" w:eastAsia="Arial" w:hAnsi="Arial"/>
          <w:sz w:val="18"/>
          <w:szCs w:val="18"/>
          <w:i w:val="1"/>
          <w:iCs w:val="1"/>
          <w:color w:val="auto"/>
        </w:rPr>
        <w:t>SMN1</w:t>
      </w:r>
      <w:r>
        <w:rPr>
          <w:rFonts w:ascii="Arial" w:cs="Arial" w:eastAsia="Arial" w:hAnsi="Arial"/>
          <w:sz w:val="18"/>
          <w:szCs w:val="18"/>
          <w:color w:val="auto"/>
        </w:rPr>
        <w:t xml:space="preserve"> gene for the treatment of SMA Type 2. As of December 2019, a similar tolerability and adverse event profile had been observed in the patients receiving intrathecal delivery as compared to patients receiving intravenous delivery. The same third party has dosed over 600 patients intrathecally or intravenously with this AAV9 therapy and has observed that it has been well tolerated, with durability of up to five years post-dosing. In a third-party clinical trial of patients with CLN6 Batten disease, 12 infant and pediatric patients were dosed with AAV9 delivering </w:t>
      </w:r>
      <w:r>
        <w:rPr>
          <w:rFonts w:ascii="Arial" w:cs="Arial" w:eastAsia="Arial" w:hAnsi="Arial"/>
          <w:sz w:val="18"/>
          <w:szCs w:val="18"/>
          <w:i w:val="1"/>
          <w:iCs w:val="1"/>
          <w:color w:val="auto"/>
        </w:rPr>
        <w:t>CLN6</w:t>
      </w:r>
      <w:r>
        <w:rPr>
          <w:rFonts w:ascii="Arial" w:cs="Arial" w:eastAsia="Arial" w:hAnsi="Arial"/>
          <w:sz w:val="18"/>
          <w:szCs w:val="18"/>
          <w:color w:val="auto"/>
        </w:rPr>
        <w:t xml:space="preserve"> via intrathecal administration. In this trial, the AAV9 product candidate was well tolerated, with no drug-related adverse events observed. The same third party is currently conducting a clinical trial of an AAV9 product candidate delivering </w:t>
      </w:r>
      <w:r>
        <w:rPr>
          <w:rFonts w:ascii="Arial" w:cs="Arial" w:eastAsia="Arial" w:hAnsi="Arial"/>
          <w:sz w:val="18"/>
          <w:szCs w:val="18"/>
          <w:i w:val="1"/>
          <w:iCs w:val="1"/>
          <w:color w:val="auto"/>
        </w:rPr>
        <w:t>CLN3</w:t>
      </w:r>
      <w:r>
        <w:rPr>
          <w:rFonts w:ascii="Arial" w:cs="Arial" w:eastAsia="Arial" w:hAnsi="Arial"/>
          <w:sz w:val="18"/>
          <w:szCs w:val="18"/>
          <w:color w:val="auto"/>
        </w:rPr>
        <w:t xml:space="preserve"> via intrathecal administration. Four patients have been dosed to date, with no serious adverse events observed.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459" w:right="3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562"/>
        <w:spacing w:after="0" w:line="237"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expected to be required to our optimized upstream and downstream process, since each of our product candidates differ primarily by their therapeutic transgene.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234"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175" w:lineRule="exact"/>
        <w:rPr>
          <w:sz w:val="20"/>
          <w:szCs w:val="20"/>
          <w:color w:val="auto"/>
        </w:rPr>
      </w:pPr>
    </w:p>
    <w:p>
      <w:pPr>
        <w:ind w:right="440" w:firstLine="562"/>
        <w:spacing w:after="0" w:line="247" w:lineRule="auto"/>
        <w:rPr>
          <w:sz w:val="20"/>
          <w:szCs w:val="20"/>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loss-of-function mutations, we design our product candidates to replace the gene of interest. In general, these product candidates are comprised of a codon-optimized DNA transgene that encodes the wild type gene of interest, coupled with a promoter selected to ensure expression in the cell or tissue-type of interest.</w:t>
      </w:r>
    </w:p>
    <w:p>
      <w:pPr>
        <w:spacing w:after="0" w:line="174" w:lineRule="exact"/>
        <w:rPr>
          <w:sz w:val="20"/>
          <w:szCs w:val="20"/>
          <w:color w:val="auto"/>
        </w:rPr>
      </w:pPr>
    </w:p>
    <w:p>
      <w:pPr>
        <w:ind w:right="120" w:firstLine="562"/>
        <w:spacing w:after="0" w:line="242" w:lineRule="auto"/>
        <w:rPr>
          <w:sz w:val="20"/>
          <w:szCs w:val="20"/>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 expression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179" w:lineRule="exact"/>
        <w:rPr>
          <w:sz w:val="20"/>
          <w:szCs w:val="20"/>
          <w:color w:val="auto"/>
        </w:rPr>
      </w:pPr>
    </w:p>
    <w:p>
      <w:pPr>
        <w:ind w:right="60" w:firstLine="562"/>
        <w:spacing w:after="0" w:line="247" w:lineRule="auto"/>
        <w:rPr>
          <w:sz w:val="20"/>
          <w:szCs w:val="20"/>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 body</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174" w:lineRule="exact"/>
        <w:rPr>
          <w:sz w:val="20"/>
          <w:szCs w:val="20"/>
          <w:color w:val="auto"/>
        </w:rPr>
      </w:pPr>
    </w:p>
    <w:p>
      <w:pPr>
        <w:ind w:right="40" w:firstLine="562"/>
        <w:spacing w:after="0" w:line="247" w:lineRule="auto"/>
        <w:rPr>
          <w:sz w:val="20"/>
          <w:szCs w:val="20"/>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19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design our preclinical studies to be highly translational into clinical trials, including to replicate the timing of dosing at points when the disease model has advanced and the phenotype is more pronounced, include relevant immunosuppressive regimes that are the standard of care for the disease target or commonly administered with gene therapies and use animal models that are reflective of the severity of the human disease. Our goal is to evaluate the safety, efficacy and biodistribution of our product candidates and generate dose-response data that inform our selection of the optimal doses for clinical translation. We believe that our stringent approach to evaluating efficacy in preclinical studies will translate into clinical trials and may be predictive of the clinical effect of our product candidates.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34"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20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2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or SMRT, sequencing analysis for high throughput characterization of these capsids.</w:t>
      </w:r>
    </w:p>
    <w:p>
      <w:pPr>
        <w:spacing w:after="0" w:line="205"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Product Pipeline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Neurodegenerative Diseases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neurodegenerative disease programs target diseases that are characterized by the progressive degeneration of the structures and functions of the CNS. Degeneration and death of neuronal cells causes symptoms ranging from cognitive decline, functional impairment and, ultimately, death. Globally, neurodegenerative diseases represent an immense unmet medical need and disease management is complicated by a lack of effective symptomatic and disease-modifying therapies. Progressive neurodegeneration is a hallmark of numerous severe diseases each characterized by distinct etiology. Common neurodegenerative diseases include Alzheimer’s disease, Parkinson’s disease, amyotrophic lateral sclerosis, SMA and GM2 gangliosidosis.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We are developing TSHA-101, a neurodegenerative product candidate, for the treatment of GM2 gangliosidosis, and we expect to initiate a Phase 1/2 trial by the end of 2020. We are also developing TSHA-118 for the treatment of CLN1 disease (or infantile Batten disease), for which we intend to conduct a Phase 1/2 clinical trial under a currently open IND, and TSHA-104 for the treatment of SURF1 deficiency. We are developing additional product candidates for the treatment of both prevalent neurodegenerative diseases, including Alzheimer’s disease, Parkinson’s disease and other tauopathies, and rare diseases such as adult polyglucosan body disease and Lafora disease.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TSHA-101 for the Treatment of GM2 Gangliosidosis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GM2 Gangliosidosis</w:t>
      </w:r>
    </w:p>
    <w:p>
      <w:pPr>
        <w:spacing w:after="0" w:line="12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GM2 gangliosidosis, including Tay-Sachs disease and Sandhoff disease, refers to a group of lysosomal storage disorders caused by accumulation of the GM2 ganglioside in the lysosomes of cells within the CNS. Gangliosides are lipid components of cell membranes particularly abundant in the plasma membranes of neurons. Accumulation of GM2 ganglioside is caused by a deficiency in the ß-hexosaminidase A, or Hex A, enzyme, which is responsible for hydrolysis, or breakdown, of the GM2 ganglioside. This accumulation results in lysosomal rupture, leading to a poorly understood inflammatory cascade that leads to neuronal cell death and neurodegeneration. The global incidence of GM2 gangliosidosis is approximately one per 150,000 live births. Approximately 80% to 85% of patients are diagnosed with an infantile form of GM2 gangliosidosis, with the remainder diagnosed with a juvenile or early-adulthood form of the disease. There are no approved therapies for the treatment of GM2 gangliosidosis, and care is generally palliative. Children diagnosed with infantile GM2 gangliosidosis appear normal at birth but experience rapid neurodegeneration, culminating in death before the age of four, and patients with juvenile GM2 gangliosidosis rarely survive beyond their mid-teens.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 xml:space="preserve">The Hex A enzyme is a heterodimer composed of two subunits: ß-hexosaminidase a (encoded in humans by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and ß-hexosaminidase ß (encoded in humans by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GM2 gangliosidosis caused by a mutation of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is termed Tay-Sachs disease, while Sandhoff disease is caused by a mutation of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Tay-Sachs disease and Sandhoff disease result in clinically indistinguishable phenotypes for which there is no effective treatment. As illustrated in the graphic below, in infantile GM2 gangliosidosis, its most common and severe form, the disease is characterized by a lack of Hex A enzyme activity, while juvenile GM2 gangliosidosis is characterized by Hex A enzyme activity that is 0.5% to less than 2% of normal activity. Adult-onset GM2 gangliosidosis patients have Hex A enzyme activity levels typically in the range of 2% to 4% of normal Hex A activity and may live a normal lifespan. We believe that the “critical threshold” for normal hydrolysis of GM2 ganglioside is estimated to be 5% to 10% of normal Hex A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firstLine="562"/>
        <w:spacing w:after="0" w:line="246" w:lineRule="auto"/>
        <w:rPr>
          <w:sz w:val="20"/>
          <w:szCs w:val="20"/>
          <w:color w:val="auto"/>
        </w:rPr>
      </w:pPr>
      <w:r>
        <w:rPr>
          <w:rFonts w:ascii="Arial" w:cs="Arial" w:eastAsia="Arial" w:hAnsi="Arial"/>
          <w:sz w:val="18"/>
          <w:szCs w:val="18"/>
          <w:color w:val="auto"/>
        </w:rPr>
        <w:t xml:space="preserve">We believe that successful gene therapy to treat Tay-Sachs disease or Sandhoff disease requires expression of the a and ß subunits in a 1:1 ratio to ensure that Hex A expression confers a therapeutic benefit. An imbalanced expression of either subunit could result in the formation of a dysfunctional homodimer, or identical proteins, which would limit the efficacy of the therapy. Several therapeutic approaches utilize single vectors encoding either the a or ß subunit, while other approaches have utilized multiple vectors carrying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separately. However, these approaches either fail to deliver the Hex A subunits in the appropriate ratio or require the simultaneous transduction of cells to achieve efficacy.</w:t>
      </w:r>
    </w:p>
    <w:p>
      <w:pPr>
        <w:spacing w:after="0" w:line="199"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Similar to other lysosomal enzymes, Hex A is ubiquitously expressed and therefore concerns related to off-target effects or overexpression are limited. In addition, Hex A is secreted from transduced cells and can be taken up by neighboring cells to correct their phenotype, making it possible to cure these diseases without the need to transduce every cell, a process referred to as cross-correction. Studies suggest that restoring Hex A enzyme levels to approximately 10% of normal may result in complete phenotypic absence of the disease.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TSHA-101</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 xml:space="preserve">We are developing TSHA-101, a neurodegenerative product candidate, for the treatment of GM2 gangliosidosis. TSHA-101 is a bicistronic, or dual loci of transcription, </w:t>
      </w:r>
      <w:r>
        <w:rPr>
          <w:rFonts w:ascii="Arial" w:cs="Arial" w:eastAsia="Arial" w:hAnsi="Arial"/>
          <w:sz w:val="18"/>
          <w:szCs w:val="18"/>
          <w:i w:val="1"/>
          <w:iCs w:val="1"/>
          <w:color w:val="auto"/>
        </w:rPr>
        <w:t>HEXB</w:t>
      </w:r>
      <w:r>
        <w:rPr>
          <w:rFonts w:ascii="Arial" w:cs="Arial" w:eastAsia="Arial" w:hAnsi="Arial"/>
          <w:sz w:val="18"/>
          <w:szCs w:val="18"/>
          <w:color w:val="auto"/>
        </w:rPr>
        <w:t xml:space="preserve">P2A- </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the CAG promoter. We have designed TSHA-101 to link the human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utilizing a cleavable peptide linker, to ensure that the expression of each the subunit occurs simultaneously at the appropriate 1:1 ratio. This approach is designed to maximize the expression of Hex A enzyme while minimizing the required therapeutic dosage.</w:t>
      </w:r>
    </w:p>
    <w:p>
      <w:pPr>
        <w:spacing w:after="0" w:line="20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Because GM2 gangliosidosis is clinically well defined, we believe we can leverage that knowledge to develop TSHA-101 with a higher probability of clinical and regulatory success. If approved, we believe that TSHA-101 could have a transformational impact on these severely underserved patients and their families. As TSHA-101 is designed to secrete the Hex A enzyme from transduced cells, uptake of the enzyme by neighboring cells via cross-correction has the potential to result in therapeutic benefit independent of their transduction status. In addition, we believe Hex A enzyme activity in the serum and CSF can serve as a potential biomarker to detect and help verify treatment effects on GM2 gangliosidosis during the early stages of clinical development.</w:t>
      </w:r>
    </w:p>
    <w:p>
      <w:pPr>
        <w:spacing w:after="0" w:line="205"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TSHA-101 for the treatment of GM2 gangliosidosis.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151130</wp:posOffset>
            </wp:positionV>
            <wp:extent cx="5186045" cy="1705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preclinical studies, we observed evidence of improvements in behavioral assays and GM2 ganglioside accumulation across all dose levels of TSHA-101, which we believe supports continued development of TSHA-101. In these studies, TSHA-101 was administered at three dose levels via intrathecal lumbar puncture to a mouse model of Sandhoff disease, selected for its ability to recapitulate the severity of the human disease: a high dose of 2.5 x 10</w:t>
      </w:r>
      <w:r>
        <w:rPr>
          <w:rFonts w:ascii="Arial" w:cs="Arial" w:eastAsia="Arial" w:hAnsi="Arial"/>
          <w:sz w:val="15"/>
          <w:szCs w:val="15"/>
          <w:color w:val="auto"/>
        </w:rPr>
        <w:t>11</w:t>
      </w:r>
      <w:r>
        <w:rPr>
          <w:rFonts w:ascii="Arial" w:cs="Arial" w:eastAsia="Arial" w:hAnsi="Arial"/>
          <w:sz w:val="18"/>
          <w:szCs w:val="18"/>
          <w:color w:val="auto"/>
        </w:rPr>
        <w:t xml:space="preserve"> vg/mouse, a medium dose of 1.25 x 10</w:t>
      </w:r>
      <w:r>
        <w:rPr>
          <w:rFonts w:ascii="Arial" w:cs="Arial" w:eastAsia="Arial" w:hAnsi="Arial"/>
          <w:sz w:val="15"/>
          <w:szCs w:val="15"/>
          <w:color w:val="auto"/>
        </w:rPr>
        <w:t>11</w:t>
      </w:r>
      <w:r>
        <w:rPr>
          <w:rFonts w:ascii="Arial" w:cs="Arial" w:eastAsia="Arial" w:hAnsi="Arial"/>
          <w:sz w:val="18"/>
          <w:szCs w:val="18"/>
          <w:color w:val="auto"/>
        </w:rPr>
        <w:t xml:space="preserve"> vg/mouse and a low dose of 0.625 x 10</w:t>
      </w:r>
      <w:r>
        <w:rPr>
          <w:rFonts w:ascii="Arial" w:cs="Arial" w:eastAsia="Arial" w:hAnsi="Arial"/>
          <w:sz w:val="15"/>
          <w:szCs w:val="15"/>
          <w:color w:val="auto"/>
        </w:rPr>
        <w:t>11</w:t>
      </w:r>
      <w:r>
        <w:rPr>
          <w:rFonts w:ascii="Arial" w:cs="Arial" w:eastAsia="Arial" w:hAnsi="Arial"/>
          <w:sz w:val="18"/>
          <w:szCs w:val="18"/>
          <w:color w:val="auto"/>
        </w:rPr>
        <w:t xml:space="preserve"> vg/mouse. Mice were dosed at six weeks of age and subjected to a battery of behavioral tests when they reached eight weeks of age. At 16 weeks, a cohort of mice were euthanized, at which time GM2 ganglioside accumulation, Hex A enzyme levels and vector biodistribution were evaluated. An additional cohort was followed to a humane long-term endpoint defined as 15% body weight loss or an absent righting reflex.</w:t>
      </w:r>
    </w:p>
    <w:p>
      <w:pPr>
        <w:spacing w:after="0" w:line="203" w:lineRule="exact"/>
        <w:rPr>
          <w:sz w:val="20"/>
          <w:szCs w:val="20"/>
          <w:color w:val="auto"/>
        </w:rPr>
      </w:pPr>
    </w:p>
    <w:p>
      <w:pPr>
        <w:jc w:val="both"/>
        <w:ind w:right="20" w:firstLine="562"/>
        <w:spacing w:after="0"/>
        <w:rPr>
          <w:sz w:val="20"/>
          <w:szCs w:val="20"/>
          <w:color w:val="auto"/>
        </w:rPr>
      </w:pPr>
      <w:r>
        <w:rPr>
          <w:rFonts w:ascii="Arial" w:cs="Arial" w:eastAsia="Arial" w:hAnsi="Arial"/>
          <w:sz w:val="18"/>
          <w:szCs w:val="18"/>
          <w:color w:val="auto"/>
        </w:rPr>
        <w:t>Across all dose levels, we observed a significant improvement in survival in mice treated with TSHA-101 as compared to mice treated with vehicle alone, as illustrated below. A clear dose-response relationship was observed, with the high dose, medium dose and low dose of TSHA-101 shown to increase survival by 3.4-, 2.3- and 1.5-fold relative to vehicle control, respectively.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55055" cy="30092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505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96"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18"/>
          <w:szCs w:val="18"/>
          <w:color w:val="auto"/>
        </w:rPr>
        <w:t>We observed similar dose-dependent responses in our behavioral assessments of mice in the open field test and rotarod assays, both of which are commonly used tests to evaluate motor coordination in mice,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5114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At 16 weeks, we performed a GM2 ganglioside assay on the middle section of the brain of mice in all treatment groups. We observed a dose-dependent decrease in ganglioside accumulation, as illustrated below, suggesting a restoration of Hex 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151130</wp:posOffset>
            </wp:positionV>
            <wp:extent cx="5186045" cy="2700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In preclinical studies designed to evaluate safety, no adverse findings or evidence of toxicity attributable to TSHA-101 were observed. To characterize the safety profile of TSHA-101, wild type mice were intrathecally administered a low dose of TSHA-101 of 2.5 x 10</w:t>
      </w:r>
      <w:r>
        <w:rPr>
          <w:rFonts w:ascii="Arial" w:cs="Arial" w:eastAsia="Arial" w:hAnsi="Arial"/>
          <w:sz w:val="15"/>
          <w:szCs w:val="15"/>
          <w:color w:val="auto"/>
        </w:rPr>
        <w:t>11</w:t>
      </w:r>
      <w:r>
        <w:rPr>
          <w:rFonts w:ascii="Arial" w:cs="Arial" w:eastAsia="Arial" w:hAnsi="Arial"/>
          <w:sz w:val="18"/>
          <w:szCs w:val="18"/>
          <w:color w:val="auto"/>
        </w:rPr>
        <w:t xml:space="preserve"> vg/mouse or a high dose of 5 x 10</w:t>
      </w:r>
      <w:r>
        <w:rPr>
          <w:rFonts w:ascii="Arial" w:cs="Arial" w:eastAsia="Arial" w:hAnsi="Arial"/>
          <w:sz w:val="15"/>
          <w:szCs w:val="15"/>
          <w:color w:val="auto"/>
        </w:rPr>
        <w:t>11</w:t>
      </w:r>
      <w:r>
        <w:rPr>
          <w:rFonts w:ascii="Arial" w:cs="Arial" w:eastAsia="Arial" w:hAnsi="Arial"/>
          <w:sz w:val="18"/>
          <w:szCs w:val="18"/>
          <w:color w:val="auto"/>
        </w:rPr>
        <w:t xml:space="preserve"> vg/mouse. The effect of immunosuppressants were also investigated. Mice received daily administration of prednisone and rapamycin, two immunosuppressants commonly used in combination with gene therapies.</w:t>
      </w:r>
    </w:p>
    <w:p>
      <w:pPr>
        <w:spacing w:after="0" w:line="205" w:lineRule="exact"/>
        <w:rPr>
          <w:sz w:val="20"/>
          <w:szCs w:val="20"/>
          <w:color w:val="auto"/>
        </w:rPr>
      </w:pPr>
    </w:p>
    <w:p>
      <w:pPr>
        <w:ind w:right="280" w:firstLine="562"/>
        <w:spacing w:after="0" w:line="237" w:lineRule="auto"/>
        <w:rPr>
          <w:sz w:val="20"/>
          <w:szCs w:val="20"/>
          <w:color w:val="auto"/>
        </w:rPr>
      </w:pPr>
      <w:r>
        <w:rPr>
          <w:rFonts w:ascii="Arial" w:cs="Arial" w:eastAsia="Arial" w:hAnsi="Arial"/>
          <w:sz w:val="18"/>
          <w:szCs w:val="18"/>
          <w:color w:val="auto"/>
        </w:rPr>
        <w:t>At five weeks of age, a cohort of nine mice were euthanized as baseline controls. These mice did not receive gene therapy or immunosuppression. The experimental mice began receiving daily dosages of either 24 µg prednisone and 100 µg rapamycin or a vehicle gavage that continued for the remainder of the study. At six weeks, the experimental mice were administered either a vehicle treatment or TSHA-101 at either the low dose or high dose. Mice continued daily gavaging until their pre-assigned endpoint. Five male and five female mice from the first, second and third cohorts were euthanized at one week, four weeks and three months post-gene therapy injections, respectively. All mice from the fourth cohort were euthanized at four weeks post-gene therapy administration.</w:t>
      </w:r>
    </w:p>
    <w:p>
      <w:pPr>
        <w:spacing w:after="0" w:line="205"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Complete blood cell count and biochemistry analyses were performed on whole blood and serum samples. Enzyme-linked immunospot assays were performed on the mice euthanized at four weeks and three months post-injection to assess the immune response of the mice. The biodistribution of the virus was also determined through quantitative polymerase chain reaction.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2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plan to submit a CTA to Health Canada for TSHA-101 and initiate an open-label, single center Phase 1/2 clinical trial in patients with a confirmed diagnosis of GM2 gangliosidosis by the end of 2020. As currently planned, patients will be evaluated over one year, followed by a longer-term extension period to monitor ongoing safety, developmental progression, select efficacy measures 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biomarkers, consistent with other pediatric gene therapy trials. An independent data safety monitoring board will review data from each patient on an ongoing basis to ensure that stopping criteria are not met and monitor the well-being of the patients in the trial. Patients will receive TSHA-101 in a total dose of 5x10</w:t>
      </w:r>
      <w:r>
        <w:rPr>
          <w:rFonts w:ascii="Arial" w:cs="Arial" w:eastAsia="Arial" w:hAnsi="Arial"/>
          <w:sz w:val="15"/>
          <w:szCs w:val="15"/>
          <w:color w:val="auto"/>
        </w:rPr>
        <w:t>14</w:t>
      </w:r>
      <w:r>
        <w:rPr>
          <w:rFonts w:ascii="Arial" w:cs="Arial" w:eastAsia="Arial" w:hAnsi="Arial"/>
          <w:sz w:val="18"/>
          <w:szCs w:val="18"/>
          <w:color w:val="auto"/>
        </w:rPr>
        <w:t xml:space="preserve"> vg (modified dependent on age) via intrathecal administration. We expect that the trial will measure safety as the primary endpoint, with key secondary endpoints including measures of efficacy and biomarkers. Efficacy will be evaluated by motor function scales, prevention of developmental regression, control of seizure activity and prevention of loss of milestones, as measured by validated scales. Additional measures of efficacy are expected to include plasma and CSF Hex A enzyme activity, GM2 ganglioside reduction and magnetic resonance imaging. We also intend to measure patient quality of life and caretaker burden using appropriate and accepted scales and observer-reported outcomes. Following preliminary results from our Phase 1/2 clinical trial, we plan to submit an IND to the FDA by the end of 2021 to commence a clinical trial for TSHA-101 in the United States, which we believe could serve as a pivotal trial to support registration subject to discussions with the FDA.</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TSHA-118 (Formerly ABO-202) for the Treatment of CLN1 Disease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CLN1 Disease</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 xml:space="preserve">CLN1 disease (or infantile Batten disease), a lysosomal storage disorder, is a progressive, fatal neurodegenerative disease with early childhood onset that has an estimated incidence of approximately 1 in 138,000 live births worldwide. CLN1 disease is caused by loss-of-function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that encodes the enzyme palmitoyl-protein thioesterase-1, or PPT1, a small glycoprotein involved in the degradation of certain lipid-modified proteins. Loss of 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causes accumulation of these lipid-modified proteins in cells, eventually leading to aggregation, neuronal cellular dysfunction and, ultimately neuronal cell death.</w:t>
      </w:r>
    </w:p>
    <w:p>
      <w:pPr>
        <w:spacing w:after="0" w:line="20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203"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TSHA-118</w:t>
      </w:r>
    </w:p>
    <w:p>
      <w:pPr>
        <w:spacing w:after="0" w:line="104" w:lineRule="exact"/>
        <w:rPr>
          <w:sz w:val="20"/>
          <w:szCs w:val="20"/>
          <w:color w:val="auto"/>
        </w:rPr>
      </w:pPr>
    </w:p>
    <w:p>
      <w:pPr>
        <w:ind w:right="220" w:firstLine="562"/>
        <w:spacing w:after="0" w:line="242" w:lineRule="auto"/>
        <w:rPr>
          <w:sz w:val="20"/>
          <w:szCs w:val="20"/>
          <w:color w:val="auto"/>
        </w:rPr>
      </w:pPr>
      <w:r>
        <w:rPr>
          <w:rFonts w:ascii="Arial" w:cs="Arial" w:eastAsia="Arial" w:hAnsi="Arial"/>
          <w:sz w:val="18"/>
          <w:szCs w:val="18"/>
          <w:color w:val="auto"/>
        </w:rPr>
        <w:t xml:space="preserve">We believe that the introduction of a functional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using an AAV9 vector delivered intrathecally to the CNS exposure offers the potential of a disease-modifying therapeutic approach for this disease.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We acquired exclusive worldwide rights to TSHA-118 (formerly ABO-202) in August 2020 pursuant to a license agreement with Abeona Therapeutics Inc., or Abeona.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TSHA-118 has been granted orphan drug designation, rare pediatric disease designation and fast track designation from the FDA and orphan drug designation from the EMA for the treatment of CLN1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706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third-party preclinical studies, evidence of improvements in behavioral outcomes, survival and restoration of PPT1 enzymatic activity was observed, which we believe supports continued development of TSHA-118. In these studies, TSHA-118 was administered at a dose of 7.0 x 10</w:t>
      </w:r>
      <w:r>
        <w:rPr>
          <w:rFonts w:ascii="Arial" w:cs="Arial" w:eastAsia="Arial" w:hAnsi="Arial"/>
          <w:sz w:val="15"/>
          <w:szCs w:val="15"/>
          <w:color w:val="auto"/>
        </w:rPr>
        <w:t>11</w:t>
      </w:r>
      <w:r>
        <w:rPr>
          <w:rFonts w:ascii="Arial" w:cs="Arial" w:eastAsia="Arial" w:hAnsi="Arial"/>
          <w:sz w:val="18"/>
          <w:szCs w:val="18"/>
          <w:color w:val="auto"/>
        </w:rPr>
        <w:t xml:space="preserve"> vg/mouse via intrathecal lumbar puncture to a mouse model of CLN1 disease, selected for its ability to recapitulate the severity of the human disease. The results from this study showed that intrathecal treatment with TSHA-118 significantly extended survival of CLN1 knockout mice, with enhanced survival and behavioral outcomes correlating with treatment at younger ages and higher doses.</w:t>
      </w:r>
    </w:p>
    <w:p>
      <w:pPr>
        <w:spacing w:after="0" w:line="202"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As illustrated in the figure below, mice treated with TSHA-118 at four weeks or twelve weeks of age had a mean survival of 18.7 or 16.7 months, respectively, compared to approximately 8 months survival for untreated CLN1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425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PPT1 enzyme activity in serum was measured at selected timepoints following TSHA-118 delivery by intrathecal administration at four, twenty or twenty-six weeks of age. Serum was collected either at four months post-treatment or at the humane endpoint.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As shown in the figure below, heterozygous mice had roughly 30% of normal serum PPT1 activity compared to wild-type mice. In contrast, treatment of CLN1 knockout mice with TSHA-118 resulted in supraphysiological levels of active PPT1 in the serum in comparison to wild-type and heterozygous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2520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22"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We plan to conduct a clinical proof-of-concept, dose-escalation Phase 1/2 trial in the United States and European Union, subject to feedback from the FDA and the EMA. The trial is expected to enroll approximately 12 patients, including patients with classic infantile onset and late infantile onset forms of CLN1 disease. We will conduct the trial in the United States under a currently open IND that Abeona is transferring to us. Patients will be enrolled in three cohorts of four patients each; within each cohort, three patients will be randomized to receive TSHA-118, and one patient will be randomized to receive delayed treatment as a concurrent control. We anticipate that the dose for the first cohort will be 5 x 10</w:t>
      </w:r>
      <w:r>
        <w:rPr>
          <w:rFonts w:ascii="Arial" w:cs="Arial" w:eastAsia="Arial" w:hAnsi="Arial"/>
          <w:sz w:val="15"/>
          <w:szCs w:val="15"/>
          <w:color w:val="auto"/>
        </w:rPr>
        <w:t>14</w:t>
      </w:r>
      <w:r>
        <w:rPr>
          <w:rFonts w:ascii="Arial" w:cs="Arial" w:eastAsia="Arial" w:hAnsi="Arial"/>
          <w:sz w:val="18"/>
          <w:szCs w:val="18"/>
          <w:color w:val="auto"/>
        </w:rPr>
        <w:t xml:space="preserve"> total vg administered intrathecally, with an escalation in doses in the second and third cohorts to be decided based on PPT1 enzyme levels in CSF and serum, clinical improvement and safety outcomes in the first cohort, as discussed with and reviewed by an independent data safety monitoring board. The data safety monitoring board will also review the safety information from the first patient dosed in each cohort before the second participant within that cohort can be dosed and will be involved in overall safety review and safety management in the trial.</w:t>
      </w:r>
    </w:p>
    <w:p>
      <w:pPr>
        <w:spacing w:after="0" w:line="20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expect that the primary endpoints in the trial will include: safety and tolerability; developmental milestones; PPT1 enzyme activity in the serum and CSF; change in clinical progression as measured by the Unified Batten Disease Rating Scale; changes in a number of other developmental scales, including the Vineland Adaptive Behavior Scales-Third Edition, Bayley Scales of Infant and Toddler Development; seizure frequency, type and medication; ophthalmological assessment; quality of life and caregiver burden; and changes in MRI, including volumetric changes of the brain.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Neurodegenerative Programs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TSHA-104 for SURF1 Deficiency</w:t>
      </w:r>
    </w:p>
    <w:p>
      <w:pPr>
        <w:spacing w:after="0" w:line="104" w:lineRule="exact"/>
        <w:rPr>
          <w:sz w:val="20"/>
          <w:szCs w:val="20"/>
          <w:color w:val="auto"/>
        </w:rPr>
      </w:pPr>
    </w:p>
    <w:p>
      <w:pPr>
        <w:ind w:right="460" w:firstLine="562"/>
        <w:spacing w:after="0" w:line="267" w:lineRule="auto"/>
        <w:rPr>
          <w:sz w:val="20"/>
          <w:szCs w:val="20"/>
          <w:color w:val="auto"/>
        </w:rPr>
      </w:pPr>
      <w:r>
        <w:rPr>
          <w:rFonts w:ascii="Arial" w:cs="Arial" w:eastAsia="Arial" w:hAnsi="Arial"/>
          <w:sz w:val="18"/>
          <w:szCs w:val="18"/>
          <w:color w:val="auto"/>
        </w:rPr>
        <w:t xml:space="preserve">We are developing TSHA-104, a neurodegenerative product candidate, for the treatment of SURF1 deficiency. The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encodes the SURF1 protein, which plays a critical role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 xml:space="preserve">mitochondrial translation and is involved in the assembly of the cytochrome c oxidase complex. Mutations in </w:t>
      </w:r>
      <w:r>
        <w:rPr>
          <w:rFonts w:ascii="Arial" w:cs="Arial" w:eastAsia="Arial" w:hAnsi="Arial"/>
          <w:sz w:val="18"/>
          <w:szCs w:val="18"/>
          <w:i w:val="1"/>
          <w:iCs w:val="1"/>
          <w:color w:val="auto"/>
        </w:rPr>
        <w:t>SURF1</w:t>
      </w:r>
      <w:r>
        <w:rPr>
          <w:rFonts w:ascii="Arial" w:cs="Arial" w:eastAsia="Arial" w:hAnsi="Arial"/>
          <w:sz w:val="18"/>
          <w:szCs w:val="18"/>
          <w:color w:val="auto"/>
        </w:rPr>
        <w:t xml:space="preserve"> lead to SURF1 deficiency, a recessively inherited mitochondrial disease, and are the most frequent cause of Leigh syndrome, a rapidly progressive neurological condition characterized by the degeneration of the CNS. To date over 100 </w:t>
      </w:r>
      <w:r>
        <w:rPr>
          <w:rFonts w:ascii="Arial" w:cs="Arial" w:eastAsia="Arial" w:hAnsi="Arial"/>
          <w:sz w:val="18"/>
          <w:szCs w:val="18"/>
          <w:i w:val="1"/>
          <w:iCs w:val="1"/>
          <w:color w:val="auto"/>
        </w:rPr>
        <w:t>SURF1</w:t>
      </w:r>
      <w:r>
        <w:rPr>
          <w:rFonts w:ascii="Arial" w:cs="Arial" w:eastAsia="Arial" w:hAnsi="Arial"/>
          <w:sz w:val="18"/>
          <w:szCs w:val="18"/>
          <w:color w:val="auto"/>
        </w:rPr>
        <w:t xml:space="preserve"> mutations, including non-sense, frame shift and missense variants have been described in literature. The incidence of SURF1 deficiency is estimated to be approximately 1 in 100,000 live births.</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SURF1 deficiency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 deficiency caused by loss-of-function mutations.</w:t>
      </w:r>
    </w:p>
    <w:p>
      <w:pPr>
        <w:spacing w:after="0" w:line="184" w:lineRule="exact"/>
        <w:rPr>
          <w:sz w:val="20"/>
          <w:szCs w:val="20"/>
          <w:color w:val="auto"/>
        </w:rPr>
      </w:pPr>
    </w:p>
    <w:p>
      <w:pPr>
        <w:ind w:right="280" w:firstLine="562"/>
        <w:spacing w:after="0" w:line="267" w:lineRule="auto"/>
        <w:rPr>
          <w:sz w:val="20"/>
          <w:szCs w:val="20"/>
          <w:color w:val="auto"/>
        </w:rPr>
      </w:pPr>
      <w:r>
        <w:rPr>
          <w:rFonts w:ascii="Arial" w:cs="Arial" w:eastAsia="Arial" w:hAnsi="Arial"/>
          <w:sz w:val="18"/>
          <w:szCs w:val="18"/>
          <w:color w:val="auto"/>
        </w:rPr>
        <w:t xml:space="preserve">We are constructing TSHA-104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CBh promoter. We plan to submit an IND for TSHA-104 to the FDA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1697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TSHA-112 for Adult Polyglucosan Body Disease</w:t>
      </w:r>
    </w:p>
    <w:p>
      <w:pPr>
        <w:spacing w:after="0" w:line="122" w:lineRule="exact"/>
        <w:rPr>
          <w:sz w:val="20"/>
          <w:szCs w:val="20"/>
          <w:color w:val="auto"/>
        </w:rPr>
      </w:pPr>
    </w:p>
    <w:p>
      <w:pPr>
        <w:jc w:val="both"/>
        <w:ind w:firstLine="562"/>
        <w:spacing w:after="0" w:line="234" w:lineRule="auto"/>
        <w:rPr>
          <w:sz w:val="20"/>
          <w:szCs w:val="20"/>
          <w:color w:val="auto"/>
        </w:rPr>
      </w:pPr>
      <w:r>
        <w:rPr>
          <w:rFonts w:ascii="Arial" w:cs="Arial" w:eastAsia="Arial" w:hAnsi="Arial"/>
          <w:sz w:val="18"/>
          <w:szCs w:val="18"/>
          <w:color w:val="auto"/>
        </w:rPr>
        <w:t>We are developing TSHA-112 for the treatment of adult polyglucosan body disease, or APBD. APBD is caused by reduced glycogen branching enzyme, or GBE1, activity. GBE1 is responsible for the creation of branches during glycogen synthesis and reduced GBE1 activity results in elongated glycogen changes that form poorly soluble aggregates (polyglucosan bodies) in the liver, muscle and CNS. Symptoms of APBD include sensory loss in the legs, progressive muscle weakness, gait disturbances, urinary difficulties and mild cognitive impairment.</w:t>
      </w:r>
    </w:p>
    <w:p>
      <w:pPr>
        <w:spacing w:after="0" w:line="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APBD is a late onset, prime of life disease with an age of onset between 40 to 50 years. The prevalence of APBD is unknown, but estimates range from 2,700 to 12,000 patients in the United States.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TSHA-112 as a gene replacement therapy to deliver wild type GBE1 packaged within a self-complementary AAV9</w:t>
      </w:r>
    </w:p>
    <w:p>
      <w:pPr>
        <w:spacing w:after="0"/>
        <w:rPr>
          <w:sz w:val="20"/>
          <w:szCs w:val="20"/>
          <w:color w:val="auto"/>
        </w:rPr>
      </w:pPr>
      <w:r>
        <w:rPr>
          <w:rFonts w:ascii="Arial" w:cs="Arial" w:eastAsia="Arial" w:hAnsi="Arial"/>
          <w:sz w:val="18"/>
          <w:szCs w:val="18"/>
          <w:color w:val="auto"/>
        </w:rPr>
        <w:t>vector.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360045</wp:posOffset>
            </wp:positionV>
            <wp:extent cx="5186045" cy="1697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TSHA-111 for Lafora Disease</w:t>
      </w:r>
    </w:p>
    <w:p>
      <w:pPr>
        <w:spacing w:after="0" w:line="12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We are developing TSHA-111 for the treatment of Lafora disease, a fatal glycogen storage disorder. Lafora disease starts in healthy adolescents, usually with myoclonus, or involuntary muscle jerks, that rapidly evolve into progressive dementia, refractory epilepsy, cerebellar ataxia and respiratory failure, and generally results in death within about a decade. The epidemiology of Lafora disease is unknown although estimates suggests a prevalence of approximately 1 in 250,000 individuals worldwide. Currently, there is no treatment available for Lafora disease.</w:t>
      </w:r>
    </w:p>
    <w:p>
      <w:pPr>
        <w:spacing w:after="0" w:line="184" w:lineRule="exact"/>
        <w:rPr>
          <w:sz w:val="20"/>
          <w:szCs w:val="20"/>
          <w:color w:val="auto"/>
        </w:rPr>
      </w:pPr>
    </w:p>
    <w:p>
      <w:pPr>
        <w:jc w:val="both"/>
        <w:ind w:right="60" w:firstLine="562"/>
        <w:spacing w:after="0" w:line="245" w:lineRule="auto"/>
        <w:rPr>
          <w:sz w:val="20"/>
          <w:szCs w:val="20"/>
          <w:color w:val="auto"/>
        </w:rPr>
      </w:pPr>
      <w:r>
        <w:rPr>
          <w:rFonts w:ascii="Arial" w:cs="Arial" w:eastAsia="Arial" w:hAnsi="Arial"/>
          <w:sz w:val="18"/>
          <w:szCs w:val="18"/>
          <w:color w:val="auto"/>
        </w:rPr>
        <w:t xml:space="preserve">Lafora disease is caused by loss of function mutations in </w:t>
      </w:r>
      <w:r>
        <w:rPr>
          <w:rFonts w:ascii="Arial" w:cs="Arial" w:eastAsia="Arial" w:hAnsi="Arial"/>
          <w:sz w:val="18"/>
          <w:szCs w:val="18"/>
          <w:i w:val="1"/>
          <w:iCs w:val="1"/>
          <w:color w:val="auto"/>
        </w:rPr>
        <w:t>EPM2A</w:t>
      </w:r>
      <w:r>
        <w:rPr>
          <w:rFonts w:ascii="Arial" w:cs="Arial" w:eastAsia="Arial" w:hAnsi="Arial"/>
          <w:sz w:val="18"/>
          <w:szCs w:val="18"/>
          <w:color w:val="auto"/>
        </w:rPr>
        <w:t xml:space="preserve"> or </w:t>
      </w:r>
      <w:r>
        <w:rPr>
          <w:rFonts w:ascii="Arial" w:cs="Arial" w:eastAsia="Arial" w:hAnsi="Arial"/>
          <w:sz w:val="18"/>
          <w:szCs w:val="18"/>
          <w:i w:val="1"/>
          <w:iCs w:val="1"/>
          <w:color w:val="auto"/>
        </w:rPr>
        <w:t>EPM2B</w:t>
      </w:r>
      <w:r>
        <w:rPr>
          <w:rFonts w:ascii="Arial" w:cs="Arial" w:eastAsia="Arial" w:hAnsi="Arial"/>
          <w:sz w:val="18"/>
          <w:szCs w:val="18"/>
          <w:color w:val="auto"/>
        </w:rPr>
        <w:t xml:space="preserve"> genes, which encode the glycogen phosphatase laforin or the E3 ubiquitin ligase malin, respectively. Both laforin and malin are involved in the formation of regulating glycogen metabolism and the absence of either protein results in poorly branched cytoplasmic inclusions, known as Lafora bodies. Studies indicate that these inclusions are the primary of driver and neurodegeneration and other brain abnormalities associated with Lafora disease.</w:t>
      </w:r>
    </w:p>
    <w:p>
      <w:pPr>
        <w:spacing w:after="0" w:line="199" w:lineRule="exact"/>
        <w:rPr>
          <w:sz w:val="20"/>
          <w:szCs w:val="20"/>
          <w:color w:val="auto"/>
        </w:rPr>
      </w:pPr>
    </w:p>
    <w:p>
      <w:pPr>
        <w:jc w:val="both"/>
        <w:ind w:right="40" w:firstLine="562"/>
        <w:spacing w:after="0" w:line="246" w:lineRule="auto"/>
        <w:rPr>
          <w:sz w:val="20"/>
          <w:szCs w:val="20"/>
          <w:color w:val="auto"/>
        </w:rPr>
      </w:pPr>
      <w:r>
        <w:rPr>
          <w:rFonts w:ascii="Arial" w:cs="Arial" w:eastAsia="Arial" w:hAnsi="Arial"/>
          <w:sz w:val="18"/>
          <w:szCs w:val="18"/>
          <w:color w:val="auto"/>
        </w:rPr>
        <w:t>We are developing TSHA-111 as a gene replacement therapy that packages wild type laforin or malin in a self-complementary AAV9 vector for single-dose intrathecal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151130</wp:posOffset>
            </wp:positionV>
            <wp:extent cx="5186045" cy="1697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TSHA-113 for Tauopathies</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 progressive supranuclear palsy, corticobasal degeneration, behavioral variant frontotemporal degeneration, chronic traumatic encephalopathy, frontotemporal dementia and parkinsonism linked to chromosome 17.</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562"/>
        <w:spacing w:after="0" w:line="257" w:lineRule="auto"/>
        <w:rPr>
          <w:sz w:val="20"/>
          <w:szCs w:val="20"/>
          <w:color w:val="auto"/>
        </w:rPr>
      </w:pPr>
      <w:r>
        <w:rPr>
          <w:rFonts w:ascii="Arial" w:cs="Arial" w:eastAsia="Arial" w:hAnsi="Arial"/>
          <w:sz w:val="17"/>
          <w:szCs w:val="17"/>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189"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 xml:space="preserve">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 miRNA selectively reduced some human and mouse tau expression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we have packaged our miRNA shuttles in AAV9 capsids for further evaluation in mouse models of human tauopathies.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154940</wp:posOffset>
            </wp:positionV>
            <wp:extent cx="5186045" cy="17399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TSHA-115 for Glycogen Storage Diseases</w:t>
      </w:r>
    </w:p>
    <w:p>
      <w:pPr>
        <w:spacing w:after="0" w:line="122"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We are developing TSHA-115 for the treatment of glycogen storage diseases. TSHA-115 is designed to utilize a miRNA approach to knockdown GYS1, thereby inhibiting glycogen synthase in the brain. We believe this approach will provide therapeutic utility in not only Lafora Disease or APBD, but potentially other glycogen storage diseases as well.</w:t>
      </w:r>
    </w:p>
    <w:p>
      <w:pPr>
        <w:spacing w:after="0" w:line="203" w:lineRule="exact"/>
        <w:rPr>
          <w:sz w:val="20"/>
          <w:szCs w:val="20"/>
          <w:color w:val="auto"/>
        </w:rPr>
      </w:pPr>
    </w:p>
    <w:p>
      <w:pPr>
        <w:ind w:right="560" w:firstLine="562"/>
        <w:spacing w:after="0" w:line="246" w:lineRule="auto"/>
        <w:rPr>
          <w:sz w:val="20"/>
          <w:szCs w:val="20"/>
          <w:color w:val="auto"/>
        </w:rPr>
      </w:pPr>
      <w:r>
        <w:rPr>
          <w:rFonts w:ascii="Arial" w:cs="Arial" w:eastAsia="Arial" w:hAnsi="Arial"/>
          <w:sz w:val="18"/>
          <w:szCs w:val="18"/>
          <w:color w:val="auto"/>
        </w:rPr>
        <w:t>Our preliminary data show that RNA interference-mediated silencing of GYS1 messenger RNA, or mRNA, provides therapeutic benefit in low dose mouse models by decreasing abnormal glycogen formation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688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Neurodevelopmental Disorders</w:t>
      </w:r>
    </w:p>
    <w:p>
      <w:pPr>
        <w:spacing w:after="0" w:line="12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Neurodevelopmental disorders are a group of conditions whose age of onset occurs during the time when the brain is developing, typically between infancy and adolescence. Neurodevelopmental disorders can manifest as difficulties with language, speech and communication, motor skills, behavior, memory, learning and other neurological functions. The range of developmental deficits varies from very specific limitations of learning or control of executive functions to severe global impairments of social skills, intelligence and motor functioning.</w:t>
      </w:r>
    </w:p>
    <w:p>
      <w:pPr>
        <w:spacing w:after="0" w:line="20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treatment of neurodevelopmental disorders is tailored towards symptom management and administered by an interdisciplinary team of neurologists, clinical psychologists, cognitive therapists, speech and language experts, behavioral therapists, and other specialists. Pharmacological interventions include but are not limited to typical and atypical antipsychotics, antiepileptic drugs, antidepressants and anti-anxiety medications.</w:t>
      </w:r>
    </w:p>
    <w:p>
      <w:pPr>
        <w:spacing w:after="0" w:line="205" w:lineRule="exact"/>
        <w:rPr>
          <w:sz w:val="20"/>
          <w:szCs w:val="20"/>
          <w:color w:val="auto"/>
        </w:rPr>
      </w:pPr>
    </w:p>
    <w:p>
      <w:pPr>
        <w:jc w:val="both"/>
        <w:ind w:right="20" w:firstLine="562"/>
        <w:spacing w:after="0"/>
        <w:rPr>
          <w:sz w:val="20"/>
          <w:szCs w:val="20"/>
          <w:color w:val="auto"/>
        </w:rPr>
      </w:pPr>
      <w:r>
        <w:rPr>
          <w:rFonts w:ascii="Arial" w:cs="Arial" w:eastAsia="Arial" w:hAnsi="Arial"/>
          <w:sz w:val="18"/>
          <w:szCs w:val="18"/>
          <w:color w:val="auto"/>
        </w:rPr>
        <w:t>We are developing TSHA-102, a neurodevelopmental product candidate, for the treatment of Rett syndrome. We are also developing product candidates for the treatment of other neurodevelopmental disorders, including Angelman syndrome, Fragile X syndrome, Prader-Willi syndrome and FOXG1 syndrome.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TSHA-102 for the Treatment of Rett Syndrome</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Rett Syndrome</w:t>
      </w:r>
    </w:p>
    <w:p>
      <w:pPr>
        <w:spacing w:after="0" w:line="122" w:lineRule="exact"/>
        <w:rPr>
          <w:sz w:val="20"/>
          <w:szCs w:val="20"/>
          <w:color w:val="auto"/>
        </w:rPr>
      </w:pPr>
    </w:p>
    <w:p>
      <w:pPr>
        <w:ind w:right="180" w:firstLine="562"/>
        <w:spacing w:after="0" w:line="237" w:lineRule="auto"/>
        <w:rPr>
          <w:sz w:val="20"/>
          <w:szCs w:val="20"/>
          <w:color w:val="auto"/>
        </w:rPr>
      </w:pPr>
      <w:r>
        <w:rPr>
          <w:rFonts w:ascii="Arial" w:cs="Arial" w:eastAsia="Arial" w:hAnsi="Arial"/>
          <w:sz w:val="18"/>
          <w:szCs w:val="18"/>
          <w:color w:val="auto"/>
        </w:rPr>
        <w:t xml:space="preserve">Rett syndrome is one of the most common genetic causes of severe intellectual disability worldwide with an incidence rate of one in every 10,000 live female births. After a period of normal development, girls with Rett syndrome experience rapid developmental regression characterized by a loss of speech and motor control. Cognitive and intellectual disabilities are common, as is dysfunction of the autonomic nervous system resulting in breathing, cardiovascular, and gastrointestinal abnormalities. Approximately 95% of Rett syndrome patients are females carrying heterozygous loss-of-function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a gene encoding methyl CpG-binding protein that is essential for neuronal and synaptic function in the brain.</w:t>
      </w:r>
    </w:p>
    <w:p>
      <w:pPr>
        <w:spacing w:after="0" w:line="205"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Currently, there is no cure for Rett syndrome and available treatments for Rett syndrome are mainly to address symptoms. The primary focus of symptomatic therapy is ensuring that patients have access to the appropriate care specialists along with access to occupational therapy, speech therapy and physiotherapy. Sodium valproate, lamotrigine, levetiracetam, carbamazepine and clobazam are commonly prescribed to control seizures. There is a sudden death rate of 26% in Rett syndrome and patients mainly perish due to cardiac complications, respiratory infection and respiratory failure.</w:t>
      </w:r>
    </w:p>
    <w:p>
      <w:pPr>
        <w:spacing w:after="0" w:line="20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 xml:space="preserve">In February 2007, Sir Adrian Bird, Ph.D., a Professor of Genetics at the University of Edinburgh, published a seminal paper demonstrating the reversibility of symptoms associated with Rett syndrome in mice. This work suggested for the first time that neurological damage caused by the absence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may be reversible in children and adults with Rett syndrome. To demonstrate the ability to reverse the onset of Rett syndrome, researchers in the Bird lab generated mouse models in which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was conditionally silenced, which resulted in neurological and behavioral deficits that mirrored those seen in patients diagnosed with Rett syndrome. Upon reactivation of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gene, behavioral deficits were restored, and electrophysiological function was also returned to levels seen in wild type mice. These findings represented a landmark moment for the field and provided evidence that it may be possible to not only halt the symptoms of Rett syndrome, but to potentially reverse the course of the disease.</w:t>
      </w:r>
    </w:p>
    <w:p>
      <w:pPr>
        <w:spacing w:after="0" w:line="208"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Several peer-reviewed publications have subsequently explored the safety and efficacy of AAV-based gene therapy for the treatment of Rett syndrome, including in preclinical studies that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showed that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more recently,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extended the survival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a commonly used mouse model that recapitulates the symptoms of Rett syndrome. However, AAV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resulted in dose-dependent toxicity in wild type and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 out mice. Given the underlying biology of the disease, there is consensus among researchers that toxicity in these models is most likely linked to unregulated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result in a clinical phenotype similar to Rett syndrome both in terms of symptoms and severity.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TSHA-102</w:t>
      </w:r>
    </w:p>
    <w:p>
      <w:pPr>
        <w:spacing w:after="0" w:line="122"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 xml:space="preserve">We are developing TSHA-102, a neurodevelopmental product candidate, for the treatment of Rett syndrome. In order to develop an effective therapy for Rett syndrome,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needs to be titrated to correct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deficiency while avoiding side effects associated with toxic overexpression.</w:t>
      </w:r>
    </w:p>
    <w:p>
      <w:pPr>
        <w:spacing w:after="0" w:line="18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is a transcription factor within the cell that regulates many other genes involved in neurodevelopmental function. Levels of</w:t>
      </w:r>
      <w:r>
        <w:rPr>
          <w:rFonts w:ascii="Arial" w:cs="Arial" w:eastAsia="Arial" w:hAnsi="Arial"/>
          <w:sz w:val="18"/>
          <w:szCs w:val="18"/>
          <w:i w:val="1"/>
          <w:iCs w:val="1"/>
          <w:color w:val="auto"/>
        </w:rPr>
        <w:t xml:space="preserve"> MECP2 </w:t>
      </w:r>
      <w:r>
        <w:rPr>
          <w:rFonts w:ascii="Arial" w:cs="Arial" w:eastAsia="Arial" w:hAnsi="Arial"/>
          <w:sz w:val="18"/>
          <w:szCs w:val="18"/>
          <w:color w:val="auto"/>
        </w:rPr>
        <w:t>are regulated within the cell endogenously by a number of different miRNAs. We utilized this natural regulatory phenomenon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 miRARE, our miRNA target panel. miRARE binds those endogenous miRNA species whose expression levels are upregulated as a result of exogenous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protein expression. When miRARE is incorporated into the 3’ untranslated region of our expression cassette, it functions as a mechanism to permit therapeutic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while buffering against toxic overexpression,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146050</wp:posOffset>
            </wp:positionV>
            <wp:extent cx="5194935" cy="3326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9493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67" w:lineRule="auto"/>
        <w:rPr>
          <w:sz w:val="20"/>
          <w:szCs w:val="20"/>
          <w:color w:val="auto"/>
        </w:rPr>
      </w:pPr>
      <w:r>
        <w:rPr>
          <w:rFonts w:ascii="Arial" w:cs="Arial" w:eastAsia="Arial" w:hAnsi="Arial"/>
          <w:sz w:val="18"/>
          <w:szCs w:val="18"/>
          <w:color w:val="auto"/>
        </w:rPr>
        <w:t xml:space="preserve">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and our miRARE panel packaged in self-complementary AAV9.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1697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preclinical studies, we observed that TSHA-102 had a favorable tolerability profile and increased survival in a wild type mice model. In these studies, wild type mice were treated with low doses of 1 x 10</w:t>
      </w:r>
      <w:r>
        <w:rPr>
          <w:rFonts w:ascii="Arial" w:cs="Arial" w:eastAsia="Arial" w:hAnsi="Arial"/>
          <w:sz w:val="15"/>
          <w:szCs w:val="15"/>
          <w:color w:val="auto"/>
        </w:rPr>
        <w:t>11</w:t>
      </w:r>
      <w:r>
        <w:rPr>
          <w:rFonts w:ascii="Arial" w:cs="Arial" w:eastAsia="Arial" w:hAnsi="Arial"/>
          <w:sz w:val="18"/>
          <w:szCs w:val="18"/>
          <w:color w:val="auto"/>
        </w:rPr>
        <w:t xml:space="preserve"> vg or high doses of 1 x 10</w:t>
      </w:r>
      <w:r>
        <w:rPr>
          <w:rFonts w:ascii="Arial" w:cs="Arial" w:eastAsia="Arial" w:hAnsi="Arial"/>
          <w:sz w:val="15"/>
          <w:szCs w:val="15"/>
          <w:color w:val="auto"/>
        </w:rPr>
        <w:t>12</w:t>
      </w:r>
      <w:r>
        <w:rPr>
          <w:rFonts w:ascii="Arial" w:cs="Arial" w:eastAsia="Arial" w:hAnsi="Arial"/>
          <w:sz w:val="18"/>
          <w:szCs w:val="18"/>
          <w:color w:val="auto"/>
        </w:rPr>
        <w:t xml:space="preserve"> doses of either unregulated AAV9/</w:t>
      </w:r>
      <w:r>
        <w:rPr>
          <w:rFonts w:ascii="Arial" w:cs="Arial" w:eastAsia="Arial" w:hAnsi="Arial"/>
          <w:sz w:val="18"/>
          <w:szCs w:val="18"/>
          <w:i w:val="1"/>
          <w:iCs w:val="1"/>
          <w:color w:val="auto"/>
        </w:rPr>
        <w:t>MECP2</w:t>
      </w:r>
      <w:r>
        <w:rPr>
          <w:rFonts w:ascii="Arial" w:cs="Arial" w:eastAsia="Arial" w:hAnsi="Arial"/>
          <w:sz w:val="18"/>
          <w:szCs w:val="18"/>
          <w:color w:val="auto"/>
        </w:rPr>
        <w:t>,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or TSHA-102 at four to five weeks of age. Mice treated with the high dose of unregulated constructs experienced early lethality, while the low dose unregulated constructs were similar to vehicle. Mice treated with TSHA-102 had no deaths associated with treatment,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27946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20" w:firstLine="562"/>
        <w:spacing w:after="0" w:line="250"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dose-dependent side effects, leading to an increase in the aggregate score of a well-recognized, validated Rett behavioral</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tool used in mice, were observed in the cohorts 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as shown in the figure below. This increase in aggregate score is a reflection of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causing Rett-like symptoms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mice, as is seen in Rett duplication syndrome. In contrast, TSHA-102 was well tolerated and aggregate scores were similar to those of mice treated with vehicle only. This aggregate scale includes six sub-scales for abnormal mobility, abnormal gait, hindlimb clasping, tremors, abnormal breathing and abnormal general appearance. Sub-scales were each assessed on a scale of 0 to 12, with 12 being the maximum aggregate score attainable. Scorers were blind to treatment and genotype, and lower scores indicate better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18262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562"/>
        <w:spacing w:after="0" w:line="250"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failed to extend survival at either dose tested. In contrast, TSHA-102 dosed at 1x10</w:t>
      </w:r>
      <w:r>
        <w:rPr>
          <w:rFonts w:ascii="Arial" w:cs="Arial" w:eastAsia="Arial" w:hAnsi="Arial"/>
          <w:sz w:val="15"/>
          <w:szCs w:val="15"/>
          <w:color w:val="auto"/>
        </w:rPr>
        <w:t>12</w:t>
      </w:r>
      <w:r>
        <w:rPr>
          <w:rFonts w:ascii="Arial" w:cs="Arial" w:eastAsia="Arial" w:hAnsi="Arial"/>
          <w:sz w:val="18"/>
          <w:szCs w:val="18"/>
          <w:color w:val="auto"/>
        </w:rPr>
        <w:t xml:space="preserve"> vg/mouse extended survival by 56%. Importantly, although there is a strong trend toward increased survival in mice treated with AAV9/</w:t>
      </w:r>
      <w:r>
        <w:rPr>
          <w:rFonts w:ascii="Arial" w:cs="Arial" w:eastAsia="Arial" w:hAnsi="Arial"/>
          <w:sz w:val="18"/>
          <w:szCs w:val="18"/>
          <w:i w:val="1"/>
          <w:iCs w:val="1"/>
          <w:color w:val="auto"/>
        </w:rPr>
        <w:t>MECP2</w:t>
      </w:r>
      <w:r>
        <w:rPr>
          <w:rFonts w:ascii="Arial" w:cs="Arial" w:eastAsia="Arial" w:hAnsi="Arial"/>
          <w:sz w:val="18"/>
          <w:szCs w:val="18"/>
          <w:color w:val="auto"/>
        </w:rPr>
        <w:t>, studies in wild type mice showed unacceptable toxicity with this vector design at this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86045" cy="19716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562"/>
        <w:spacing w:after="0" w:line="242" w:lineRule="auto"/>
        <w:rPr>
          <w:sz w:val="20"/>
          <w:szCs w:val="20"/>
          <w:color w:val="auto"/>
        </w:rPr>
      </w:pPr>
      <w:r>
        <w:rPr>
          <w:rFonts w:ascii="Arial" w:cs="Arial" w:eastAsia="Arial" w:hAnsi="Arial"/>
          <w:sz w:val="18"/>
          <w:szCs w:val="18"/>
          <w:color w:val="auto"/>
        </w:rPr>
        <w:t xml:space="preserve">We observed TSHA-102 to be well tolerated, with no behavioral abnormalities or other side effects associated with </w:t>
      </w:r>
      <w:r>
        <w:rPr>
          <w:rFonts w:ascii="Arial" w:cs="Arial" w:eastAsia="Arial" w:hAnsi="Arial"/>
          <w:sz w:val="18"/>
          <w:szCs w:val="18"/>
          <w:i w:val="1"/>
          <w:iCs w:val="1"/>
          <w:color w:val="auto"/>
        </w:rPr>
        <w:t>MECP2</w:t>
      </w:r>
      <w:r>
        <w:rPr>
          <w:rFonts w:ascii="Arial" w:cs="Arial" w:eastAsia="Arial" w:hAnsi="Arial"/>
          <w:sz w:val="18"/>
          <w:szCs w:val="18"/>
          <w:color w:val="auto"/>
        </w:rPr>
        <w:t xml:space="preserve"> overexpression. We evaluated the safety of TSHA-102 in wild type mice following intrathecal administration. While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caused dose-responsive reductions in weight, weight reduction was not observed in mice treated with TSHA-102. In addition, no tail lesions were observed among mice treated with TSHA-102. In contrast, lesions were observed in 8% to 17% of wild type mice treated with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and 8% of mice 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60"/>
          </w:cols>
          <w:pgMar w:left="32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2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Following the completion of Good Laboratory Practice, or GLP,-toxicology studies in NHPs and the completion of additional preclinical studies, we intend to submit an IND to the FDA by the end of 2021. In clinical trials, we intend to evaluate safety, tolerability and efficacy utilizing multiple clinical scales and biomarkers. Breathing disorders are reported in over 66% of patients with Rett syndrome, often leading to sleep disorders. Patients hyperventilate, hold their breath and have apneic episodes, leading to poor sleep quality. Accordingly, we plan to measure both sleep quality and breathing in our clinical trials. In addition, epilepsy is reported in over 60% of patients with Rett syndrome and likely will serve as a secondary efficacy endpoint in our trials.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Neurodevelopmental Programs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TSHA-106 for Angelman Syndrome</w:t>
      </w:r>
    </w:p>
    <w:p>
      <w:pPr>
        <w:spacing w:after="0" w:line="122"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 xml:space="preserve">We are developing TSHA-106 for the treatment of Angelman syndrome, a neurodevelopmental disorder caused by a maternal deficiency of the </w:t>
      </w:r>
      <w:r>
        <w:rPr>
          <w:rFonts w:ascii="Arial" w:cs="Arial" w:eastAsia="Arial" w:hAnsi="Arial"/>
          <w:sz w:val="18"/>
          <w:szCs w:val="18"/>
          <w:i w:val="1"/>
          <w:iCs w:val="1"/>
          <w:color w:val="auto"/>
        </w:rPr>
        <w:t>UBE3A</w:t>
      </w:r>
      <w:r>
        <w:rPr>
          <w:rFonts w:ascii="Arial" w:cs="Arial" w:eastAsia="Arial" w:hAnsi="Arial"/>
          <w:sz w:val="18"/>
          <w:szCs w:val="18"/>
          <w:color w:val="auto"/>
        </w:rPr>
        <w:t xml:space="preserve"> gene. Angelman syndrome is characterized by profound developmental delay, ataxia and gait disturbance, sleep disorder, seizures, heightened anxiety and aggression and severe speech impairments. Angelman syndrome affects approximately one per 12,000 to 20,000 patients worldwide.</w:t>
      </w:r>
    </w:p>
    <w:p>
      <w:pPr>
        <w:spacing w:after="0" w:line="187" w:lineRule="exact"/>
        <w:rPr>
          <w:sz w:val="20"/>
          <w:szCs w:val="20"/>
          <w:color w:val="auto"/>
        </w:rPr>
      </w:pPr>
    </w:p>
    <w:p>
      <w:pPr>
        <w:ind w:right="380" w:firstLine="562"/>
        <w:spacing w:after="0" w:line="250" w:lineRule="auto"/>
        <w:rPr>
          <w:sz w:val="20"/>
          <w:szCs w:val="20"/>
          <w:color w:val="auto"/>
        </w:rPr>
      </w:pPr>
      <w:r>
        <w:rPr>
          <w:rFonts w:ascii="Arial" w:cs="Arial" w:eastAsia="Arial" w:hAnsi="Arial"/>
          <w:sz w:val="18"/>
          <w:szCs w:val="18"/>
          <w:color w:val="auto"/>
        </w:rPr>
        <w:t xml:space="preserve">Angelman syndrome is an imprinting disorder in which the maternal gene is deficient and the paternal copy of </w:t>
      </w:r>
      <w:r>
        <w:rPr>
          <w:rFonts w:ascii="Arial" w:cs="Arial" w:eastAsia="Arial" w:hAnsi="Arial"/>
          <w:sz w:val="18"/>
          <w:szCs w:val="18"/>
          <w:i w:val="1"/>
          <w:iCs w:val="1"/>
          <w:color w:val="auto"/>
        </w:rPr>
        <w:t>UBE3A</w:t>
      </w:r>
      <w:r>
        <w:rPr>
          <w:rFonts w:ascii="Arial" w:cs="Arial" w:eastAsia="Arial" w:hAnsi="Arial"/>
          <w:sz w:val="18"/>
          <w:szCs w:val="18"/>
          <w:color w:val="auto"/>
        </w:rPr>
        <w:t xml:space="preserve"> is intact but silenced by a long non-coding RNA, </w:t>
      </w:r>
      <w:r>
        <w:rPr>
          <w:rFonts w:ascii="Arial" w:cs="Arial" w:eastAsia="Arial" w:hAnsi="Arial"/>
          <w:sz w:val="18"/>
          <w:szCs w:val="18"/>
          <w:i w:val="1"/>
          <w:iCs w:val="1"/>
          <w:color w:val="auto"/>
        </w:rPr>
        <w:t>UBE3A</w:t>
      </w:r>
      <w:r>
        <w:rPr>
          <w:rFonts w:ascii="Arial" w:cs="Arial" w:eastAsia="Arial" w:hAnsi="Arial"/>
          <w:sz w:val="18"/>
          <w:szCs w:val="18"/>
          <w:color w:val="auto"/>
        </w:rPr>
        <w:t xml:space="preserve"> antisense transcript, or </w:t>
      </w:r>
      <w:r>
        <w:rPr>
          <w:rFonts w:ascii="Arial" w:cs="Arial" w:eastAsia="Arial" w:hAnsi="Arial"/>
          <w:sz w:val="18"/>
          <w:szCs w:val="18"/>
          <w:i w:val="1"/>
          <w:iCs w:val="1"/>
          <w:color w:val="auto"/>
        </w:rPr>
        <w:t>UBE3A</w:t>
      </w:r>
      <w:r>
        <w:rPr>
          <w:rFonts w:ascii="Arial" w:cs="Arial" w:eastAsia="Arial" w:hAnsi="Arial"/>
          <w:sz w:val="18"/>
          <w:szCs w:val="18"/>
          <w:color w:val="auto"/>
        </w:rPr>
        <w:t>-ATS. Delivery of an ASO targeting UBE3A-ATS showed promising results in ameliorating Angelman syndrome symptoms in a transgenic mouse model.</w:t>
      </w:r>
    </w:p>
    <w:p>
      <w:pPr>
        <w:spacing w:after="0" w:line="177" w:lineRule="exact"/>
        <w:rPr>
          <w:sz w:val="20"/>
          <w:szCs w:val="20"/>
          <w:color w:val="auto"/>
        </w:rPr>
      </w:pPr>
    </w:p>
    <w:p>
      <w:pPr>
        <w:ind w:right="40" w:firstLine="562"/>
        <w:spacing w:after="0" w:line="267" w:lineRule="auto"/>
        <w:rPr>
          <w:sz w:val="20"/>
          <w:szCs w:val="20"/>
          <w:color w:val="auto"/>
        </w:rPr>
      </w:pPr>
      <w:r>
        <w:rPr>
          <w:rFonts w:ascii="Arial" w:cs="Arial" w:eastAsia="Arial" w:hAnsi="Arial"/>
          <w:sz w:val="18"/>
          <w:szCs w:val="18"/>
          <w:color w:val="auto"/>
        </w:rPr>
        <w:t xml:space="preserve">We are developing TSHA-106 to target the </w:t>
      </w:r>
      <w:r>
        <w:rPr>
          <w:rFonts w:ascii="Arial" w:cs="Arial" w:eastAsia="Arial" w:hAnsi="Arial"/>
          <w:sz w:val="18"/>
          <w:szCs w:val="18"/>
          <w:i w:val="1"/>
          <w:iCs w:val="1"/>
          <w:color w:val="auto"/>
        </w:rPr>
        <w:t>UBE3A</w:t>
      </w:r>
      <w:r>
        <w:rPr>
          <w:rFonts w:ascii="Arial" w:cs="Arial" w:eastAsia="Arial" w:hAnsi="Arial"/>
          <w:sz w:val="18"/>
          <w:szCs w:val="18"/>
          <w:color w:val="auto"/>
        </w:rPr>
        <w:t>-ATS transcript through shRNA knock-down with an AAV-based strategy in order to achieve broad distribution of the shRNA expression cassette across the entire CNS following a single intrathecal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17145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TSHA-114 for Fragile X Syndrome</w:t>
      </w:r>
    </w:p>
    <w:p>
      <w:pPr>
        <w:spacing w:after="0" w:line="122"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85" w:lineRule="exact"/>
        <w:rPr>
          <w:sz w:val="20"/>
          <w:szCs w:val="20"/>
          <w:color w:val="auto"/>
        </w:rPr>
      </w:pPr>
    </w:p>
    <w:p>
      <w:pPr>
        <w:ind w:right="360" w:firstLine="562"/>
        <w:spacing w:after="0" w:line="267" w:lineRule="auto"/>
        <w:rPr>
          <w:sz w:val="20"/>
          <w:szCs w:val="20"/>
          <w:color w:val="auto"/>
        </w:rPr>
      </w:pPr>
      <w:r>
        <w:rPr>
          <w:rFonts w:ascii="Arial" w:cs="Arial" w:eastAsia="Arial" w:hAnsi="Arial"/>
          <w:sz w:val="18"/>
          <w:szCs w:val="18"/>
          <w:color w:val="auto"/>
        </w:rPr>
        <w:t xml:space="preserve">Fragile X syndrome is caused by a pathological expansion of a CGG triplet repeat in the 5’ untranslated region of the </w:t>
      </w:r>
      <w:r>
        <w:rPr>
          <w:rFonts w:ascii="Arial" w:cs="Arial" w:eastAsia="Arial" w:hAnsi="Arial"/>
          <w:sz w:val="18"/>
          <w:szCs w:val="18"/>
          <w:i w:val="1"/>
          <w:iCs w:val="1"/>
          <w:color w:val="auto"/>
        </w:rPr>
        <w:t>FMR1</w:t>
      </w:r>
      <w:r>
        <w:rPr>
          <w:rFonts w:ascii="Arial" w:cs="Arial" w:eastAsia="Arial" w:hAnsi="Arial"/>
          <w:sz w:val="18"/>
          <w:szCs w:val="18"/>
          <w:color w:val="auto"/>
        </w:rPr>
        <w:t xml:space="preserve"> gene. Expansion of the triplet above the normal 5–55 repeats to 200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202"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We are developing TSHA-114 using truncated promoters that mimic the natural developmental expression of FMRP. In addition, we have selected to express a human FMRP isoform to ensure that FMRP expression is appropriately localized to the cytosol, axon, nerve terminals, and nucleus in the proper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1697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TSHA-116 for Prader-Willi Syndrome</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 xml:space="preserve">We are developing TSHA-116 for the treatment of Prader-Willi syndrome, a genetic disorder caused by paternal loss-of-function of genes along 15q11-q13 chromosomal region, or </w:t>
      </w:r>
      <w:r>
        <w:rPr>
          <w:rFonts w:ascii="Arial" w:cs="Arial" w:eastAsia="Arial" w:hAnsi="Arial"/>
          <w:sz w:val="18"/>
          <w:szCs w:val="18"/>
          <w:i w:val="1"/>
          <w:iCs w:val="1"/>
          <w:color w:val="auto"/>
        </w:rPr>
        <w:t>PWS</w:t>
      </w:r>
      <w:r>
        <w:rPr>
          <w:rFonts w:ascii="Arial" w:cs="Arial" w:eastAsia="Arial" w:hAnsi="Arial"/>
          <w:sz w:val="18"/>
          <w:szCs w:val="18"/>
          <w:color w:val="auto"/>
        </w:rPr>
        <w:t xml:space="preserve"> genes, due to an imprinting defect. The prevalence of Prader-Willi syndrome is estimated to be approximately one per 10,000 to 30,000 persons. During infancy, patients with Prader-Willi syndrome have feeding difficulties, poor growth and weak muscle tone. As the patient begins to age, their appetite becomes insatiable, resulting in obesity and type 2 diabetes. In addition, patients typically have mild to moderate intellectual disabilities, behavioral issues and sleep abnormalities.</w:t>
      </w:r>
    </w:p>
    <w:p>
      <w:pPr>
        <w:spacing w:after="0" w:line="202"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 xml:space="preserve">In patients, with Prader-Willi syndrome, the maternal genes are intact but silenced by epigenetic regulation, or the modulation of gene expression. Epigenetic regulation is accomplished by the euchromatic histone lysine N-methyltransferase-2, or </w:t>
      </w:r>
      <w:r>
        <w:rPr>
          <w:rFonts w:ascii="Arial" w:cs="Arial" w:eastAsia="Arial" w:hAnsi="Arial"/>
          <w:sz w:val="18"/>
          <w:szCs w:val="18"/>
          <w:i w:val="1"/>
          <w:iCs w:val="1"/>
          <w:color w:val="auto"/>
        </w:rPr>
        <w:t>EHMT2</w:t>
      </w:r>
      <w:r>
        <w:rPr>
          <w:rFonts w:ascii="Arial" w:cs="Arial" w:eastAsia="Arial" w:hAnsi="Arial"/>
          <w:sz w:val="18"/>
          <w:szCs w:val="18"/>
          <w:color w:val="auto"/>
        </w:rPr>
        <w:t>, gene.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We are developing TSHA-116 to restore gene function through reactivation of the silenced maternal genes. To accomplish this, we are designing vectors to target </w:t>
      </w:r>
      <w:r>
        <w:rPr>
          <w:rFonts w:ascii="Arial" w:cs="Arial" w:eastAsia="Arial" w:hAnsi="Arial"/>
          <w:sz w:val="18"/>
          <w:szCs w:val="18"/>
          <w:i w:val="1"/>
          <w:iCs w:val="1"/>
          <w:color w:val="auto"/>
        </w:rPr>
        <w:t>EHMT2</w:t>
      </w:r>
      <w:r>
        <w:rPr>
          <w:rFonts w:ascii="Arial" w:cs="Arial" w:eastAsia="Arial" w:hAnsi="Arial"/>
          <w:sz w:val="18"/>
          <w:szCs w:val="18"/>
          <w:color w:val="auto"/>
        </w:rPr>
        <w:t xml:space="preserve"> through shRNA knock-down and reduced levels of </w:t>
      </w:r>
      <w:r>
        <w:rPr>
          <w:rFonts w:ascii="Arial" w:cs="Arial" w:eastAsia="Arial" w:hAnsi="Arial"/>
          <w:sz w:val="18"/>
          <w:szCs w:val="18"/>
          <w:i w:val="1"/>
          <w:iCs w:val="1"/>
          <w:color w:val="auto"/>
        </w:rPr>
        <w:t>EHMT2</w:t>
      </w:r>
      <w:r>
        <w:rPr>
          <w:rFonts w:ascii="Arial" w:cs="Arial" w:eastAsia="Arial" w:hAnsi="Arial"/>
          <w:sz w:val="18"/>
          <w:szCs w:val="18"/>
          <w:color w:val="auto"/>
        </w:rPr>
        <w:t xml:space="preserve">, which would in turn activate the silenced </w:t>
      </w:r>
      <w:r>
        <w:rPr>
          <w:rFonts w:ascii="Arial" w:cs="Arial" w:eastAsia="Arial" w:hAnsi="Arial"/>
          <w:sz w:val="18"/>
          <w:szCs w:val="18"/>
          <w:i w:val="1"/>
          <w:iCs w:val="1"/>
          <w:color w:val="auto"/>
        </w:rPr>
        <w:t xml:space="preserve">PWS </w:t>
      </w:r>
      <w:r>
        <w:rPr>
          <w:rFonts w:ascii="Arial" w:cs="Arial" w:eastAsia="Arial" w:hAnsi="Arial"/>
          <w:sz w:val="18"/>
          <w:szCs w:val="18"/>
          <w:color w:val="auto"/>
        </w:rPr>
        <w:t>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1706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TSHA-117 for FOXG1 Syndrome</w:t>
      </w:r>
    </w:p>
    <w:p>
      <w:pPr>
        <w:spacing w:after="0" w:line="122"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 xml:space="preserve">We are developing TSHA-117 for the treatment of FOXG1 syndrome. FOXG1 syndrome is a neurodevelopmental disorder caused by pathogenic mutations in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The symptoms of FOXG1 syndrome include severe developmental and intellectual disabilities, growth restriction with microcephaly, epilepsy and hyperkinetic-dyskinetic movement disorder. Approximately 700 patients with FOXG1 syndrome have been identified worldwide to date and the incidence rate is estimated to be one per 30,000 live births. The number of identified patients is expected to steadily increase as more children are tested for Autism Spectrum Disorder and other genetic disorders. Currently, there are no specific therapies for FOXG1 syndrome and medical management of the disease is largely focused on symptomatic relief.</w:t>
      </w:r>
    </w:p>
    <w:p>
      <w:pPr>
        <w:spacing w:after="0" w:line="185" w:lineRule="exact"/>
        <w:rPr>
          <w:sz w:val="20"/>
          <w:szCs w:val="20"/>
          <w:color w:val="auto"/>
        </w:rPr>
      </w:pPr>
    </w:p>
    <w:p>
      <w:pPr>
        <w:ind w:right="400" w:firstLine="562"/>
        <w:spacing w:after="0" w:line="267" w:lineRule="auto"/>
        <w:rPr>
          <w:sz w:val="20"/>
          <w:szCs w:val="20"/>
          <w:color w:val="auto"/>
        </w:rPr>
      </w:pPr>
      <w:r>
        <w:rPr>
          <w:rFonts w:ascii="Arial" w:cs="Arial" w:eastAsia="Arial" w:hAnsi="Arial"/>
          <w:sz w:val="18"/>
          <w:szCs w:val="18"/>
          <w:color w:val="auto"/>
        </w:rPr>
        <w:t xml:space="preserve">The literature suggests that dosage of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needs to be regulated to avoid off-target expression or overexpression of </w:t>
      </w:r>
      <w:r>
        <w:rPr>
          <w:rFonts w:ascii="Arial" w:cs="Arial" w:eastAsia="Arial" w:hAnsi="Arial"/>
          <w:sz w:val="18"/>
          <w:szCs w:val="18"/>
          <w:i w:val="1"/>
          <w:iCs w:val="1"/>
          <w:color w:val="auto"/>
        </w:rPr>
        <w:t>FOXG1</w:t>
      </w:r>
      <w:r>
        <w:rPr>
          <w:rFonts w:ascii="Arial" w:cs="Arial" w:eastAsia="Arial" w:hAnsi="Arial"/>
          <w:sz w:val="18"/>
          <w:szCs w:val="18"/>
          <w:color w:val="auto"/>
        </w:rPr>
        <w: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are developing TSHA-117 using our miRARE panel to regulate </w:t>
      </w:r>
      <w:r>
        <w:rPr>
          <w:rFonts w:ascii="Arial" w:cs="Arial" w:eastAsia="Arial" w:hAnsi="Arial"/>
          <w:sz w:val="18"/>
          <w:szCs w:val="18"/>
          <w:i w:val="1"/>
          <w:iCs w:val="1"/>
          <w:color w:val="auto"/>
        </w:rPr>
        <w:t>FOXG1</w:t>
      </w:r>
      <w:r>
        <w:rPr>
          <w:rFonts w:ascii="Arial" w:cs="Arial" w:eastAsia="Arial" w:hAnsi="Arial"/>
          <w:sz w:val="18"/>
          <w:szCs w:val="18"/>
          <w:color w:val="auto"/>
        </w:rPr>
        <w:t xml:space="preserve"> expression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1697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Epilepsies</w:t>
      </w:r>
    </w:p>
    <w:p>
      <w:pPr>
        <w:spacing w:after="0" w:line="126"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Our genetic epilepsy category targets disorders with recurrent seizures associated with abnormal development of the brain. In children with early-onset epilepsy, the detrimental effects of uncontrolled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seizures are often associated with, and may be responsible for, the neurodevelopmental disabilities that often appear subsequent to the onset of seizures. A number of childhood-onset epilepsies are caused by mutations in a single gene and represent a compelling target for gene therapy. The goal of our product candidates is to target the underlying cause of the disease to simultaneously control seizures and treat any associated developmental comorbidities.</w:t>
      </w:r>
    </w:p>
    <w:p>
      <w:pPr>
        <w:spacing w:after="0" w:line="205"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We are developing TSHA-103, a genetic epilepsy product candidate, for the treatment of SLC6A1 haploinsufficiency disorder. We are also developing product candidates for the treatment of other disorders, including SLC13A5 disorder and KCNQ2-related disorders.</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TSHA-103 for SLC6A1 Haploinsufficiency Disorder</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SLC6A1 Haploinsufficiency Disorder</w:t>
      </w:r>
    </w:p>
    <w:p>
      <w:pPr>
        <w:spacing w:after="0" w:line="104" w:lineRule="exact"/>
        <w:rPr>
          <w:sz w:val="20"/>
          <w:szCs w:val="20"/>
          <w:color w:val="auto"/>
        </w:rPr>
      </w:pPr>
    </w:p>
    <w:p>
      <w:pPr>
        <w:jc w:val="both"/>
        <w:ind w:right="240" w:firstLine="562"/>
        <w:spacing w:after="0" w:line="250" w:lineRule="auto"/>
        <w:rPr>
          <w:sz w:val="20"/>
          <w:szCs w:val="20"/>
          <w:color w:val="auto"/>
        </w:rPr>
      </w:pPr>
      <w:r>
        <w:rPr>
          <w:rFonts w:ascii="Arial" w:cs="Arial" w:eastAsia="Arial" w:hAnsi="Arial"/>
          <w:sz w:val="18"/>
          <w:szCs w:val="18"/>
          <w:color w:val="auto"/>
        </w:rPr>
        <w:t xml:space="preserve">SLC6A1 haploinsufficiency disorder is caused by loss-of-function mutations in 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Loss of-function mutations in the </w:t>
      </w:r>
      <w:r>
        <w:rPr>
          <w:rFonts w:ascii="Arial" w:cs="Arial" w:eastAsia="Arial" w:hAnsi="Arial"/>
          <w:sz w:val="18"/>
          <w:szCs w:val="18"/>
          <w:i w:val="1"/>
          <w:iCs w:val="1"/>
          <w:color w:val="auto"/>
        </w:rPr>
        <w:t xml:space="preserve">SLC6A1 </w:t>
      </w:r>
      <w:r>
        <w:rPr>
          <w:rFonts w:ascii="Arial" w:cs="Arial" w:eastAsia="Arial" w:hAnsi="Arial"/>
          <w:sz w:val="18"/>
          <w:szCs w:val="18"/>
          <w:color w:val="auto"/>
        </w:rPr>
        <w:t>gene have been identified as one of the most common monogenic causes of epilepsy with myoclonic atonic seizures, or brief and</w:t>
      </w:r>
      <w:r>
        <w:rPr>
          <w:rFonts w:ascii="Arial" w:cs="Arial" w:eastAsia="Arial" w:hAnsi="Arial"/>
          <w:sz w:val="18"/>
          <w:szCs w:val="18"/>
          <w:i w:val="1"/>
          <w:iCs w:val="1"/>
          <w:color w:val="auto"/>
        </w:rPr>
        <w:t xml:space="preserve"> </w:t>
      </w:r>
      <w:r>
        <w:rPr>
          <w:rFonts w:ascii="Arial" w:cs="Arial" w:eastAsia="Arial" w:hAnsi="Arial"/>
          <w:sz w:val="18"/>
          <w:szCs w:val="18"/>
          <w:color w:val="auto"/>
        </w:rPr>
        <w:t>abrupt seizures followed by loss of muscle strength, as well as autism spectrum disorder and intellectual disability.</w:t>
      </w:r>
    </w:p>
    <w:p>
      <w:pPr>
        <w:spacing w:after="0" w:line="19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202"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184"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203"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exact incidence and prevalence of SLC6A1 haploinsufficiency disorder is unknown.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not part of commercially available genetic epilepsy screening panels. Clinician education and expanded use of genetic screening panels that include SLC6A1 will likely lead to increased identification of individuals with these mutations.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TSHA-103</w:t>
      </w:r>
    </w:p>
    <w:p>
      <w:pPr>
        <w:spacing w:after="0" w:line="122"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We are developing TSHA-103, a genetic epilepsy product candidate, for the treatment of SLC6A1 haploinsufficiency disorder. TSHA-103 is a gene replacement therapy constructed from a codon-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conducting preclinical studies of TSHA-103 and plan to submit an IND for TSHA-103 to the FDA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86045" cy="1706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Genetic Epilepsy Programs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TSHA-105 for SLC13A5</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 xml:space="preserve">We are developing TSHA-105 for the treatment of SLC13A5 deficiency, a rare autosomal recessive epileptic encephalopathy characterized by the onset of seizures within the first few days of life. Affected children have impairments in gross motor function and speech production with relative preservation of fine motor skills and receptive speech. SLC13A5 deficiency is caused by bi-allelic loss-of function mutations in the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202"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203" w:lineRule="exact"/>
        <w:rPr>
          <w:sz w:val="20"/>
          <w:szCs w:val="20"/>
          <w:color w:val="auto"/>
        </w:rPr>
      </w:pPr>
    </w:p>
    <w:p>
      <w:pPr>
        <w:ind w:right="520" w:firstLine="562"/>
        <w:spacing w:after="0" w:line="246" w:lineRule="auto"/>
        <w:rPr>
          <w:sz w:val="20"/>
          <w:szCs w:val="20"/>
          <w:color w:val="auto"/>
        </w:rPr>
      </w:pPr>
      <w:r>
        <w:rPr>
          <w:rFonts w:ascii="Arial" w:cs="Arial" w:eastAsia="Arial" w:hAnsi="Arial"/>
          <w:sz w:val="18"/>
          <w:szCs w:val="18"/>
          <w:color w:val="auto"/>
        </w:rPr>
        <w:t xml:space="preserve">We are developing TSHA-105 as a gene replacement therapy for SLC13A5 deficiency. TSHA-105 is constructed from a codon-optimized human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packaged in a self-complementary AAV9 capsid.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705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459" w:right="3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TSHA-110 for KNCQ2 Developmental &amp; Epileptic Encephalopathy</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We have an exclusive option from UT Southwestern to develop TSHA-110 for the treatment of </w:t>
      </w:r>
      <w:r>
        <w:rPr>
          <w:rFonts w:ascii="Arial" w:cs="Arial" w:eastAsia="Arial" w:hAnsi="Arial"/>
          <w:sz w:val="18"/>
          <w:szCs w:val="18"/>
          <w:i w:val="1"/>
          <w:iCs w:val="1"/>
          <w:color w:val="auto"/>
        </w:rPr>
        <w:t>KCNQ2</w:t>
      </w:r>
      <w:r>
        <w:rPr>
          <w:rFonts w:ascii="Arial" w:cs="Arial" w:eastAsia="Arial" w:hAnsi="Arial"/>
          <w:sz w:val="18"/>
          <w:szCs w:val="18"/>
          <w:color w:val="auto"/>
        </w:rPr>
        <w:t xml:space="preserve"> Developmental and Epileptic Encephalopathy, or KCNQ2. Patients with KCNQ2 typically present with seizures in the first week of life. Seizures appear as tonic, or with stiffening of the body, often associated with jerking and changes in breathing or heart rate. These seizures often resolve within months to years but children have some degree of developmental impairment involving one or more domains (motor, social, language, cognition). There is wide variability in the symptoms of patients with a KCNQ2 diagnosis. Some have very limited, or no noticeable seizure activity and the developmental impairment can range from mild to severe, depending on a number of different factors. Some children may also have autistic features or other comorbidities. The incidence of KCNQ2 is approximately 1 in 35,000 live births.</w:t>
      </w:r>
    </w:p>
    <w:p>
      <w:pPr>
        <w:spacing w:after="0" w:line="20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 xml:space="preserve">We plan to exercise the option to acquire rights to TSHA-110 from UT Southwestern, following which we expect to develop TSHA-110 as a </w:t>
      </w:r>
      <w:r>
        <w:rPr>
          <w:rFonts w:ascii="Arial" w:cs="Arial" w:eastAsia="Arial" w:hAnsi="Arial"/>
          <w:sz w:val="18"/>
          <w:szCs w:val="18"/>
          <w:i w:val="1"/>
          <w:iCs w:val="1"/>
          <w:color w:val="auto"/>
        </w:rPr>
        <w:t>KCNQ2</w:t>
      </w:r>
      <w:r>
        <w:rPr>
          <w:rFonts w:ascii="Arial" w:cs="Arial" w:eastAsia="Arial" w:hAnsi="Arial"/>
          <w:sz w:val="18"/>
          <w:szCs w:val="18"/>
          <w:color w:val="auto"/>
        </w:rPr>
        <w:t xml:space="preserve"> transgene packaged within an AAV9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706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3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addition to our AAV9 candidates, we are building a suite of platforms to develop next-generation technologies that can optimize key components of an AAV-based gene therapy as part of our strategy to develop a sustainable pipeline of product candidates and a consistent stream of new commercial product launches.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The development of AAV-neutralizing antibodies after administration of an initial dose has historically presented a challenge in the ability to redose patients with gene therapies. In preclinical studies in adult rats, we observed that AAV9 delivery to the vagus nerve resulted in efficient targeting of the vagal neurons in the autonomic nervous system, or the ANS. We subsequently performed experiments to assess the feasibility of targeting genes to ANS neurons in rats already treated with an intrathecal injection of AAV9. Rats were immunized with AAV9 by an intrathecal injection of AAV9/GAN and then received a direct vagus nerve injection with AAV9/GFP either four or fourteen weeks after the intrathecal injection. AAV9-immunized rats had efficient green fluorescent protein, or GFP, transduction in vagal nerve fibers and neurons. There was no evidence of neuroinflammation or significant chronic inflammatory infiltrates.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149860</wp:posOffset>
            </wp:positionV>
            <wp:extent cx="5186045" cy="32061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60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In preclinical studies in dogs, adult hounds received a direct vagus nerve injection of increasing volumes of vehicle and were allowed to recover for two weeks. AAV delivery to the vagus nerve was well tolerated at all doses. Vocalization, weight, eating and fecal output were monitored pre- and post-surgery, and post-mortem analysis showed that vagal nerve fibers and neurons were microscopically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plan to further evaluate the safety and feasibility of this approach in NHPs.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26"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miRNA-Responsive Auto-Regulatory Element, or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 Instead, the miRARE system utilizes endogenous transgene-responsive miRNA to downregulate transgene expression in the event that overexpression occurs. While our initial intent is to utilize our miRARE panel to develop gene replacement therapies for Rett syndrome and FOXG1 syndrome, we believe the system may be applicable to a number of other dose-sensitive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86045" cy="34201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8604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Successful clinical translation of gene therapies depends upon efficient transgene delivery and expression across the entire CNS. Directed evolution is a powerful and proven method to develop novel AAV vector capsids that exhibit properties distinct from naturally occurring serotypes. However, to date, most novel capsids have been derived in rodents or in vitro models whose properties may or may not translate to other species, in particular primates.</w:t>
      </w:r>
    </w:p>
    <w:p>
      <w:pPr>
        <w:spacing w:after="0" w:line="205" w:lineRule="exact"/>
        <w:rPr>
          <w:sz w:val="20"/>
          <w:szCs w:val="20"/>
          <w:color w:val="auto"/>
        </w:rPr>
      </w:pPr>
    </w:p>
    <w:p>
      <w:pPr>
        <w:jc w:val="both"/>
        <w:ind w:firstLine="562"/>
        <w:spacing w:after="0"/>
        <w:rPr>
          <w:sz w:val="20"/>
          <w:szCs w:val="20"/>
          <w:color w:val="auto"/>
        </w:rPr>
      </w:pPr>
      <w:r>
        <w:rPr>
          <w:rFonts w:ascii="Arial" w:cs="Arial" w:eastAsia="Arial" w:hAnsi="Arial"/>
          <w:sz w:val="18"/>
          <w:szCs w:val="18"/>
          <w:color w:val="auto"/>
        </w:rPr>
        <w:t>We have developed a new approach that utilizes AAV whole capsid shuffling and directed evolution, combined with machine learning techniques, to develop novel AAV capsids in mice and non-human primates in parallel. We are utilizing SMRT sequencing analysis for a high throughput evaluation of recovered whole AAV capsid genes. SMRT sequencing has the advantage of sequencing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32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entire capsid gene in a single read with high accuracy, enabling sequencing the entire shuffled capsid rather than only an insert region or barcode.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774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8604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We believe that our approach will allow us to rapidly identify new capsids for the treatment of CNS disorders and drive new product candidates with novel biodistribution and transduction profiles into our development pipeline.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changing technologies, significant competition and a strong emphasis on intellectual property. This is also true for the development and commercialization of treatments for neurodegenerative diseases, neurodevelopmental disorders and genetic epilepsies, and broadly across gene therapies.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20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203"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The majority of our programs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w:t>
      </w:r>
    </w:p>
    <w:p>
      <w:pPr>
        <w:spacing w:after="0" w:line="203"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 xml:space="preserve">Axovant is developing AXO-AAV-GM2 for the treatment of GM2 gangliosidosis. AXO-AAV-GM2 delivers two AAVrh8 vectors, each encoding either </w:t>
      </w:r>
      <w:r>
        <w:rPr>
          <w:rFonts w:ascii="Arial" w:cs="Arial" w:eastAsia="Arial" w:hAnsi="Arial"/>
          <w:sz w:val="18"/>
          <w:szCs w:val="18"/>
          <w:i w:val="1"/>
          <w:iCs w:val="1"/>
          <w:color w:val="auto"/>
        </w:rPr>
        <w:t>HEXA</w:t>
      </w:r>
      <w:r>
        <w:rPr>
          <w:rFonts w:ascii="Arial" w:cs="Arial" w:eastAsia="Arial" w:hAnsi="Arial"/>
          <w:sz w:val="18"/>
          <w:szCs w:val="18"/>
          <w:color w:val="auto"/>
        </w:rPr>
        <w:t xml:space="preserve"> or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directly to the CNS with the intention of producing functioning ß-hexosaminidase.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459" w:right="3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00" w:firstLine="562"/>
        <w:spacing w:after="0" w:line="246" w:lineRule="auto"/>
        <w:rPr>
          <w:sz w:val="20"/>
          <w:szCs w:val="20"/>
          <w:color w:val="auto"/>
        </w:rPr>
      </w:pPr>
      <w:r>
        <w:rPr>
          <w:rFonts w:ascii="Arial" w:cs="Arial" w:eastAsia="Arial" w:hAnsi="Arial"/>
          <w:sz w:val="18"/>
          <w:szCs w:val="18"/>
          <w:color w:val="auto"/>
        </w:rPr>
        <w:t>Amicus, in collaboration with Nationwide Children’s Hospital, is developing a gene therapy candidate for CLN1 disease that is currently in discovery stage.</w:t>
      </w:r>
    </w:p>
    <w:p>
      <w:pPr>
        <w:spacing w:after="0" w:line="197"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 xml:space="preserve">Novartis, through its acquisition of AveXis, is developing a product candidate for the treatment of Rett syndrome, AVXS-201, a preclinical AAV9 capsid vector that carries AAV ITR sequences and a minimal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promoter that is designed to be active in the CNS in an unregulated manner. In addition, the Rett Syndrome Research Trust, Amicus Therapeutics and Sarepta have disclosed the existence of discovery-stage gene therapy programs although the development status of these programs is unclear.</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ind w:right="360" w:firstLine="562"/>
        <w:spacing w:after="0"/>
        <w:rPr>
          <w:sz w:val="20"/>
          <w:szCs w:val="20"/>
          <w:color w:val="auto"/>
        </w:rPr>
      </w:pPr>
      <w:r>
        <w:rPr>
          <w:rFonts w:ascii="Arial" w:cs="Arial" w:eastAsia="Arial" w:hAnsi="Arial"/>
          <w:sz w:val="18"/>
          <w:szCs w:val="18"/>
          <w:color w:val="auto"/>
        </w:rPr>
        <w:t>Through our collaboration with the UT Southwestern Gene Therapy Program, we have access to a new, state-of-the-art AAV production facility which includes approximately 2,000 square feet of laboratory space for process development and research-grade AAV vector production, as well as a 1,000 square foot ISO7 cleanroom facility dedicated solely for cGMP AAV vector manufacture.</w:t>
      </w:r>
    </w:p>
    <w:p>
      <w:pPr>
        <w:spacing w:after="0" w:line="20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This facility is outfitted with new equipment purchased in 2018 and 2019 for research-grade and GMP-grade AAV vector production. The process development lab is equipped with two Sartorius Biostat B Controller Stations with four 10 liter glass bioreactors and four 2 liter glass bioreactors, a Sartorius Biostat STR 50 liter bioreactor with controller and a Sartorius AMBR 250 process development bioreactor. Our strategic partnership with UT Southwestern provides us with access to this facility to allow for process development for development programs.</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UT Southwestern GMP facility is equipped with a Sartorius Biostat STR 50 liter bioreactor with controller, a Sartorius Biostat STR 500 liter bioreactor with controller, Sartoflow Smart tangential flow filtration unit, a Sartorius FlexAct UD, two bioprocessing workstations and an automated dispenser to support our AAV9 manufacturing needs for early clinical trials. We believe this capacity will be sufficient to meet the clinical demand for our full pipeline of product candidates.</w:t>
      </w:r>
    </w:p>
    <w:p>
      <w:pPr>
        <w:spacing w:after="0" w:line="205" w:lineRule="exact"/>
        <w:rPr>
          <w:sz w:val="20"/>
          <w:szCs w:val="20"/>
          <w:color w:val="auto"/>
        </w:rPr>
      </w:pPr>
    </w:p>
    <w:p>
      <w:pPr>
        <w:jc w:val="both"/>
        <w:ind w:right="100" w:firstLine="562"/>
        <w:spacing w:after="0" w:line="238" w:lineRule="auto"/>
        <w:rPr>
          <w:sz w:val="20"/>
          <w:szCs w:val="20"/>
          <w:color w:val="auto"/>
        </w:rPr>
      </w:pPr>
      <w:r>
        <w:rPr>
          <w:rFonts w:ascii="Arial" w:cs="Arial" w:eastAsia="Arial" w:hAnsi="Arial"/>
          <w:sz w:val="18"/>
          <w:szCs w:val="18"/>
          <w:color w:val="auto"/>
        </w:rPr>
        <w:t>In addition to our manufacturing capabilities provided by UT Southwestern, we are currently engaged with an external consulting firm to aid us with the development of a comprehensive facility build strategy including pipeline and capacity planning assessment, site selection assessment, benchmarking, quality systems and programs, and other strategic efforts related to the design and build out of a new facility to support commercial scale manufacturing of our pipeline programs.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 Under the UT Southwestern Agreement, UT Southwestern is primarily responsible for preclinical development activities with respect to licensed products for use in certain specified indications (up to IND-enabling studies), and we are responsible for all subsequent clinical development and commercialization activities with respect to licensed products. UT Southwestern will conduct such preclinical activities for a two-year period under mutually agreed upon sponsored research agreements that are funded by us. During the initial research phase, we have the right to expand the scope of specified indications under the UT Southwestern Agreement. We currently have 15 product candidates pursuant to the UT Southwestern Agreement, option rights with respect to KCNQ2 and options for an additional four indications. The research program activities will be overseen by a joint steering committee.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at no cost. We are required to use commercially reasonable efforts to develop, obtain regulatory approval for, and commercialize at least one licensed product.</w:t>
      </w:r>
    </w:p>
    <w:p>
      <w:pPr>
        <w:spacing w:after="0" w:line="203" w:lineRule="exact"/>
        <w:rPr>
          <w:sz w:val="20"/>
          <w:szCs w:val="20"/>
          <w:color w:val="auto"/>
        </w:rPr>
      </w:pPr>
    </w:p>
    <w:p>
      <w:pPr>
        <w:ind w:right="440" w:firstLine="562"/>
        <w:spacing w:after="0"/>
        <w:rPr>
          <w:sz w:val="20"/>
          <w:szCs w:val="20"/>
          <w:color w:val="auto"/>
        </w:rPr>
      </w:pPr>
      <w:r>
        <w:rPr>
          <w:rFonts w:ascii="Arial" w:cs="Arial" w:eastAsia="Arial" w:hAnsi="Arial"/>
          <w:sz w:val="18"/>
          <w:szCs w:val="18"/>
          <w:color w:val="auto"/>
        </w:rPr>
        <w:t>In connection with the license grant, we issued to UT Southwestern 2,000,000 shares of our common stock. We do not have any future milestone or royalty obligations to UT Southwestern under the UT Southwestern Agreement, other than costs related to the maintenance of patents.</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through multiple tiers, under certain patent rights and know-how of Queen’s University, including certain improvements to such patent rights and know-how, to develop products in any field which use one or more valid claims of the patents licensed under the Queen’s University Agreement, or the Licensed Patents, or the technology, information and intellectual property related to the patents licensed under the Queen’s University Agreement, or the Licensed Technology and together with the Licensed Patents, the Licensed Products, and to make, have made, use, sell, offer for sale, import and export Licensed Products and otherwise exploit such patents and know-how for use in certain specified indications. We also obtained an exclusive right of first negotiation to license certain next-generation technology and improvements of Queen’s University that do not constitute an already-licensed improvement to the Licensed Technology.</w:t>
      </w:r>
    </w:p>
    <w:p>
      <w:pPr>
        <w:spacing w:after="0" w:line="206" w:lineRule="exact"/>
        <w:rPr>
          <w:sz w:val="20"/>
          <w:szCs w:val="20"/>
          <w:color w:val="auto"/>
        </w:rPr>
      </w:pPr>
    </w:p>
    <w:p>
      <w:pPr>
        <w:jc w:val="both"/>
        <w:ind w:right="500" w:firstLine="562"/>
        <w:spacing w:after="0"/>
        <w:rPr>
          <w:sz w:val="20"/>
          <w:szCs w:val="20"/>
          <w:color w:val="auto"/>
        </w:rPr>
      </w:pPr>
      <w:r>
        <w:rPr>
          <w:rFonts w:ascii="Arial" w:cs="Arial" w:eastAsia="Arial" w:hAnsi="Arial"/>
          <w:sz w:val="18"/>
          <w:szCs w:val="18"/>
          <w:color w:val="auto"/>
        </w:rPr>
        <w:t>We are required to use commercially reasonable efforts to exploit the Licensed Technology in countries where it is commercially reasonable to develop Licensed Products, including by meeting certain diligence milestones within certain specified periods of time. In addition, we have final decision-making authority on the filing, prosecution or maintenance of Licensed Patents.</w:t>
      </w:r>
    </w:p>
    <w:p>
      <w:pPr>
        <w:spacing w:after="0" w:line="203" w:lineRule="exact"/>
        <w:rPr>
          <w:sz w:val="20"/>
          <w:szCs w:val="20"/>
          <w:color w:val="auto"/>
        </w:rPr>
      </w:pPr>
    </w:p>
    <w:p>
      <w:pPr>
        <w:ind w:right="180" w:firstLine="562"/>
        <w:spacing w:after="0" w:line="234" w:lineRule="auto"/>
        <w:rPr>
          <w:sz w:val="20"/>
          <w:szCs w:val="20"/>
          <w:color w:val="auto"/>
        </w:rPr>
      </w:pPr>
      <w:r>
        <w:rPr>
          <w:rFonts w:ascii="Arial" w:cs="Arial" w:eastAsia="Arial" w:hAnsi="Arial"/>
          <w:sz w:val="18"/>
          <w:szCs w:val="18"/>
          <w:color w:val="auto"/>
        </w:rPr>
        <w:t>In connection with the Queen’s University Agreement, we paid Queen’s University a one-time fee of $3 million as an upfront fee and $221,300 to reimburse Queen’s University for certain plasmid production costs. We are obligated to pay Queen’s University up to</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$10.0 million in the aggregate upon achievement of certain regulatory milestones, up to $10.0 million in the aggregate upon achievement of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received by us in connection with the sale of a priority review voucher related to a Licensed Product, not to exceed a low eight-figure amount.</w:t>
      </w:r>
    </w:p>
    <w:p>
      <w:pPr>
        <w:spacing w:after="0" w:line="212"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The Queen’s University Agreement expires upon the expiration of the last royalty term of a Licensed Product. Either party may terminate the agreement upon an uncured material breach of the agreement or insolvency of the other party. We may elect to terminate the agreement upon specified prior written notice to Queen’s University.</w:t>
      </w:r>
    </w:p>
    <w:p>
      <w:pPr>
        <w:spacing w:after="0" w:line="203"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We are also obligated under the terms of a separate research grant agreement to reimburse Queen’s University for certain clinical manufacturing production costs of approximately $3.8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26"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In August 2020, we entered into a license agreement, or the Abeona Agreement, with Abeona Therapeutics Inc., or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in humans.</w:t>
      </w:r>
    </w:p>
    <w:p>
      <w:pPr>
        <w:spacing w:after="0" w:line="198"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Subject to certain obligations of Abeona, we are required to use commercially reasonable efforts</w:t>
      </w:r>
    </w:p>
    <w:p>
      <w:pPr>
        <w:jc w:val="center"/>
        <w:ind w:right="2480"/>
        <w:spacing w:after="0"/>
        <w:rPr>
          <w:sz w:val="20"/>
          <w:szCs w:val="20"/>
          <w:color w:val="auto"/>
        </w:rPr>
      </w:pPr>
      <w:r>
        <w:rPr>
          <w:rFonts w:ascii="Arial" w:cs="Arial" w:eastAsia="Arial" w:hAnsi="Arial"/>
          <w:sz w:val="18"/>
          <w:szCs w:val="18"/>
          <w:color w:val="auto"/>
        </w:rPr>
        <w:t>to develop at least one licensed product and commercialize at least one licensed product in the United States.</w:t>
      </w:r>
    </w:p>
    <w:p>
      <w:pPr>
        <w:spacing w:after="0" w:line="21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208" w:lineRule="exact"/>
        <w:rPr>
          <w:sz w:val="20"/>
          <w:szCs w:val="20"/>
          <w:color w:val="auto"/>
        </w:rPr>
      </w:pPr>
    </w:p>
    <w:p>
      <w:pPr>
        <w:ind w:right="280" w:firstLine="562"/>
        <w:spacing w:after="0"/>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203"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provisional patent applications, if issued, are expected to expire between 2040 and 2041. Our policy is to file patent applications to protect technology, inventions and improvements to inventions that may be commercially important to the development of our business.</w:t>
      </w:r>
    </w:p>
    <w:p>
      <w:pPr>
        <w:spacing w:after="0" w:line="202" w:lineRule="exact"/>
        <w:rPr>
          <w:sz w:val="20"/>
          <w:szCs w:val="20"/>
          <w:color w:val="auto"/>
        </w:rPr>
      </w:pPr>
    </w:p>
    <w:p>
      <w:pPr>
        <w:ind w:right="300" w:firstLine="562"/>
        <w:spacing w:after="0" w:line="237" w:lineRule="auto"/>
        <w:rPr>
          <w:sz w:val="20"/>
          <w:szCs w:val="20"/>
          <w:color w:val="auto"/>
        </w:rPr>
      </w:pPr>
      <w:r>
        <w:rPr>
          <w:rFonts w:ascii="Arial" w:cs="Arial" w:eastAsia="Arial" w:hAnsi="Arial"/>
          <w:sz w:val="18"/>
          <w:szCs w:val="18"/>
          <w:color w:val="auto"/>
        </w:rPr>
        <w:t>We in-license one United States provisional patent application that relates to our TSHA-103 SLCA61 program, where a patent application claiming priority to this provisional patent application, if issued, is expected to expire in 2040, without taking into account any possible patent term adjustment. We in-license one United States provisional patent application that relates to our TSHA-104 SURF1 program, where a patent application claiming priority to this provisional patent application, if issued, is expected to expire in 2040, without taking into account any possible patent term adjustment. Patent applications directed to our most advanced product candidates are summarized below:</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TSHA-101</w:t>
      </w:r>
    </w:p>
    <w:p>
      <w:pPr>
        <w:spacing w:after="0" w:line="104" w:lineRule="exact"/>
        <w:rPr>
          <w:sz w:val="20"/>
          <w:szCs w:val="20"/>
          <w:color w:val="auto"/>
        </w:rPr>
      </w:pPr>
    </w:p>
    <w:p>
      <w:pPr>
        <w:jc w:val="both"/>
        <w:ind w:right="280" w:firstLine="562"/>
        <w:spacing w:after="0" w:line="272" w:lineRule="auto"/>
        <w:rPr>
          <w:sz w:val="20"/>
          <w:szCs w:val="20"/>
          <w:color w:val="auto"/>
        </w:rPr>
      </w:pPr>
      <w:r>
        <w:rPr>
          <w:rFonts w:ascii="Arial" w:cs="Arial" w:eastAsia="Arial" w:hAnsi="Arial"/>
          <w:sz w:val="17"/>
          <w:szCs w:val="17"/>
          <w:color w:val="auto"/>
        </w:rPr>
        <w:t xml:space="preserve">We in-license a United States utility patent application directed to a bicistronic </w:t>
      </w:r>
      <w:r>
        <w:rPr>
          <w:rFonts w:ascii="Arial" w:cs="Arial" w:eastAsia="Arial" w:hAnsi="Arial"/>
          <w:sz w:val="17"/>
          <w:szCs w:val="17"/>
          <w:i w:val="1"/>
          <w:iCs w:val="1"/>
          <w:color w:val="auto"/>
        </w:rPr>
        <w:t>HEXB</w:t>
      </w:r>
      <w:r>
        <w:rPr>
          <w:rFonts w:ascii="Arial" w:cs="Arial" w:eastAsia="Arial" w:hAnsi="Arial"/>
          <w:sz w:val="17"/>
          <w:szCs w:val="17"/>
          <w:color w:val="auto"/>
        </w:rPr>
        <w:t>P2A</w:t>
      </w:r>
      <w:r>
        <w:rPr>
          <w:rFonts w:ascii="Arial" w:cs="Arial" w:eastAsia="Arial" w:hAnsi="Arial"/>
          <w:sz w:val="17"/>
          <w:szCs w:val="17"/>
          <w:i w:val="1"/>
          <w:iCs w:val="1"/>
          <w:color w:val="auto"/>
        </w:rPr>
        <w:t>-HEXA</w:t>
      </w:r>
      <w:r>
        <w:rPr>
          <w:rFonts w:ascii="Arial" w:cs="Arial" w:eastAsia="Arial" w:hAnsi="Arial"/>
          <w:sz w:val="17"/>
          <w:szCs w:val="17"/>
          <w:color w:val="auto"/>
        </w:rPr>
        <w:t xml:space="preserve"> transgene packaged into an AAV vector, and methods of using that vector to treat GM2 gangliosidosis, such as Tay-Sachs disease or Sandhoff disease, which, if issued, is expected to expire in 2037, without taking into account any possible patent term adjustment. This application has no foreign counterparts.</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TSHA-118</w:t>
      </w:r>
    </w:p>
    <w:p>
      <w:pPr>
        <w:spacing w:after="0" w:line="12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in-license certain patent rights directed to a palmitoyl-protein thioesterase 1 transgene packaged into an AAV vector, and methods of using that vector to treat CLN1 disease (also known as infantile Batten disease). Specifically, pursuant to our license agreement with Abeona we have in-licensed one PCT patent application assigned to Abeona. Patent applications based on this application, if issued, are expected to expire in 2040, without taking into account any possible patent term adjustment. In addition, pursuant to the Abeona agreement, we have sublicensed 15 pending patent applications worldwide assigned to the University of North Carolina at Chapel Hill. These patent applications, if issued, are expected to expire in 2037.</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TSHA-102</w:t>
      </w:r>
    </w:p>
    <w:p>
      <w:pPr>
        <w:spacing w:after="0" w:line="104" w:lineRule="exact"/>
        <w:rPr>
          <w:sz w:val="20"/>
          <w:szCs w:val="20"/>
          <w:color w:val="auto"/>
        </w:rPr>
      </w:pPr>
    </w:p>
    <w:p>
      <w:pPr>
        <w:ind w:right="60" w:firstLine="562"/>
        <w:spacing w:after="0" w:line="250" w:lineRule="auto"/>
        <w:rPr>
          <w:sz w:val="20"/>
          <w:szCs w:val="20"/>
          <w:color w:val="auto"/>
        </w:rPr>
      </w:pPr>
      <w:r>
        <w:rPr>
          <w:rFonts w:ascii="Arial" w:cs="Arial" w:eastAsia="Arial" w:hAnsi="Arial"/>
          <w:sz w:val="18"/>
          <w:szCs w:val="18"/>
          <w:color w:val="auto"/>
        </w:rPr>
        <w:t xml:space="preserve">We in-license four United States provisional patent applications directed to a minigene encoding </w:t>
      </w:r>
      <w:r>
        <w:rPr>
          <w:rFonts w:ascii="Arial" w:cs="Arial" w:eastAsia="Arial" w:hAnsi="Arial"/>
          <w:sz w:val="18"/>
          <w:szCs w:val="18"/>
          <w:i w:val="1"/>
          <w:iCs w:val="1"/>
          <w:color w:val="auto"/>
        </w:rPr>
        <w:t>MECP2</w:t>
      </w:r>
      <w:r>
        <w:rPr>
          <w:rFonts w:ascii="Arial" w:cs="Arial" w:eastAsia="Arial" w:hAnsi="Arial"/>
          <w:sz w:val="18"/>
          <w:szCs w:val="18"/>
          <w:color w:val="auto"/>
        </w:rPr>
        <w:t xml:space="preserve"> packaged into an AAV vector, and methods of using that vector to treat Rett syndrome. Patent applications claiming priority to these provisional patent applications, if issued, are expected to expire between 2040 and 2041, without taking into account any possible patent term adjustment.</w:t>
      </w:r>
    </w:p>
    <w:p>
      <w:pPr>
        <w:spacing w:after="0" w:line="19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459"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205"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The process required by the FDA before biological product candidates may be marketed in the United States generally involves the following:</w:t>
      </w:r>
    </w:p>
    <w:p>
      <w:pPr>
        <w:spacing w:after="0" w:line="102" w:lineRule="exact"/>
        <w:rPr>
          <w:sz w:val="20"/>
          <w:szCs w:val="20"/>
          <w:color w:val="auto"/>
        </w:rPr>
      </w:pPr>
    </w:p>
    <w:p>
      <w:pPr>
        <w:ind w:left="780" w:right="660" w:hanging="219"/>
        <w:spacing w:after="0" w:line="24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applicable regulations, including the GLP regulations;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7" w:lineRule="exact"/>
        <w:rPr>
          <w:rFonts w:ascii="Arial" w:cs="Arial" w:eastAsia="Arial" w:hAnsi="Arial"/>
          <w:sz w:val="18"/>
          <w:szCs w:val="18"/>
          <w:color w:val="auto"/>
        </w:rPr>
      </w:pPr>
    </w:p>
    <w:p>
      <w:pPr>
        <w:ind w:left="780" w:right="1000" w:hanging="219"/>
        <w:spacing w:after="0" w:line="24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2" w:lineRule="exact"/>
        <w:rPr>
          <w:rFonts w:ascii="Arial" w:cs="Arial" w:eastAsia="Arial" w:hAnsi="Arial"/>
          <w:sz w:val="18"/>
          <w:szCs w:val="18"/>
          <w:color w:val="auto"/>
        </w:rPr>
      </w:pPr>
    </w:p>
    <w:p>
      <w:pPr>
        <w:ind w:left="780" w:right="640" w:hanging="219"/>
        <w:spacing w:after="0" w:line="24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biological product candidate for its intended purpose;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780" w:hanging="219"/>
        <w:spacing w:after="0" w:line="23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110"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117" w:lineRule="exact"/>
        <w:rPr>
          <w:rFonts w:ascii="Arial" w:cs="Arial" w:eastAsia="Arial" w:hAnsi="Arial"/>
          <w:sz w:val="18"/>
          <w:szCs w:val="18"/>
          <w:color w:val="auto"/>
        </w:rPr>
      </w:pPr>
    </w:p>
    <w:p>
      <w:pPr>
        <w:ind w:left="780" w:right="180" w:hanging="219"/>
        <w:spacing w:after="0" w:line="24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or licensure, of a BLA to permit commercial marketing of the product for particular indications for use in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6" w:lineRule="exact"/>
        <w:rPr>
          <w:sz w:val="20"/>
          <w:szCs w:val="20"/>
          <w:color w:val="auto"/>
        </w:rPr>
      </w:pPr>
    </w:p>
    <w:p>
      <w:pPr>
        <w:ind w:right="900" w:firstLine="562"/>
        <w:spacing w:after="0" w:line="246"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product to 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8"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8" w:lineRule="exact"/>
        <w:rPr>
          <w:sz w:val="20"/>
          <w:szCs w:val="20"/>
          <w:color w:val="auto"/>
        </w:rPr>
      </w:pPr>
    </w:p>
    <w:p>
      <w:pPr>
        <w:ind w:right="60" w:firstLine="562"/>
        <w:spacing w:after="0" w:line="23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214"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For purposes of BLA approval of a product candidate, human clinical trials are typically conducted in three sequential phases that may overlap or be combined:</w:t>
      </w:r>
    </w:p>
    <w:p>
      <w:pPr>
        <w:spacing w:after="0" w:line="84" w:lineRule="exact"/>
        <w:rPr>
          <w:sz w:val="20"/>
          <w:szCs w:val="20"/>
          <w:color w:val="auto"/>
        </w:rPr>
      </w:pPr>
    </w:p>
    <w:p>
      <w:pPr>
        <w:jc w:val="both"/>
        <w:ind w:left="780" w:right="440" w:hanging="219"/>
        <w:spacing w:after="0" w:line="272"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For gene therapies, the investigational product is initially introduced into patients with the target disease or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80" w:right="420" w:hanging="219"/>
        <w:spacing w:after="0" w:line="267"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investigational product is administered to a limited patient population to evaluate the preliminary efficacy,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dosages and dosing schedule and to identify possible adverse side effects and safety risks.</w:t>
      </w:r>
    </w:p>
    <w:p>
      <w:pPr>
        <w:spacing w:after="0" w:line="65" w:lineRule="exact"/>
        <w:rPr>
          <w:rFonts w:ascii="Arial" w:cs="Arial" w:eastAsia="Arial" w:hAnsi="Arial"/>
          <w:sz w:val="18"/>
          <w:szCs w:val="18"/>
          <w:color w:val="auto"/>
        </w:rPr>
      </w:pPr>
    </w:p>
    <w:p>
      <w:pPr>
        <w:ind w:left="780" w:right="440" w:hanging="219"/>
        <w:spacing w:after="0" w:line="24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investigational product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these phases overlap or are combined, the trials may be referred to as Phase 1/2 or Phase 2/3.</w:t>
      </w:r>
    </w:p>
    <w:p>
      <w:pPr>
        <w:spacing w:after="0" w:line="21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203" w:lineRule="exact"/>
        <w:rPr>
          <w:sz w:val="20"/>
          <w:szCs w:val="20"/>
          <w:color w:val="auto"/>
        </w:rPr>
      </w:pPr>
    </w:p>
    <w:p>
      <w:pPr>
        <w:ind w:right="520" w:firstLine="562"/>
        <w:spacing w:after="0"/>
        <w:rPr>
          <w:sz w:val="20"/>
          <w:szCs w:val="20"/>
          <w:color w:val="auto"/>
        </w:rPr>
      </w:pPr>
      <w:r>
        <w:rPr>
          <w:rFonts w:ascii="Arial" w:cs="Arial" w:eastAsia="Arial" w:hAnsi="Arial"/>
          <w:sz w:val="18"/>
          <w:szCs w:val="18"/>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20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202"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08"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marketing application and meet all of the eligibility criteria. If a PRV is received, it may be sold or transferred an unlimited number of times.</w:t>
      </w:r>
    </w:p>
    <w:p>
      <w:pPr>
        <w:spacing w:after="0"/>
        <w:rPr>
          <w:sz w:val="20"/>
          <w:szCs w:val="20"/>
          <w:color w:val="auto"/>
        </w:rPr>
      </w:pPr>
      <w:r>
        <w:rPr>
          <w:rFonts w:ascii="Arial" w:cs="Arial" w:eastAsia="Arial" w:hAnsi="Arial"/>
          <w:sz w:val="18"/>
          <w:szCs w:val="18"/>
          <w:color w:val="auto"/>
        </w:rPr>
        <w:t>Congress has extended the PRV program until September 30, 2020, with the potential for PRVs to be granted until 2022.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2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08" w:lineRule="exact"/>
        <w:rPr>
          <w:sz w:val="20"/>
          <w:szCs w:val="20"/>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780" w:right="640" w:hanging="219"/>
        <w:spacing w:after="0" w:line="24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780" w:right="280" w:hanging="219"/>
        <w:spacing w:after="0" w:line="24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2"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26"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HIPAA and similar foreign, federal and state fraud and abuse, transparency and privacy laws.</w:t>
      </w:r>
    </w:p>
    <w:p>
      <w:pPr>
        <w:spacing w:after="0" w:line="205"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21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459" w:right="3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197"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14" w:lineRule="exact"/>
        <w:rPr>
          <w:sz w:val="20"/>
          <w:szCs w:val="20"/>
          <w:color w:val="auto"/>
        </w:rPr>
      </w:pPr>
    </w:p>
    <w:p>
      <w:pPr>
        <w:ind w:right="120" w:firstLine="562"/>
        <w:spacing w:after="0" w:line="237" w:lineRule="auto"/>
        <w:rPr>
          <w:sz w:val="20"/>
          <w:szCs w:val="20"/>
          <w:color w:val="auto"/>
        </w:rPr>
      </w:pPr>
      <w:r>
        <w:rPr>
          <w:rFonts w:ascii="Arial" w:cs="Arial" w:eastAsia="Arial" w:hAnsi="Arial"/>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w:t>
      </w:r>
    </w:p>
    <w:p>
      <w:pPr>
        <w:spacing w:after="0" w:line="205" w:lineRule="exact"/>
        <w:rPr>
          <w:sz w:val="20"/>
          <w:szCs w:val="20"/>
          <w:color w:val="auto"/>
        </w:rPr>
      </w:pPr>
    </w:p>
    <w:p>
      <w:pPr>
        <w:ind w:firstLine="562"/>
        <w:spacing w:after="0" w:line="234" w:lineRule="auto"/>
        <w:rPr>
          <w:sz w:val="20"/>
          <w:szCs w:val="20"/>
          <w:color w:val="auto"/>
        </w:rPr>
      </w:pPr>
      <w:r>
        <w:rPr>
          <w:rFonts w:ascii="Arial" w:cs="Arial" w:eastAsia="Arial" w:hAnsi="Arial"/>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w:t>
      </w:r>
    </w:p>
    <w:p>
      <w:pPr>
        <w:spacing w:after="0" w:line="8"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the curtailment or restructuring of our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20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20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3"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203"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205"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ACA-mandated fees, and increasing</w:t>
      </w:r>
    </w:p>
    <w:p>
      <w:pPr>
        <w:spacing w:after="0" w:line="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point-of-sale discount that is owed by pharmaceutical manufacturers who participate in Medicare Part D. On December 14, 2018, a U.S. District Court Judge in Texas ruled that the ACA is unconstitutional in its entirety because the “individual mandate” was repealed by Congress as part of legislation enacted in 2017, informally titled the Tax Cuts and Jobs Act. On December 18, 2019, the U.S. Court of Appeals for the 5th Circuit ruled that the individual mandate was unconstitutional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remanded the case back to the District Court to determine whether the remaining provisions of the ACA are invalid as well. On March 2, 2020, the United States Supreme Court granted the petitions for writs of certiorari to review this case. It is unclear when such oral arguments are to be held and when a decision is expected to be made. It is also unclear how such litigation and other efforts to repeal and replace the ACA will impact the ACA and our business.</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pursuant to the Coronavirus Aid, Relief and Economic Security Act, or CARES Act, these Medicare sequester reductions will be suspended from May 1, 2020 through December 31, 2020 due to the COVID-19 pandemic.</w:t>
      </w:r>
    </w:p>
    <w:p>
      <w:pPr>
        <w:spacing w:after="0" w:line="20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contains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certain of these measures and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President Trump signed four executive orders aimed at lowering drug prices. The executive orders direct the Secretary of the U.S. Department of Health and Human Services, or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 income individuals receiving insulin and epinephrine purchased by a Federally Qualified Health Center, or FQHC, as part of the 340B drug program to purchase those drugs at the discounted price paid by the FQHC. It is unclear if, when, and to what extent these executive orders may be implemented. On August 6, 2020, President Trump signed an additional executive order directing U.S. government agencies to encourage the domestic procurement of Essential Medicines, Medical Countermeasures, and Critical Inputs, which include among other things, active pharmaceutical ingredients and drugs intended for use in the diagnosis, cure, mitigation, treatment, or prevention of COVID-19. FDA shall release a full list of Essential Medicines, Medical Countermeasures, and Critical Inputs affected by this order by November 5, 2020. The regulatory and market implications of these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executive orders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Although a number of these and other proposed measures may require additional authorization to become effective, Congress and the Trump administration have each indicated that it will continue to seek new legislative and/or administrative measures to control drug costs. 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right="240" w:firstLine="562"/>
        <w:spacing w:after="0"/>
        <w:rPr>
          <w:sz w:val="20"/>
          <w:szCs w:val="20"/>
          <w:color w:val="auto"/>
        </w:rPr>
      </w:pPr>
      <w:r>
        <w:rPr>
          <w:rFonts w:ascii="Arial" w:cs="Arial" w:eastAsia="Arial" w:hAnsi="Arial"/>
          <w:sz w:val="18"/>
          <w:szCs w:val="18"/>
          <w:color w:val="auto"/>
        </w:rPr>
        <w:t>As part of our strategic partnership with UT Southwestern, we are provided with office space at UT Southwestern for administrative activities that we believe is adequate for our current needs. We believe that suitable additional alternative spaces will be available in the future on commercially reasonable terms.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As of August 31, 2020, we had ten full-time employees. None of our employees are represented by a labor union or covered by a collective bargaining agreement. We consider our relationship with our employees to be good.</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320" w:top="459" w:right="3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current executive officers and directors, including their ages as of August 31,</w:t>
      </w:r>
    </w:p>
    <w:p>
      <w:pPr>
        <w:spacing w:after="0"/>
        <w:rPr>
          <w:sz w:val="20"/>
          <w:szCs w:val="20"/>
          <w:color w:val="auto"/>
        </w:rPr>
      </w:pPr>
      <w:r>
        <w:rPr>
          <w:rFonts w:ascii="Arial" w:cs="Arial" w:eastAsia="Arial" w:hAnsi="Arial"/>
          <w:sz w:val="18"/>
          <w:szCs w:val="18"/>
          <w:color w:val="auto"/>
        </w:rPr>
        <w:t>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spacing w:after="0"/>
              <w:rPr>
                <w:sz w:val="16"/>
                <w:szCs w:val="16"/>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61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73"/>
        </w:trPr>
        <w:tc>
          <w:tcPr>
            <w:tcW w:w="452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Executive Officers</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60" w:type="dxa"/>
            <w:vAlign w:val="bottom"/>
            <w:tcBorders>
              <w:top w:val="single" w:sz="8" w:color="auto"/>
            </w:tcBorders>
          </w:tcPr>
          <w:p>
            <w:pPr>
              <w:spacing w:after="0"/>
              <w:rPr>
                <w:sz w:val="15"/>
                <w:szCs w:val="15"/>
                <w:color w:val="auto"/>
              </w:rPr>
            </w:pPr>
          </w:p>
        </w:tc>
      </w:tr>
      <w:tr>
        <w:trPr>
          <w:trHeight w:val="205"/>
        </w:trPr>
        <w:tc>
          <w:tcPr>
            <w:tcW w:w="4520" w:type="dxa"/>
            <w:vAlign w:val="bottom"/>
            <w:gridSpan w:val="2"/>
          </w:tcPr>
          <w:p>
            <w:pPr>
              <w:spacing w:after="0" w:line="205" w:lineRule="exact"/>
              <w:rPr>
                <w:sz w:val="20"/>
                <w:szCs w:val="20"/>
                <w:color w:val="auto"/>
              </w:rPr>
            </w:pPr>
            <w:r>
              <w:rPr>
                <w:rFonts w:ascii="Arial" w:cs="Arial" w:eastAsia="Arial" w:hAnsi="Arial"/>
                <w:sz w:val="18"/>
                <w:szCs w:val="18"/>
                <w:color w:val="auto"/>
              </w:rPr>
              <w:t>RA Session II</w:t>
            </w:r>
            <w:r>
              <w:rPr>
                <w:rFonts w:ascii="Arial" w:cs="Arial" w:eastAsia="Arial" w:hAnsi="Arial"/>
                <w:sz w:val="15"/>
                <w:szCs w:val="15"/>
                <w:color w:val="auto"/>
              </w:rPr>
              <w:t>(3)</w:t>
            </w:r>
          </w:p>
        </w:tc>
        <w:tc>
          <w:tcPr>
            <w:tcW w:w="4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41</w:t>
            </w:r>
          </w:p>
        </w:tc>
        <w:tc>
          <w:tcPr>
            <w:tcW w:w="6280" w:type="dxa"/>
            <w:vAlign w:val="bottom"/>
            <w:gridSpan w:val="2"/>
          </w:tcPr>
          <w:p>
            <w:pPr>
              <w:ind w:left="120"/>
              <w:spacing w:after="0" w:line="205"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Kamran Alam</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Chief Financial Officer</w:t>
            </w:r>
          </w:p>
        </w:tc>
      </w:tr>
      <w:tr>
        <w:trPr>
          <w:trHeight w:val="181"/>
        </w:trPr>
        <w:tc>
          <w:tcPr>
            <w:tcW w:w="4520" w:type="dxa"/>
            <w:vAlign w:val="bottom"/>
            <w:gridSpan w:val="2"/>
          </w:tcPr>
          <w:p>
            <w:pPr>
              <w:spacing w:after="0" w:line="181" w:lineRule="exact"/>
              <w:rPr>
                <w:sz w:val="20"/>
                <w:szCs w:val="20"/>
                <w:color w:val="auto"/>
              </w:rPr>
            </w:pPr>
            <w:r>
              <w:rPr>
                <w:rFonts w:ascii="Arial" w:cs="Arial" w:eastAsia="Arial" w:hAnsi="Arial"/>
                <w:sz w:val="18"/>
                <w:szCs w:val="18"/>
                <w:color w:val="auto"/>
              </w:rPr>
              <w:t>Suyash Prasad, M.B.B.S., F.F.P.M.</w:t>
            </w:r>
          </w:p>
        </w:tc>
        <w:tc>
          <w:tcPr>
            <w:tcW w:w="440" w:type="dxa"/>
            <w:vAlign w:val="bottom"/>
            <w:gridSpan w:val="2"/>
          </w:tcPr>
          <w:p>
            <w:pPr>
              <w:jc w:val="right"/>
              <w:ind w:right="100"/>
              <w:spacing w:after="0" w:line="181" w:lineRule="exact"/>
              <w:rPr>
                <w:sz w:val="20"/>
                <w:szCs w:val="20"/>
                <w:color w:val="auto"/>
              </w:rPr>
            </w:pPr>
            <w:r>
              <w:rPr>
                <w:rFonts w:ascii="Arial" w:cs="Arial" w:eastAsia="Arial" w:hAnsi="Arial"/>
                <w:sz w:val="18"/>
                <w:szCs w:val="18"/>
                <w:color w:val="auto"/>
              </w:rPr>
              <w:t>50</w:t>
            </w:r>
          </w:p>
        </w:tc>
        <w:tc>
          <w:tcPr>
            <w:tcW w:w="6280" w:type="dxa"/>
            <w:vAlign w:val="bottom"/>
            <w:gridSpan w:val="2"/>
          </w:tcPr>
          <w:p>
            <w:pPr>
              <w:ind w:left="120"/>
              <w:spacing w:after="0" w:line="181" w:lineRule="exact"/>
              <w:rPr>
                <w:sz w:val="20"/>
                <w:szCs w:val="20"/>
                <w:color w:val="auto"/>
              </w:rPr>
            </w:pPr>
            <w:r>
              <w:rPr>
                <w:rFonts w:ascii="Arial" w:cs="Arial" w:eastAsia="Arial" w:hAnsi="Arial"/>
                <w:sz w:val="18"/>
                <w:szCs w:val="18"/>
                <w:color w:val="auto"/>
              </w:rPr>
              <w:t>Chief Medical Officer and Head of Research and Development</w:t>
            </w: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Sean P. Nolan</w:t>
            </w:r>
            <w:r>
              <w:rPr>
                <w:rFonts w:ascii="Arial" w:cs="Arial" w:eastAsia="Arial" w:hAnsi="Arial"/>
                <w:sz w:val="15"/>
                <w:szCs w:val="15"/>
                <w:color w:val="auto"/>
              </w:rPr>
              <w:t>(1)(2)(3)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Phillip B. Donenberg</w:t>
            </w:r>
            <w:r>
              <w:rPr>
                <w:rFonts w:ascii="Arial" w:cs="Arial" w:eastAsia="Arial" w:hAnsi="Arial"/>
                <w:sz w:val="15"/>
                <w:szCs w:val="15"/>
                <w:color w:val="auto"/>
              </w:rPr>
              <w:t>(1)(2)</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Paul B. Manning</w:t>
            </w:r>
            <w:r>
              <w:rPr>
                <w:rFonts w:ascii="Arial" w:cs="Arial" w:eastAsia="Arial" w:hAnsi="Arial"/>
                <w:sz w:val="15"/>
                <w:szCs w:val="15"/>
                <w:color w:val="auto"/>
              </w:rPr>
              <w:t>(3)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19"/>
        </w:trPr>
        <w:tc>
          <w:tcPr>
            <w:tcW w:w="4520" w:type="dxa"/>
            <w:vAlign w:val="bottom"/>
            <w:gridSpan w:val="2"/>
          </w:tcPr>
          <w:p>
            <w:pPr>
              <w:spacing w:after="0"/>
              <w:rPr>
                <w:sz w:val="20"/>
                <w:szCs w:val="20"/>
                <w:color w:val="auto"/>
              </w:rPr>
            </w:pPr>
            <w:r>
              <w:rPr>
                <w:rFonts w:ascii="Arial" w:cs="Arial" w:eastAsia="Arial" w:hAnsi="Arial"/>
                <w:sz w:val="18"/>
                <w:szCs w:val="18"/>
                <w:color w:val="auto"/>
              </w:rPr>
              <w:t>Sukumar Nagendran, M.D.</w:t>
            </w:r>
            <w:r>
              <w:rPr>
                <w:rFonts w:ascii="Arial" w:cs="Arial" w:eastAsia="Arial" w:hAnsi="Arial"/>
                <w:sz w:val="15"/>
                <w:szCs w:val="15"/>
                <w:color w:val="auto"/>
              </w:rPr>
              <w:t>(1)(2)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560" w:hanging="552"/>
        <w:spacing w:after="0" w:line="234"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560" w:hanging="552"/>
        <w:spacing w:after="0"/>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b w:val="1"/>
          <w:bCs w:val="1"/>
          <w:i w:val="1"/>
          <w:iCs w:val="1"/>
          <w:color w:val="auto"/>
        </w:rPr>
        <w:t xml:space="preserve">RA Session II </w:t>
      </w:r>
      <w:r>
        <w:rPr>
          <w:rFonts w:ascii="Arial" w:cs="Arial" w:eastAsia="Arial" w:hAnsi="Arial"/>
          <w:sz w:val="18"/>
          <w:szCs w:val="18"/>
          <w:color w:val="auto"/>
        </w:rPr>
        <w:t>has served as our President and Chief Executive Officer and a member of our board of directors since our founding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In addition to serving as our President and Chief Executive Officer, Mr. Session currently serves as Entrepreneur-in-Residence of the University of Texas Southwestern Medical Center. He has served on the board of directors of Chardan Healthcare Acquisition 2 Corp. since April 2020. Mr. Session previously served as Chief Business Officer of the gene therapy subsidiaries of BridgeBio Pharma, Inc., a biopharmaceutical company, from January 2019 to April 2020; Senior Vice President, Corporate Strategy and Project Management of AveXis, Inc., a gene therapy company, from March 2017 to May 2018; and in various roles for PTC Therapeutics, Inc., a biopharmaceutical company, from June 2013 to March 2017, most recently as the Vice President of Commercial Development.</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Mr. Session has also served as an advisor to multiple biotechnology companies, including Alcyone Lifesciences, Inc. from January 2019 to December 2019, 4D Molecular Therapeutics, Inc. from August 2018 to December 2019 and Celenex from June 2018 to September 2018. Mr. Session earned a B.S.B.A. in finance from the University of North Carolina at Charlotte, an M.S.F. in finance from Texas A&amp;M University-Commerce and an M.B.A. from Texas A&amp;M University-Commerce. Our board of directors believes that Mr. Session is qualified to serve as a director based on his role as our Chief Executive Officer and his extensive management experience in the biotechnology industry.</w:t>
      </w:r>
    </w:p>
    <w:p>
      <w:pPr>
        <w:spacing w:after="0" w:line="168" w:lineRule="exact"/>
        <w:rPr>
          <w:sz w:val="20"/>
          <w:szCs w:val="20"/>
          <w:color w:val="auto"/>
        </w:rPr>
      </w:pPr>
    </w:p>
    <w:p>
      <w:pPr>
        <w:ind w:right="120" w:firstLine="562"/>
        <w:spacing w:after="0" w:line="242" w:lineRule="auto"/>
        <w:rPr>
          <w:sz w:val="20"/>
          <w:szCs w:val="20"/>
          <w:color w:val="auto"/>
        </w:rPr>
      </w:pPr>
      <w:r>
        <w:rPr>
          <w:rFonts w:ascii="Arial" w:cs="Arial" w:eastAsia="Arial" w:hAnsi="Arial"/>
          <w:sz w:val="18"/>
          <w:szCs w:val="18"/>
          <w:b w:val="1"/>
          <w:bCs w:val="1"/>
          <w:i w:val="1"/>
          <w:iCs w:val="1"/>
          <w:color w:val="auto"/>
        </w:rPr>
        <w:t xml:space="preserve">Kamran Alam </w:t>
      </w:r>
      <w:r>
        <w:rPr>
          <w:rFonts w:ascii="Arial" w:cs="Arial" w:eastAsia="Arial" w:hAnsi="Arial"/>
          <w:sz w:val="18"/>
          <w:szCs w:val="18"/>
          <w:color w:val="auto"/>
        </w:rPr>
        <w:t>has served as our Chief Financial Officer since August 2020. Mr. Alam previously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Principal Financial Officer of Rocket Pharmaceuticals, Inc., a biopharmaceutical company, from October 2019 to July 2020 and as Vice President, Finance at AveXis, Inc., a gene therapy company, from April 2016 to October 2019. From 2013 to April 2016, he held positions of increasing responsibility at Aptinyx Inc., a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b w:val="1"/>
          <w:bCs w:val="1"/>
          <w:i w:val="1"/>
          <w:iCs w:val="1"/>
          <w:color w:val="auto"/>
        </w:rPr>
        <w:t>Suyash Prasad, M.B.B.S., F.F.P.M.</w:t>
      </w:r>
      <w:r>
        <w:rPr>
          <w:rFonts w:ascii="Arial" w:cs="Arial" w:eastAsia="Arial" w:hAnsi="Arial"/>
          <w:sz w:val="18"/>
          <w:szCs w:val="18"/>
          <w:color w:val="auto"/>
        </w:rPr>
        <w:t>, has served as our Chief Medical Officer and Head of Research and Development since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Dr. Prasad has served as principal of Suyash Prasad Consulting LLC, a consulting firm, since October 2019. He previously served as Senior Vice President and Chief Medical Officer of Audentes Therapeutics, Inc., a gene therapy company, from 2014 to June 2019.</w:t>
      </w:r>
    </w:p>
    <w:p>
      <w:pPr>
        <w:spacing w:after="0" w:line="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Dr. Prasad earned a medical degree from the University of Newcastle-upon-Tyne, United Kingdom, a master’s degree (with distinction) in translational science from Kings College, London, United Kingdom, and a diploma in pharmaceutical medicine from the Faculty of Pharmaceutical Medicine of the Royal Colleges of Physicians of the United Kingdom. Dr. Prasad is a United Kingdom board-certified physician and is a member of the Royal College of Physicians and the Royal College of Pediatrics and Child Health and is a Fellow of the Faculty of Pharmaceutical Medicine of the Royal College of Physicians of the United Kingdom.</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Sean P. Nolan </w:t>
      </w:r>
      <w:r>
        <w:rPr>
          <w:rFonts w:ascii="Arial" w:cs="Arial" w:eastAsia="Arial" w:hAnsi="Arial"/>
          <w:sz w:val="18"/>
          <w:szCs w:val="18"/>
          <w:color w:val="auto"/>
        </w:rPr>
        <w:t>has served as the Chairman of our board of directors since March 2020. He has served as the President of Nolan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fund, since October 2019. Mr. Nolan most recently served as President, Chief Executive Officer and a member of the board of directors of AveXis, Inc., a gene therapy company, from June 2015 to May 2018 until its acquisition by Novartis International AG. Mr. Nolan has served on the board of directors of Ventas, Inc., a healthcare real estate investment trust company, since July 2019 and previously served on the board of directors of Neoleukin Therapeutics, Inc., a biopharmaceutical company, from February 2015 to June 2020. Mr. Nolan earned a B.S. in biology from John Carroll University. Our board of directors believes that Mr. Nolan is qualified to serve as a director based upon his more than 29 years of broad leadership and management experience in the biopharmaceutical industry.</w:t>
      </w:r>
    </w:p>
    <w:p>
      <w:pPr>
        <w:spacing w:after="0" w:line="185"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b w:val="1"/>
          <w:bCs w:val="1"/>
          <w:i w:val="1"/>
          <w:iCs w:val="1"/>
          <w:color w:val="auto"/>
        </w:rPr>
        <w:t xml:space="preserve">Phillip B. Donenberg </w:t>
      </w:r>
      <w:r>
        <w:rPr>
          <w:rFonts w:ascii="Arial" w:cs="Arial" w:eastAsia="Arial" w:hAnsi="Arial"/>
          <w:sz w:val="18"/>
          <w:szCs w:val="18"/>
          <w:color w:val="auto"/>
        </w:rPr>
        <w:t>has served as a member of our board of directors since August 2020. Mr. Donenberg has served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as chairman of the audit committee of AVROBIO, Inc., a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gene therapy company, from October 2017 to June 2018 and as Vice President, Corporate Controller from September 2016 to October 2017. Mr. Donenberg served as Chief Financial Officer of RestorGenex Corporation from 2014 until its merger with Diffusion Pharmaceuticals LLC, a pharmaceutical company, in January 2016, and served as the merged company’s consultant Chief Financial Officer until September 2016. Mr. Donenberg earned a B.S. in accountancy from the University of Illinois Champaign-Urbana College of Business and is a Certified Public Accountant. Our board of directors believes that Mr. Donenberg is qualified to serve as a director based on his financial expertise and his experience as a director and executive of companies in the biotechnology and pharmaceutical industries.</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Paul B. Manning </w:t>
      </w:r>
      <w:r>
        <w:rPr>
          <w:rFonts w:ascii="Arial" w:cs="Arial" w:eastAsia="Arial" w:hAnsi="Arial"/>
          <w:sz w:val="18"/>
          <w:szCs w:val="18"/>
          <w:color w:val="auto"/>
        </w:rPr>
        <w:t>has served as a member of our board of directors since March 2020. Mr. Manning currently serves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PBM Capital Group, LLC, a private equity investment firm in the business of investing in healthcare and life-science related companies, which he founded in 2010. Mr. Manning currently serves as Chairman of the board of directors of Verrica Pharmaceuticals Inc., a biopharmaceutical company. Additionally, he previously served on the boards of directors of Dova Pharmaceuticals, Inc., a biopharmaceutical company, from September 2016 to November 2019 and AveXis, Inc., a gene therapy company, from April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b w:val="1"/>
          <w:bCs w:val="1"/>
          <w:i w:val="1"/>
          <w:iCs w:val="1"/>
          <w:color w:val="auto"/>
        </w:rPr>
        <w:t>Sukumar Nagendran, M.D.</w:t>
      </w:r>
      <w:r>
        <w:rPr>
          <w:rFonts w:ascii="Arial" w:cs="Arial" w:eastAsia="Arial" w:hAnsi="Arial"/>
          <w:sz w:val="18"/>
          <w:szCs w:val="18"/>
          <w:color w:val="auto"/>
        </w:rPr>
        <w:t>, has served as a member of our board of directors since July 2020. Dr. Nagendran has served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Solid Biosciences Inc., a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gene therapy company, from September 2015 to May 2018, and previously served as Vice President, Head of Medical Affairs of U.S. and International Business for Quest Diagnostics Inc., a clinical laboratory, from March 2013 to September 2015.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Composition</w:t>
      </w:r>
    </w:p>
    <w:p>
      <w:pPr>
        <w:spacing w:after="0" w:line="23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five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In accordance with our amended and restated certificate of incorporation that will be in effect upon the closing of this offering, our board of directors will be divided into three classes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Class I, which will consist of</w:t>
            </w:r>
          </w:p>
        </w:tc>
        <w:tc>
          <w:tcPr>
            <w:tcW w:w="800" w:type="dxa"/>
            <w:vAlign w:val="bottom"/>
          </w:tcPr>
          <w:p>
            <w:pPr>
              <w:ind w:left="60"/>
              <w:spacing w:after="0"/>
              <w:rPr>
                <w:sz w:val="20"/>
                <w:szCs w:val="20"/>
                <w:color w:val="auto"/>
              </w:rPr>
            </w:pPr>
            <w:r>
              <w:rPr>
                <w:rFonts w:ascii="Arial" w:cs="Arial" w:eastAsia="Arial" w:hAnsi="Arial"/>
                <w:sz w:val="18"/>
                <w:szCs w:val="18"/>
                <w:color w:val="auto"/>
              </w:rPr>
              <w:t>and</w:t>
            </w:r>
          </w:p>
        </w:tc>
        <w:tc>
          <w:tcPr>
            <w:tcW w:w="6680" w:type="dxa"/>
            <w:vAlign w:val="bottom"/>
          </w:tcPr>
          <w:p>
            <w:pPr>
              <w:ind w:left="360"/>
              <w:spacing w:after="0"/>
              <w:rPr>
                <w:sz w:val="20"/>
                <w:szCs w:val="20"/>
                <w:color w:val="auto"/>
              </w:rPr>
            </w:pPr>
            <w:r>
              <w:rPr>
                <w:rFonts w:ascii="Arial" w:cs="Arial" w:eastAsia="Arial" w:hAnsi="Arial"/>
                <w:sz w:val="18"/>
                <w:szCs w:val="18"/>
                <w:color w:val="auto"/>
              </w:rPr>
              <w:t>, and their terms will expire at our first annual meeting of stockholders to be</w:t>
            </w:r>
          </w:p>
        </w:tc>
      </w:tr>
      <w:tr>
        <w:trPr>
          <w:trHeight w:val="217"/>
        </w:trPr>
        <w:tc>
          <w:tcPr>
            <w:tcW w:w="14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held after the closing of this offering;</w:t>
            </w:r>
          </w:p>
        </w:tc>
        <w:tc>
          <w:tcPr>
            <w:tcW w:w="80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Class II, which will consist of</w:t>
            </w:r>
          </w:p>
        </w:tc>
        <w:tc>
          <w:tcPr>
            <w:tcW w:w="800" w:type="dxa"/>
            <w:vAlign w:val="bottom"/>
          </w:tcPr>
          <w:p>
            <w:pPr>
              <w:ind w:left="100"/>
              <w:spacing w:after="0"/>
              <w:rPr>
                <w:sz w:val="20"/>
                <w:szCs w:val="20"/>
                <w:color w:val="auto"/>
              </w:rPr>
            </w:pPr>
            <w:r>
              <w:rPr>
                <w:rFonts w:ascii="Arial" w:cs="Arial" w:eastAsia="Arial" w:hAnsi="Arial"/>
                <w:sz w:val="18"/>
                <w:szCs w:val="18"/>
                <w:color w:val="auto"/>
              </w:rPr>
              <w:t>and</w:t>
            </w:r>
          </w:p>
        </w:tc>
        <w:tc>
          <w:tcPr>
            <w:tcW w:w="6680" w:type="dxa"/>
            <w:vAlign w:val="bottom"/>
          </w:tcPr>
          <w:p>
            <w:pPr>
              <w:ind w:left="400"/>
              <w:spacing w:after="0"/>
              <w:rPr>
                <w:sz w:val="20"/>
                <w:szCs w:val="20"/>
                <w:color w:val="auto"/>
              </w:rPr>
            </w:pPr>
            <w:r>
              <w:rPr>
                <w:rFonts w:ascii="Arial" w:cs="Arial" w:eastAsia="Arial" w:hAnsi="Arial"/>
                <w:sz w:val="18"/>
                <w:szCs w:val="18"/>
                <w:color w:val="auto"/>
                <w:w w:val="99"/>
              </w:rPr>
              <w:t>, and their terms will expire at our second annual meeting of stockholders to be</w:t>
            </w:r>
          </w:p>
        </w:tc>
      </w:tr>
      <w:tr>
        <w:trPr>
          <w:trHeight w:val="217"/>
        </w:trPr>
        <w:tc>
          <w:tcPr>
            <w:tcW w:w="140" w:type="dxa"/>
            <w:vAlign w:val="bottom"/>
          </w:tcPr>
          <w:p>
            <w:pPr>
              <w:spacing w:after="0"/>
              <w:rPr>
                <w:sz w:val="18"/>
                <w:szCs w:val="18"/>
                <w:color w:val="auto"/>
              </w:rPr>
            </w:pPr>
          </w:p>
        </w:tc>
        <w:tc>
          <w:tcPr>
            <w:tcW w:w="3840" w:type="dxa"/>
            <w:vAlign w:val="bottom"/>
            <w:gridSpan w:val="2"/>
          </w:tcPr>
          <w:p>
            <w:pPr>
              <w:ind w:left="80"/>
              <w:spacing w:after="0"/>
              <w:rPr>
                <w:sz w:val="20"/>
                <w:szCs w:val="20"/>
                <w:color w:val="auto"/>
              </w:rPr>
            </w:pPr>
            <w:r>
              <w:rPr>
                <w:rFonts w:ascii="Arial" w:cs="Arial" w:eastAsia="Arial" w:hAnsi="Arial"/>
                <w:sz w:val="18"/>
                <w:szCs w:val="18"/>
                <w:color w:val="auto"/>
              </w:rPr>
              <w:t>held after the closing of this offering; and</w:t>
            </w:r>
          </w:p>
        </w:tc>
        <w:tc>
          <w:tcPr>
            <w:tcW w:w="6680" w:type="dxa"/>
            <w:vAlign w:val="bottom"/>
          </w:tcPr>
          <w:p>
            <w:pPr>
              <w:spacing w:after="0"/>
              <w:rPr>
                <w:sz w:val="18"/>
                <w:szCs w:val="18"/>
                <w:color w:val="auto"/>
              </w:rPr>
            </w:pP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tcPr>
          <w:p>
            <w:pPr>
              <w:ind w:left="80"/>
              <w:spacing w:after="0"/>
              <w:rPr>
                <w:sz w:val="20"/>
                <w:szCs w:val="20"/>
                <w:color w:val="auto"/>
              </w:rPr>
            </w:pPr>
            <w:r>
              <w:rPr>
                <w:rFonts w:ascii="Arial" w:cs="Arial" w:eastAsia="Arial" w:hAnsi="Arial"/>
                <w:sz w:val="18"/>
                <w:szCs w:val="18"/>
                <w:color w:val="auto"/>
              </w:rPr>
              <w:t>Class III, which will consist of</w:t>
            </w:r>
          </w:p>
        </w:tc>
        <w:tc>
          <w:tcPr>
            <w:tcW w:w="800" w:type="dxa"/>
            <w:vAlign w:val="bottom"/>
          </w:tcPr>
          <w:p>
            <w:pPr>
              <w:ind w:left="160"/>
              <w:spacing w:after="0"/>
              <w:rPr>
                <w:sz w:val="20"/>
                <w:szCs w:val="20"/>
                <w:color w:val="auto"/>
              </w:rPr>
            </w:pPr>
            <w:r>
              <w:rPr>
                <w:rFonts w:ascii="Arial" w:cs="Arial" w:eastAsia="Arial" w:hAnsi="Arial"/>
                <w:sz w:val="18"/>
                <w:szCs w:val="18"/>
                <w:color w:val="auto"/>
              </w:rPr>
              <w:t>and</w:t>
            </w:r>
          </w:p>
        </w:tc>
        <w:tc>
          <w:tcPr>
            <w:tcW w:w="6680" w:type="dxa"/>
            <w:vAlign w:val="bottom"/>
          </w:tcPr>
          <w:p>
            <w:pPr>
              <w:ind w:left="460"/>
              <w:spacing w:after="0"/>
              <w:rPr>
                <w:sz w:val="20"/>
                <w:szCs w:val="20"/>
                <w:color w:val="auto"/>
              </w:rPr>
            </w:pPr>
            <w:r>
              <w:rPr>
                <w:rFonts w:ascii="Arial" w:cs="Arial" w:eastAsia="Arial" w:hAnsi="Arial"/>
                <w:sz w:val="18"/>
                <w:szCs w:val="18"/>
                <w:color w:val="auto"/>
              </w:rPr>
              <w:t>, and their terms will expire at our third annual meeting of stockholders to be</w:t>
            </w:r>
          </w:p>
        </w:tc>
      </w:tr>
      <w:tr>
        <w:trPr>
          <w:trHeight w:val="217"/>
        </w:trPr>
        <w:tc>
          <w:tcPr>
            <w:tcW w:w="14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held after the closing of this offering.</w:t>
            </w:r>
          </w:p>
        </w:tc>
        <w:tc>
          <w:tcPr>
            <w:tcW w:w="800" w:type="dxa"/>
            <w:vAlign w:val="bottom"/>
          </w:tcPr>
          <w:p>
            <w:pPr>
              <w:spacing w:after="0"/>
              <w:rPr>
                <w:sz w:val="18"/>
                <w:szCs w:val="18"/>
                <w:color w:val="auto"/>
              </w:rPr>
            </w:pPr>
          </w:p>
        </w:tc>
        <w:tc>
          <w:tcPr>
            <w:tcW w:w="6680" w:type="dxa"/>
            <w:vAlign w:val="bottom"/>
          </w:tcPr>
          <w:p>
            <w:pPr>
              <w:spacing w:after="0"/>
              <w:rPr>
                <w:sz w:val="18"/>
                <w:szCs w:val="18"/>
                <w:color w:val="auto"/>
              </w:rPr>
            </w:pPr>
          </w:p>
        </w:tc>
      </w:tr>
    </w:tbl>
    <w:p>
      <w:pPr>
        <w:spacing w:after="0" w:line="20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The division of our board of directors into three classes with staggered three-year terms may delay or prevent a change of our management or a change of control.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Applicable Nasdaq rules, or the Nasdaq Listing Rules, require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20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board of directors has determined that all of our directors other than , representing of our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independence, including the beneficial ownership of our capital stock by each director and the transactions described in the section titled “Certain Relationships and Related Party Transactions.”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34"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jc w:val="both"/>
        <w:ind w:right="280" w:firstLine="562"/>
        <w:spacing w:after="0"/>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right="160" w:firstLine="562"/>
        <w:spacing w:after="0" w:line="236" w:lineRule="auto"/>
        <w:rPr>
          <w:sz w:val="20"/>
          <w:szCs w:val="20"/>
          <w:color w:val="auto"/>
        </w:rPr>
      </w:pPr>
      <w:r>
        <w:rPr>
          <w:rFonts w:ascii="Arial" w:cs="Arial" w:eastAsia="Arial" w:hAnsi="Arial"/>
          <w:sz w:val="18"/>
          <w:szCs w:val="18"/>
          <w:color w:val="auto"/>
        </w:rPr>
        <w:t>Upon the completion of this offering, our audit committee will consist of Messrs. Donenberg and Nolan and Dr. Nagendran, with Mr. Donenberg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Mr. Donenberg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320" w:top="459" w:right="3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02" w:lineRule="exact"/>
        <w:rPr>
          <w:rFonts w:ascii="Arial" w:cs="Arial" w:eastAsia="Arial" w:hAnsi="Arial"/>
          <w:sz w:val="18"/>
          <w:szCs w:val="18"/>
          <w:color w:val="auto"/>
        </w:rPr>
      </w:pPr>
    </w:p>
    <w:p>
      <w:pPr>
        <w:ind w:left="780" w:right="920" w:hanging="219"/>
        <w:spacing w:after="0" w:line="24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7" w:lineRule="exact"/>
        <w:rPr>
          <w:rFonts w:ascii="Arial" w:cs="Arial" w:eastAsia="Arial" w:hAnsi="Arial"/>
          <w:sz w:val="18"/>
          <w:szCs w:val="18"/>
          <w:color w:val="auto"/>
        </w:rPr>
      </w:pPr>
    </w:p>
    <w:p>
      <w:pPr>
        <w:jc w:val="both"/>
        <w:ind w:left="780" w:right="200" w:hanging="219"/>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08"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97"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We believe that the composition and functioning of our audit committee will comply with all applicable SEC and Nasdaq rules and regulations. We intend to comply with future requirements to the extent they become applicable to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Upon the completion of this offering, our compensation committee will consist of Messrs. Donenberg and Nolan and Dr. Nagendran, with Dr. Nagendran serving as chair of the compensation committee. Each of these individuals is a non-employee director, as defined in Rule 16b-3 promulgated under the Exchange Act and is an “outside director,” as defined pursuant to Section 162(m) of the Internal Revenue Code of 1986, as amended, or the Code.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110" w:lineRule="exact"/>
        <w:rPr>
          <w:sz w:val="20"/>
          <w:szCs w:val="20"/>
          <w:color w:val="auto"/>
        </w:rPr>
      </w:pPr>
    </w:p>
    <w:p>
      <w:pPr>
        <w:ind w:left="780" w:right="260" w:hanging="219"/>
        <w:spacing w:after="0" w:line="24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102"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102" w:lineRule="exact"/>
        <w:rPr>
          <w:rFonts w:ascii="Arial" w:cs="Arial" w:eastAsia="Arial" w:hAnsi="Arial"/>
          <w:sz w:val="18"/>
          <w:szCs w:val="18"/>
          <w:color w:val="auto"/>
        </w:rPr>
      </w:pPr>
    </w:p>
    <w:p>
      <w:pPr>
        <w:ind w:left="780" w:right="260" w:hanging="219"/>
        <w:spacing w:after="0" w:line="24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102" w:lineRule="exact"/>
        <w:rPr>
          <w:rFonts w:ascii="Arial" w:cs="Arial" w:eastAsia="Arial" w:hAnsi="Arial"/>
          <w:sz w:val="18"/>
          <w:szCs w:val="18"/>
          <w:color w:val="auto"/>
        </w:rPr>
      </w:pPr>
    </w:p>
    <w:p>
      <w:pPr>
        <w:jc w:val="both"/>
        <w:ind w:left="780" w:right="10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108" w:lineRule="exact"/>
        <w:rPr>
          <w:rFonts w:ascii="Arial" w:cs="Arial" w:eastAsia="Arial" w:hAnsi="Arial"/>
          <w:sz w:val="18"/>
          <w:szCs w:val="18"/>
          <w:color w:val="auto"/>
        </w:rPr>
      </w:pPr>
    </w:p>
    <w:p>
      <w:pPr>
        <w:ind w:left="780" w:right="1060" w:hanging="219"/>
        <w:spacing w:after="0" w:line="274" w:lineRule="auto"/>
        <w:tabs>
          <w:tab w:leader="none" w:pos="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right="100" w:hanging="219"/>
        <w:spacing w:after="0" w:line="246"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108" w:lineRule="exact"/>
        <w:rPr>
          <w:rFonts w:ascii="Arial" w:cs="Arial" w:eastAsia="Arial" w:hAnsi="Arial"/>
          <w:sz w:val="18"/>
          <w:szCs w:val="18"/>
          <w:color w:val="auto"/>
        </w:rPr>
      </w:pPr>
    </w:p>
    <w:p>
      <w:pPr>
        <w:ind w:left="780" w:right="820" w:hanging="219"/>
        <w:spacing w:after="0" w:line="246"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17" w:lineRule="exact"/>
        <w:rPr>
          <w:rFonts w:ascii="Arial" w:cs="Arial" w:eastAsia="Arial" w:hAnsi="Arial"/>
          <w:sz w:val="18"/>
          <w:szCs w:val="18"/>
          <w:color w:val="auto"/>
        </w:rPr>
      </w:pPr>
    </w:p>
    <w:p>
      <w:pPr>
        <w:ind w:left="780" w:right="460" w:hanging="219"/>
        <w:spacing w:after="0" w:line="246"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102" w:lineRule="exact"/>
        <w:rPr>
          <w:rFonts w:ascii="Arial" w:cs="Arial" w:eastAsia="Arial" w:hAnsi="Arial"/>
          <w:sz w:val="18"/>
          <w:szCs w:val="18"/>
          <w:color w:val="auto"/>
        </w:rPr>
      </w:pPr>
    </w:p>
    <w:p>
      <w:pPr>
        <w:ind w:left="780" w:right="520" w:hanging="219"/>
        <w:spacing w:after="0" w:line="274" w:lineRule="auto"/>
        <w:tabs>
          <w:tab w:leader="none" w:pos="7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80" w:lineRule="exact"/>
        <w:rPr>
          <w:rFonts w:ascii="Arial" w:cs="Arial" w:eastAsia="Arial" w:hAnsi="Arial"/>
          <w:sz w:val="17"/>
          <w:szCs w:val="17"/>
          <w:color w:val="auto"/>
        </w:rPr>
      </w:pPr>
    </w:p>
    <w:p>
      <w:pPr>
        <w:ind w:left="780" w:right="44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17" w:lineRule="exact"/>
        <w:rPr>
          <w:rFonts w:ascii="Arial" w:cs="Arial" w:eastAsia="Arial" w:hAnsi="Arial"/>
          <w:sz w:val="18"/>
          <w:szCs w:val="18"/>
          <w:color w:val="auto"/>
        </w:rPr>
      </w:pPr>
    </w:p>
    <w:p>
      <w:pPr>
        <w:ind w:left="780" w:right="320" w:hanging="219"/>
        <w:spacing w:after="0" w:line="246"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compensation committee and the compensation committee charter.</w:t>
      </w:r>
    </w:p>
    <w:p>
      <w:pPr>
        <w:spacing w:after="0" w:line="197"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Messrs. Manning, Nolan and Session, with Mr. Manning serving as chair of the nominating and corporate governance committee. We expect that within one year of our listing on Nasdaq, Mr. Session will resign from the nominating and corporate governance committee and will be replaced by an independent director; at that point, all members of the nominating and corporate governance committee will be independent. The functions of this committee include, among other things:</w:t>
      </w:r>
    </w:p>
    <w:p>
      <w:pPr>
        <w:spacing w:after="0" w:line="108" w:lineRule="exact"/>
        <w:rPr>
          <w:sz w:val="20"/>
          <w:szCs w:val="20"/>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17"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17"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17" w:lineRule="exact"/>
        <w:rPr>
          <w:rFonts w:ascii="Arial" w:cs="Arial" w:eastAsia="Arial" w:hAnsi="Arial"/>
          <w:sz w:val="18"/>
          <w:szCs w:val="18"/>
          <w:color w:val="auto"/>
        </w:rPr>
      </w:pPr>
    </w:p>
    <w:p>
      <w:pPr>
        <w:ind w:left="780" w:right="440" w:hanging="219"/>
        <w:spacing w:after="0" w:line="246"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97"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 xml:space="preserve">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We intend to post on our website all disclosures that are required by law or the listing standards of the Nasdaq Stock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During the period from September 20, 2019 (the date of our inception) through December 31, 2019, our board of directors did not consist of any non-employee directors. Mr. Session, our President and Chief Executive Officer, was the sole member of our board of directors during this period but did not receive any additional compensation for his service as a director. Accordingly, the director compensation table required by SEC rules has been omitted.</w:t>
      </w:r>
    </w:p>
    <w:p>
      <w:pPr>
        <w:spacing w:after="0" w:line="205"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Our only named executive officer for the period from September 20, 2019 (the date of our inception) through December 31, 2019 was RA Session II, our President and Chief Executive Officer. Due to our limited operating history as described in the section titled “Management’s Discussion and Analysis of Financial Condition and Results of Operations,” we did not have an executive compensation program, nor did we pay any employee compensation or issue any stock-based compensation to any employee, director or consultant, during the period from September 20, 2019 (the date of our inception) through December 31, 2019. We refer to Mr. Session elsewhere in this prospectus as our “named executive officer” for the period from September 20, 2019 (the date of our inception) through December 31, 2019.</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We did not pay any employee compensation or issue any stock-based compensation to Mr. Session during the period from September 20, 2019 (the date of our inception) through December 31, 2019. Accordingly, the Summary Compensation Table required by SEC rules for the period from September 20, 2019 (the date of our inception) through December 31, 2019 has been omitted.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34" w:lineRule="exact"/>
        <w:rPr>
          <w:sz w:val="20"/>
          <w:szCs w:val="20"/>
          <w:color w:val="auto"/>
        </w:rPr>
      </w:pPr>
    </w:p>
    <w:p>
      <w:pPr>
        <w:ind w:right="420" w:firstLine="562"/>
        <w:spacing w:after="0"/>
        <w:rPr>
          <w:sz w:val="20"/>
          <w:szCs w:val="20"/>
          <w:color w:val="auto"/>
        </w:rPr>
      </w:pPr>
      <w:r>
        <w:rPr>
          <w:rFonts w:ascii="Arial" w:cs="Arial" w:eastAsia="Arial" w:hAnsi="Arial"/>
          <w:sz w:val="18"/>
          <w:szCs w:val="18"/>
          <w:color w:val="auto"/>
        </w:rPr>
        <w:t>As of December 31, 2019, Mr. Session did not hold any outstanding equity awards, nor did we grant, cancel or modify any equity awards during the period from September 20, 2019 (the date of our inception) through December 31, 2019. Accordingly, the table of outstanding equity awards required by SEC rules has been omitted.</w:t>
      </w:r>
    </w:p>
    <w:p>
      <w:pPr>
        <w:spacing w:after="0" w:line="2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Employment Agreement with Mr. Session and Potential Payments and Benefits Upon Termination or Change in Control</w:t>
      </w:r>
    </w:p>
    <w:p>
      <w:pPr>
        <w:spacing w:after="0" w:line="23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entered into an executive employment agreement with Mr. Session in April 2020. Mr. Session’s employment with us is at will and may be terminated at any time by us or by him. The executive employment agreement provides for an initial annual base salary of $ 450,000, which is subject to adjustment at the discretion of our board of directors, and an annual bonus equal to 50% of Mr. Session’s annual base salary based upon the achievement of individual and company performance goals as determined by our board of directors. The executive employment agreement further provides for the grant of restricted stock equal to 3% of our common stock outstanding at the time of grant, and such restricted shares were granted on July 1, 2020.</w:t>
      </w:r>
    </w:p>
    <w:p>
      <w:pPr>
        <w:spacing w:after="0" w:line="205"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executive employment agreement further provides that if we undergo a “change in control” (as defined in the executive employment agreement) or if Mr. Session dies or becomes permanently disabled (as determined reasonably by his physician), Mr. Session’s then-outstanding equity awards will vest in full.</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Incentive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26" w:lineRule="exact"/>
        <w:rPr>
          <w:sz w:val="20"/>
          <w:szCs w:val="20"/>
          <w:color w:val="auto"/>
        </w:rPr>
      </w:pPr>
    </w:p>
    <w:p>
      <w:pPr>
        <w:ind w:right="580" w:firstLine="562"/>
        <w:spacing w:after="0" w:line="246" w:lineRule="auto"/>
        <w:rPr>
          <w:sz w:val="20"/>
          <w:szCs w:val="20"/>
          <w:color w:val="auto"/>
        </w:rPr>
      </w:pPr>
      <w:r>
        <w:rPr>
          <w:rFonts w:ascii="Arial" w:cs="Arial" w:eastAsia="Arial" w:hAnsi="Arial"/>
          <w:sz w:val="18"/>
          <w:szCs w:val="18"/>
          <w:color w:val="auto"/>
        </w:rPr>
        <w:t>We expect that, prior to the effectiveness of the registration statement for this offering, our board of directors will adopt and our stockholders will approve our 2020 Stock Incentive Plan, or the New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320" w:top="459" w:right="3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Plan. The New Plan will become effective immediately upon the execution of the underwriting agreement for this offering, at which point no further grants will be made under our Existing Plan, as described in “—Equity Incentive Plans—2020 Equity Incentive Plan.” No awards have been granted and no shares of our common stock have been issued under our New Plan. Our New Plan will provide for the grant of stock options qualifying as incentive stock options, or ISOs, within the meaning of Section 422 of the Internal Revenue Code of 1986, as amended, or the Code, to our employees and for the grant of nonstatutory stock options, or NSOs, restricted stock awards, restricted stock unit awards, stock appreciation rights, performance stock awards and other forms of stock compensation to our employees, consultants and directors. Our New Plan will also provide for the grant of performance cash awards to our employees, consultants and directors.</w:t>
      </w:r>
    </w:p>
    <w:p>
      <w:pPr>
        <w:spacing w:after="0" w:line="185" w:lineRule="exact"/>
        <w:rPr>
          <w:sz w:val="20"/>
          <w:szCs w:val="20"/>
          <w:color w:val="auto"/>
        </w:rPr>
      </w:pPr>
    </w:p>
    <w:p>
      <w:pPr>
        <w:ind w:left="560"/>
        <w:spacing w:after="0"/>
        <w:tabs>
          <w:tab w:leader="none" w:pos="2280" w:val="left"/>
        </w:tabs>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number of shares of our common stock initially reserved for issuance under our New Plan will be</w:t>
      </w:r>
    </w:p>
    <w:p>
      <w:pPr>
        <w:spacing w:after="0" w:line="1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shares of our common stock, which is the sum of (i) new shares of our common stock, (ii) the number of shares remaining available for issuance under our Existing Plan when the New Plan becomes effective and (iii) the number of shares of our common stock subject to outstanding awards under our Existing Plan when the New Plan becomes effective that thereafter expire or are forfeited, canceled, withheld to satisfy tax withholding or to purchase or exercise an award, repurchased by us or are otherwise terminated. The number of shares of our common stock reserved for issuance under our New Plan will automatically increase on January 1 of each year, for a period of ten years, from January 1, 2021 continuing through January 1, 2030, by % of the total number of shares of our common stock outstanding on December 31 of the preceding calendar year, or a lesser number of shares as may be determined by our board of directors. The</w:t>
      </w:r>
    </w:p>
    <w:p>
      <w:pPr>
        <w:spacing w:after="0" w:line="5" w:lineRule="exact"/>
        <w:rPr>
          <w:sz w:val="20"/>
          <w:szCs w:val="20"/>
          <w:color w:val="auto"/>
        </w:rPr>
      </w:pPr>
    </w:p>
    <w:p>
      <w:pPr>
        <w:spacing w:after="0"/>
        <w:tabs>
          <w:tab w:leader="none" w:pos="9000" w:val="left"/>
        </w:tabs>
        <w:rPr>
          <w:sz w:val="20"/>
          <w:szCs w:val="20"/>
          <w:color w:val="auto"/>
        </w:rPr>
      </w:pPr>
      <w:r>
        <w:rPr>
          <w:rFonts w:ascii="Arial" w:cs="Arial" w:eastAsia="Arial" w:hAnsi="Arial"/>
          <w:sz w:val="18"/>
          <w:szCs w:val="18"/>
          <w:color w:val="auto"/>
        </w:rPr>
        <w:t>maximum number of shares that may be issued pursuant to the exercise of ISOs under the New Plan is</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Shares issued under our New Plan may be authorized but unissued or reacquired shares of our common stock. Shares subject to stock awards granted under our New Plan that expire or terminate without being exercised in full, or that are paid out in cash rather than in shares, will not reduce the number of shares available for issuance under our New Plan. Additionally, shares issued pursuant to stock awards under our New Plan that we repurchase or that are forfeited, as well as shares reacquired by us as consideration for the exercise or purchase price of a stock award or to satisfy tax withholding obligations related to a stock award, will become available for future grant under our New Plan.</w:t>
      </w:r>
    </w:p>
    <w:p>
      <w:pPr>
        <w:spacing w:after="0" w:line="18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our New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has delegated its authority to administer our New Plan to our compensation committee under the terms of the compensation committee’s charter. Our board of directors may also delegate to one or more of our officers the authority to (i) designate employees other than officers to receive specified stock awards and (ii) determine the number of shares of our common stock to be subject to such stock awards. Subject to the terms of our New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New Plan.</w:t>
      </w:r>
    </w:p>
    <w:p>
      <w:pPr>
        <w:spacing w:after="0" w:line="209"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administrator has the power to modify outstanding awards under our New Plan. Subject to the terms of our New Plan, the administrator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adversely affected participant.</w:t>
      </w:r>
    </w:p>
    <w:p>
      <w:pPr>
        <w:spacing w:after="0" w:line="187" w:lineRule="exact"/>
        <w:rPr>
          <w:sz w:val="20"/>
          <w:szCs w:val="20"/>
          <w:color w:val="auto"/>
        </w:rPr>
      </w:pPr>
    </w:p>
    <w:p>
      <w:pPr>
        <w:ind w:right="180" w:firstLine="562"/>
        <w:spacing w:after="0" w:line="267" w:lineRule="auto"/>
        <w:rPr>
          <w:sz w:val="20"/>
          <w:szCs w:val="20"/>
          <w:color w:val="auto"/>
        </w:rPr>
      </w:pPr>
      <w:r>
        <w:rPr>
          <w:rFonts w:ascii="Arial" w:cs="Arial" w:eastAsia="Arial" w:hAnsi="Arial"/>
          <w:sz w:val="18"/>
          <w:szCs w:val="18"/>
          <w:i w:val="1"/>
          <w:iCs w:val="1"/>
          <w:color w:val="auto"/>
        </w:rPr>
        <w:t>Limitation on Grants to Non-Employee Directors</w:t>
      </w:r>
      <w:r>
        <w:rPr>
          <w:rFonts w:ascii="Arial" w:cs="Arial" w:eastAsia="Arial" w:hAnsi="Arial"/>
          <w:sz w:val="18"/>
          <w:szCs w:val="18"/>
          <w:color w:val="auto"/>
        </w:rPr>
        <w:t>. The maximum number of shares of our common stock subject to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New Plan or otherwise during a single calendar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year to any of our non-employee directors, taken together with any cash fees paid by us to such non-employee director during the calendar</w:t>
      </w:r>
    </w:p>
    <w:p>
      <w:pPr>
        <w:ind w:right="120"/>
        <w:spacing w:after="0" w:line="234" w:lineRule="auto"/>
        <w:rPr>
          <w:sz w:val="20"/>
          <w:szCs w:val="20"/>
          <w:color w:val="auto"/>
        </w:rPr>
      </w:pPr>
      <w:r>
        <w:rPr>
          <w:rFonts w:ascii="Arial" w:cs="Arial" w:eastAsia="Arial" w:hAnsi="Arial"/>
          <w:sz w:val="18"/>
          <w:szCs w:val="18"/>
          <w:color w:val="auto"/>
        </w:rPr>
        <w:t>year for serving on our board, will not exceed $ in total value (the value of any such stock awards to be based on their grant date fair market value for financial reporting purposes), or, with respect to the calendar year in which a non-employee director is first appointed or</w:t>
      </w:r>
    </w:p>
    <w:p>
      <w:pPr>
        <w:spacing w:after="0" w:line="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elected to our board, $</w:t>
      </w:r>
      <w:r>
        <w:rPr>
          <w:sz w:val="20"/>
          <w:szCs w:val="20"/>
          <w:color w:val="auto"/>
        </w:rPr>
        <w:tab/>
      </w:r>
      <w:r>
        <w:rPr>
          <w:rFonts w:ascii="Arial" w:cs="Arial" w:eastAsia="Arial" w:hAnsi="Arial"/>
          <w:sz w:val="18"/>
          <w:szCs w:val="18"/>
          <w:color w:val="auto"/>
        </w:rPr>
        <w:t>.</w:t>
      </w:r>
    </w:p>
    <w:p>
      <w:pPr>
        <w:spacing w:after="0" w:line="19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New Plan provides that in the event of a specified corporate transaction, including without limitation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merger or similar transaction involving our company, the sale or other disposition of all or substantially all of the assets of our company or the consolidated assets of our company and our subsidiaries, or a sale or disposition of more than 50% of the outstanding capital stock of our company, the administrator will determine how to treat each outstanding stock award. The administrator may:</w:t>
      </w:r>
    </w:p>
    <w:p>
      <w:pPr>
        <w:spacing w:after="0" w:line="104" w:lineRule="exact"/>
        <w:rPr>
          <w:sz w:val="20"/>
          <w:szCs w:val="20"/>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 held by us;</w:t>
      </w:r>
    </w:p>
    <w:p>
      <w:pPr>
        <w:spacing w:after="0" w:line="117" w:lineRule="exact"/>
        <w:rPr>
          <w:rFonts w:ascii="Arial" w:cs="Arial" w:eastAsia="Arial" w:hAnsi="Arial"/>
          <w:sz w:val="18"/>
          <w:szCs w:val="18"/>
          <w:color w:val="auto"/>
        </w:rPr>
      </w:pPr>
    </w:p>
    <w:p>
      <w:pPr>
        <w:ind w:left="780" w:right="800" w:hanging="219"/>
        <w:spacing w:after="0" w:line="246"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cancel the stock award prior to the transaction in exchange for such cash consideration, if any, that the administrator in its discretion determines to be appropriate; or</w:t>
      </w:r>
    </w:p>
    <w:p>
      <w:pPr>
        <w:spacing w:after="0" w:line="102" w:lineRule="exact"/>
        <w:rPr>
          <w:rFonts w:ascii="Arial" w:cs="Arial" w:eastAsia="Arial" w:hAnsi="Arial"/>
          <w:sz w:val="18"/>
          <w:szCs w:val="18"/>
          <w:color w:val="auto"/>
        </w:rPr>
      </w:pPr>
    </w:p>
    <w:p>
      <w:pPr>
        <w:ind w:left="780" w:right="160" w:hanging="21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make a payment in a form determined by the administrator equal to the excess of the value of the property the participant would have received upon exercise of the stock award immediately prior to the transaction over the exercise price payable in connection with the stock award.</w:t>
      </w:r>
    </w:p>
    <w:p>
      <w:pPr>
        <w:spacing w:after="0" w:line="203"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79" w:lineRule="exact"/>
        <w:rPr>
          <w:sz w:val="20"/>
          <w:szCs w:val="20"/>
          <w:color w:val="auto"/>
        </w:rPr>
      </w:pPr>
    </w:p>
    <w:p>
      <w:pPr>
        <w:ind w:right="140" w:firstLine="562"/>
        <w:spacing w:after="0" w:line="250"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administrator may provide, in an individual award agreement or in any other written agreement between us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participant, that the stock award will be subject to additional acceleration of vesting and exercisability in the event of a change in control (as defined in the New Plan). In the absence of such a provision, no such acceleration of the stock award will occur.</w:t>
      </w:r>
    </w:p>
    <w:p>
      <w:pPr>
        <w:spacing w:after="0" w:line="177" w:lineRule="exact"/>
        <w:rPr>
          <w:sz w:val="20"/>
          <w:szCs w:val="20"/>
          <w:color w:val="auto"/>
        </w:rPr>
      </w:pPr>
    </w:p>
    <w:p>
      <w:pPr>
        <w:jc w:val="both"/>
        <w:ind w:right="200" w:firstLine="562"/>
        <w:spacing w:after="0" w:line="250"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has the authority to amend, suspend, or terminate our New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No ISOs may be granted after the tenth anniversary of the date our board of directors adopts our New Plan.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6"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Our board of directors adopted the 2020 Equity Incentive Plan, or the Existing Plan, in July 2020, and our stockholders approved the Existing Plan in July 2020.</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The Existing Plan provides for the grant of options to purchase shares of our common stock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under Section 422 of the U.S. Internal Revenue Code of 1986, as amended, or ISOs, options that do not so qualify, or NSOs, stock appreciation rights, restricted stock awards, restricted stock unit awards and other stock awards, or collectively, stock awards. ISOs may be granted only to our employees and the employees of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parent corporation or subsidiary corporation. All other awards may be granted to our employees, non-employee directors and consultants and the employees and consultants of our affiliates. We have granted stock options and restricted stock awards under the Existing Plan. As of September 2, 2020, we had outstanding options to purchase 15,000 shares of our common stock with a weighted-average exercise price of $16.23 per share, 2,615,935 shares of common stock issuable upon the vesting of restricted stock units and restricted stock awards with respect to 705,882 shares of our common were outstanding, and 192,595 shares of our common stock remained available for future awards under the Existing Plan.</w:t>
      </w:r>
    </w:p>
    <w:p>
      <w:pPr>
        <w:spacing w:after="0" w:line="187" w:lineRule="exact"/>
        <w:rPr>
          <w:sz w:val="20"/>
          <w:szCs w:val="20"/>
          <w:color w:val="auto"/>
        </w:rPr>
      </w:pPr>
    </w:p>
    <w:p>
      <w:pPr>
        <w:ind w:right="180" w:firstLine="562"/>
        <w:spacing w:after="0" w:line="26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Subject to certain capitalization adjustments, the aggregate number of shares of our common stock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pursuant to stock awards under the Existing Plan is 3,529,412 shares.</w:t>
      </w:r>
    </w:p>
    <w:p>
      <w:pPr>
        <w:spacing w:after="0" w:line="17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If a stock award granted under the Existing Plan expires or otherwise terminates without being exercised in full, or is settled in cash, the shares of our common stock not acquired pursuant to the stock award again will become available for subsequent issuance under the Existing Plan. In addition, the following types of shares of our common stock under the Existing Plan may become available for the grant of new stock awards under the Existing Plan: (1) shares that are forfeited to or repurchased by us prior to becoming fully vested; (2) shares withheld to satisfy income or employment withholding taxes; or (3) shares used to pay the exercise or purchase price of a stock award. Upon closing of this offering, any shares that would otherwise be returned to the Existing Plan will instead be added to the shares of common stock available for issuance under the New Plan.</w:t>
      </w:r>
    </w:p>
    <w:p>
      <w:pPr>
        <w:spacing w:after="0" w:line="185"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the Existing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also delegate to one or more of our officers the authority to (i) designate employees (other than other officers) to be recipients of certain stock awards, and (ii) determine the number of shares of common stock to be subject to such stock awards. Subject to the terms of the Existing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w:t>
      </w:r>
    </w:p>
    <w:p>
      <w:pPr>
        <w:spacing w:after="0" w:line="2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87"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pursuant to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a stock option, provided that the exercise price of a stock option generally cannot be less than 100% of the fair market value of our common stock on the date of grant. Options granted under the Existing Plan vest at the rate specified by the plan administrator.</w:t>
      </w:r>
    </w:p>
    <w:p>
      <w:pPr>
        <w:spacing w:after="0" w:line="199"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plan administrator determines the term of stock options granted under the Existing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203"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(i) cash, check, bank draft, electronic funds transfer or money order, (ii) a broker-assisted cashless exercise, (iii) the tender of shares of our common stock previously owned by the optionholder, (iv) a net exercise of the option if it is an NSO,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 deferred payment or a similar arrangement with the optionholder and (vi) other legal consideration approved by the plan administrator.</w:t>
      </w:r>
    </w:p>
    <w:p>
      <w:pPr>
        <w:spacing w:after="0" w:line="19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Tax Limitations on Incentive Stock Options</w:t>
      </w:r>
      <w:r>
        <w:rPr>
          <w:rFonts w:ascii="Arial" w:cs="Arial" w:eastAsia="Arial" w:hAnsi="Arial"/>
          <w:sz w:val="18"/>
          <w:szCs w:val="18"/>
          <w:color w:val="auto"/>
        </w:rPr>
        <w:t>. The aggregate fair market value, determined at the time of grant,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84" w:lineRule="exact"/>
        <w:rPr>
          <w:sz w:val="20"/>
          <w:szCs w:val="20"/>
          <w:color w:val="auto"/>
        </w:rPr>
      </w:pPr>
    </w:p>
    <w:p>
      <w:pPr>
        <w:ind w:right="200" w:firstLine="562"/>
        <w:spacing w:after="0" w:line="267" w:lineRule="auto"/>
        <w:rPr>
          <w:sz w:val="20"/>
          <w:szCs w:val="20"/>
          <w:color w:val="auto"/>
        </w:rPr>
      </w:pPr>
      <w:r>
        <w:rPr>
          <w:rFonts w:ascii="Arial" w:cs="Arial" w:eastAsia="Arial" w:hAnsi="Arial"/>
          <w:sz w:val="18"/>
          <w:szCs w:val="18"/>
          <w:i w:val="1"/>
          <w:iCs w:val="1"/>
          <w:color w:val="auto"/>
        </w:rPr>
        <w:t>Incentive Stock Option Limit</w:t>
      </w:r>
      <w:r>
        <w:rPr>
          <w:rFonts w:ascii="Arial" w:cs="Arial" w:eastAsia="Arial" w:hAnsi="Arial"/>
          <w:sz w:val="18"/>
          <w:szCs w:val="18"/>
          <w:color w:val="auto"/>
        </w:rPr>
        <w:t>. The maximum number of shares of our common stock that may be issued upon the exercise of ISOs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Existing Plan is 10,588,236.</w:t>
      </w:r>
    </w:p>
    <w:p>
      <w:pPr>
        <w:spacing w:after="0" w:line="160" w:lineRule="exact"/>
        <w:rPr>
          <w:sz w:val="20"/>
          <w:szCs w:val="20"/>
          <w:color w:val="auto"/>
        </w:rPr>
      </w:pPr>
    </w:p>
    <w:p>
      <w:pPr>
        <w:ind w:right="120" w:firstLine="562"/>
        <w:spacing w:after="0"/>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pursuant to restricted stock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awards may be granted in consideration for (i) cash, check, bank draft or money order, (ii) services rendered to us or our affiliates or (iii) any other form of legal consideration. Common stock acquired under a restricted stock award may, but need not, be subject to a share repurchase option in our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us upon the participant’s cessation of continuous service for any reason.</w:t>
      </w:r>
    </w:p>
    <w:p>
      <w:pPr>
        <w:spacing w:after="0" w:line="185" w:lineRule="exact"/>
        <w:rPr>
          <w:sz w:val="20"/>
          <w:szCs w:val="20"/>
          <w:color w:val="auto"/>
        </w:rPr>
      </w:pPr>
    </w:p>
    <w:p>
      <w:pPr>
        <w:ind w:right="200" w:firstLine="562"/>
        <w:spacing w:after="0"/>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200" w:lineRule="exact"/>
        <w:rPr>
          <w:sz w:val="20"/>
          <w:szCs w:val="20"/>
          <w:color w:val="auto"/>
        </w:rPr>
      </w:pPr>
    </w:p>
    <w:p>
      <w:pPr>
        <w:spacing w:after="0" w:line="228"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is a specified type of change in our capital structure, such as a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Existing Plan, (ii) the class and maximum number of shares that may be issued upon the exercise of ISOs and (iii) the class and number of shares and price per share of stock subject to outstanding stock awards.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Existing Plan provides that in the event of certain specified significant corporate transactions,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an award agreement or other written agreement between us and the award holder, the plan administrator may take one or more of the following actions with respect to each stock award, contingent upon the closing or completion of the transaction: (i) arrange for the assumption, continuation or substitution of the stock award by a successor corporation, (ii) arrange for the assignment of any reacquisition or repurchase rights held by us in respect of our common stock issued pursuant to the stock award to a successor corporation,</w:t>
      </w:r>
    </w:p>
    <w:p>
      <w:pPr>
        <w:spacing w:after="0" w:line="4" w:lineRule="exact"/>
        <w:rPr>
          <w:sz w:val="20"/>
          <w:szCs w:val="20"/>
          <w:color w:val="auto"/>
        </w:rPr>
      </w:pPr>
    </w:p>
    <w:p>
      <w:pPr>
        <w:ind w:firstLine="8"/>
        <w:spacing w:after="0" w:line="236" w:lineRule="auto"/>
        <w:tabs>
          <w:tab w:leader="none" w:pos="2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prior to the effective time of the transaction, (iv) arrange for the lapse, in whole or in part, of any reacquisition or repurchase rights held by us with respect to the stock award, (v) cancel or arrange for the cancellation of the stock award, to the extent not vested or not exercised prior to the effective time of the transaction, in exchange for a cash payment, or no payment, as determined by the plan administrator or (vi) make a payment, in the form determined by the plan administrator, equal to the excess, if any, of the value of the property the holder would have received upon exercise of the stock award immediately prior to the effective time of the transaction over any exercise price payable by the holder (which payment may be delayed to the same extent that payment of consideration to the holders of our common stock in connection with the transaction is delayed as a result of any escrow, holdback, earnout or other contingencies). The plan administrator is not obligated to treat all stock awards or portions thereof in the same manner, and the plan administrator may take different actions with respect to the vested and unvested portions of a stock award.</w:t>
      </w:r>
    </w:p>
    <w:p>
      <w:pPr>
        <w:spacing w:after="0" w:line="20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Under the Existing Plan, a significant corporate transaction is generally the consummation of (i) a sale or other disposition of all or substantially all of our consolidated assets, (ii) a sale or other disposition of more than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4" w:lineRule="exact"/>
        <w:rPr>
          <w:sz w:val="20"/>
          <w:szCs w:val="20"/>
          <w:color w:val="auto"/>
        </w:rPr>
      </w:pPr>
    </w:p>
    <w:p>
      <w:pPr>
        <w:ind w:right="40" w:firstLine="562"/>
        <w:spacing w:after="0"/>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awards granted under the Existing Plan will not receive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although this treatment may be provided for in a stock award agreement or other written agreement between us or any of our affiliates and the holder. Under the Existing Plan, a change in control is generally (i) the acquisition by a person or entity of more than 50% of our combined voting power other than by merger, consolidation or similar transaction; (ii) a consummated merger, consolidation or similar transaction immediately after which our stockholders cease to own more than 50% of the combined voting power of the surviving entity or (iii) a consummated sale, lease, exclusive license or other disposition of all or substantially all of our consolidated assets other than to an entity more than 50% of the combined voting power of which is owned by our stockholders.</w:t>
      </w:r>
    </w:p>
    <w:p>
      <w:pPr>
        <w:spacing w:after="0" w:line="185" w:lineRule="exact"/>
        <w:rPr>
          <w:sz w:val="20"/>
          <w:szCs w:val="20"/>
          <w:color w:val="auto"/>
        </w:rPr>
      </w:pPr>
    </w:p>
    <w:p>
      <w:pPr>
        <w:ind w:right="140" w:firstLine="562"/>
        <w:spacing w:after="0" w:line="26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generally may not transfer stock awards under the Existing Plan other than by will,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or as otherwise provided under the Existing Plan.</w:t>
      </w:r>
    </w:p>
    <w:p>
      <w:pPr>
        <w:spacing w:after="0" w:line="160"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has the authority to amend, suspend or terminate the Existing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with certain exceptions, such action does not impair the existing rights of any participant without such participant’s written consent. Certain material amendments also require the approval of our stockholders. Unless terminated sooner by our board of directors, the Existing Plan will automatically terminate on July 1, 2030. No stock awards may be granted under the Existing Plan while it is suspended or terminated. Our board of directors has determined not to make any further awards under the Existing Plan following the closing of this offering.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expect that our board of directors will adopt and our stockholders will approve prior to the closing of this offering our 2020 Employee Stock Purchase Plan, or ESPP. The ESPP will become effective immediately upon the execution of the underwriting agreement for this offering. The purpose of the ESPP is to secure the services of new employees, to retain the services of existing employees and to provide incentives for such individuals to exert maximum efforts toward our success. The ESPP is intended to qualify as an “employee stock purchase plan” within the meaning of Section 423 of the Code.</w:t>
      </w:r>
    </w:p>
    <w:p>
      <w:pPr>
        <w:spacing w:after="0" w:line="18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will authorize the issuance of shares of our common stock pursuant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to our employees or to employees of any of our designated affiliates. The 2020 ESPP will initially provide participating</w:t>
      </w:r>
    </w:p>
    <w:p>
      <w:pPr>
        <w:ind w:right="60"/>
        <w:spacing w:after="0" w:line="234" w:lineRule="auto"/>
        <w:rPr>
          <w:sz w:val="20"/>
          <w:szCs w:val="20"/>
          <w:color w:val="auto"/>
        </w:rPr>
      </w:pPr>
      <w:r>
        <w:rPr>
          <w:rFonts w:ascii="Arial" w:cs="Arial" w:eastAsia="Arial" w:hAnsi="Arial"/>
          <w:sz w:val="18"/>
          <w:szCs w:val="18"/>
          <w:color w:val="auto"/>
        </w:rPr>
        <w:t>employees with the opportunity to purchase up to an aggregate of shares of our common stock. The number of shares of our common stock reserved for issuance will automatically increase on January 1 of each calendar year, from January 1, 2021 through January 1, 2030, by the lesser of (i) % of the total number of shares of our common stock outstanding on December 31 of the preceding calendar year, and (ii) shares; provided, that prior to the date of any such increase, our board of directors may determine</w:t>
      </w:r>
    </w:p>
    <w:p>
      <w:pPr>
        <w:spacing w:after="0" w:line="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that such increase will be less than the amount set forth in clauses (i) and (ii). If purchase rights granted under the ESPP terminate without having been exercised, the shares of our common stock not purchased under such purchase rights will again become available for issuance under the ESPP.</w:t>
      </w:r>
    </w:p>
    <w:p>
      <w:pPr>
        <w:spacing w:after="0" w:line="185"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intends to delegate concurrent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8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(i) 85% of the fair market value of a share of our common stock on the first trading date of an offering or (ii) 85% of the fair market value of a share of our common stock on the date of purchase.</w:t>
      </w:r>
    </w:p>
    <w:p>
      <w:pPr>
        <w:spacing w:after="0" w:line="184"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 before participating in the ESPP,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58"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our capital structure through such actions as a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applicable to all outstanding offerings and purchase rights and (iv) the number of shares that are subject to purchase limits under ongoing offerings.</w:t>
      </w:r>
    </w:p>
    <w:p>
      <w:pPr>
        <w:spacing w:after="0" w:line="170"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(i) a sale of all or substantially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(ii) the sale or disposition of more than 50% of our outstanding securities, (iii) the consummation of a merger or consolidation where we do not survive the transactions and (iv)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87" w:lineRule="exact"/>
        <w:rPr>
          <w:sz w:val="20"/>
          <w:szCs w:val="20"/>
          <w:color w:val="auto"/>
        </w:rPr>
      </w:pPr>
    </w:p>
    <w:p>
      <w:pPr>
        <w:ind w:right="460" w:firstLine="562"/>
        <w:spacing w:after="0" w:line="250"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has the authority to amend or terminate our ESPP, provided that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4" w:lineRule="exact"/>
        <w:rPr>
          <w:sz w:val="20"/>
          <w:szCs w:val="20"/>
          <w:color w:val="auto"/>
        </w:rPr>
      </w:pPr>
    </w:p>
    <w:p>
      <w:pPr>
        <w:ind w:right="100" w:firstLine="562"/>
        <w:spacing w:after="0" w:line="261"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91" w:lineRule="exact"/>
        <w:rPr>
          <w:sz w:val="20"/>
          <w:szCs w:val="20"/>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780" w:right="80" w:hanging="219"/>
        <w:spacing w:after="0" w:line="24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right="660" w:firstLine="562"/>
        <w:spacing w:after="0" w:line="246"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97"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Our amended and restated certificate of incorporation and our amended and restated bylaws that will be in effect upon the closing of this offering will provide that we are required to indemnify our directors to the fullest extent permitted by Delaware law. Our amended and restated bylaws will also provide that, upon satisfaction of certain conditions, we are required to advance expenses incurred by</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10b5-1 Sales Plans</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320" w:top="459"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following is a description of transactions since our inception in September 2019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Relationship with UT Southwestern</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November 2019, we entered into the UT Southwestern Agreement with UT Southwestern, a beneficial owner of more than 5% of our capital stock. Claire Aldridge, Ph.D., a former member of our board of directors, is the Associate Vice President of Commercialization and Business Development at UT Southwestern. In accordance with the terms of, and as consideration for, the UT Southwestern Agreement, we issued 2,000,000 shares of our common stock to UT Southwestern in November 2019. We do not have any future milestone or royalty obligations to UT Southwestern under the UT Southwestern Agreement.</w:t>
      </w:r>
    </w:p>
    <w:p>
      <w:pPr>
        <w:spacing w:after="0" w:line="20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We are also obligated to provide research and development funding pursuant to certain sponsored research agreements entered into beginning in April 2020 in connection with the UT Southwestern Agreement. We had not paid any amounts to UT Southwestern pursuant to these sponsored research agreements as of June 30, 2020. See “Business—Research, Collaboration and License Agreement with the University of Texas Southwestern Medical Center” for additional information.</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with RA Session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 Agreement</w:t>
      </w:r>
    </w:p>
    <w:p>
      <w:pPr>
        <w:spacing w:after="0" w:line="126"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In December 2019, Mr. Session, our President and Chief Executive Officer and a member of our board of directors, entered into a guarantee and security agreement by and among Queen’s University, our company and himself, pursuant to which Mr. Session has personally guaranteed payments due by us to Queen’s University in the event that we fail to fund our obligations under a research grant agreement by and between Queen’s University and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January 2020, Mr. Session loaned us the principal amount of approximately $1.7 million with interest accruing at a rate of 10% per annum, and we granted Mr. Session a first priority security interest in certain of our assets as collateral for the loan. We repaid Mr. Session an aggregate of approximately $1.7 million, including interest, in payments made in March 2020 and July 2020, and Mr. Session released his security interest in the collateral.</w:t>
      </w:r>
    </w:p>
    <w:p>
      <w:pPr>
        <w:spacing w:after="0" w:line="29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Financing</w:t>
      </w:r>
    </w:p>
    <w:p>
      <w:pPr>
        <w:spacing w:after="0" w:line="126" w:lineRule="exact"/>
        <w:rPr>
          <w:sz w:val="20"/>
          <w:szCs w:val="20"/>
          <w:color w:val="auto"/>
        </w:rPr>
      </w:pPr>
    </w:p>
    <w:p>
      <w:pPr>
        <w:ind w:right="240" w:firstLine="562"/>
        <w:spacing w:after="0" w:line="238" w:lineRule="auto"/>
        <w:rPr>
          <w:sz w:val="20"/>
          <w:szCs w:val="20"/>
          <w:color w:val="auto"/>
        </w:rPr>
      </w:pPr>
      <w:r>
        <w:rPr>
          <w:rFonts w:ascii="Arial" w:cs="Arial" w:eastAsia="Arial" w:hAnsi="Arial"/>
          <w:sz w:val="18"/>
          <w:szCs w:val="18"/>
          <w:color w:val="auto"/>
        </w:rPr>
        <w:t>In March 2020, we entered into a preferred stock purchase agreement with certain investors, including beneficial owners of greater than 5% of our capital stock and affiliates of members of our board of directors, pursuant to which we issued and sold to such investors an aggregate of 6,000,000 shares of our Series A convertible preferred stock at a purchase price of $3.00 per share for aggregate gross proceeds of $18.0 million.</w:t>
      </w:r>
    </w:p>
    <w:p>
      <w:pPr>
        <w:spacing w:after="0" w:line="205"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Under the agreement, such investors were required to purchase up to an aggregate of 4,000,000 additional shares of our Series A convertible preferred stock upon our achievement of certain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milestones. Moreover, such investors had the right, in their sole discretion, to purchase any or all of such additional shares whether or not the we achieved the specified milestones. In June and July 2020, such investors exercised in full their option to purchase these additional shares prior to our achievement of such milestones, and we issued and sold to such investors an aggregate of 4,000,000 shares of Series A convertible preferred stock at a purchase price of $3.00 per share for aggregate gross proceeds of $12.0 million.</w:t>
      </w:r>
    </w:p>
    <w:p>
      <w:pPr>
        <w:spacing w:after="0" w:line="20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table below sets forth the aggregate number of shares of Series A convertible preferred stock issued to our related parties in this financing: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A</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PBM TGT Holdings,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8,166,667</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24,500,001.00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20" w:type="dxa"/>
            <w:vAlign w:val="bottom"/>
            <w:gridSpan w:val="2"/>
          </w:tcPr>
          <w:p>
            <w:pPr>
              <w:spacing w:after="0"/>
              <w:rPr>
                <w:sz w:val="20"/>
                <w:szCs w:val="20"/>
                <w:color w:val="auto"/>
              </w:rPr>
            </w:pPr>
            <w:r>
              <w:rPr>
                <w:rFonts w:ascii="Arial" w:cs="Arial" w:eastAsia="Arial" w:hAnsi="Arial"/>
                <w:sz w:val="18"/>
                <w:szCs w:val="18"/>
                <w:color w:val="auto"/>
              </w:rPr>
              <w:t>Nolan Capital, LLC(2)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4" w:lineRule="exact"/>
        <w:rPr>
          <w:sz w:val="20"/>
          <w:szCs w:val="20"/>
          <w:color w:val="auto"/>
        </w:rPr>
      </w:pPr>
    </w:p>
    <w:p>
      <w:pPr>
        <w:ind w:left="560" w:right="260" w:hanging="552"/>
        <w:spacing w:after="0" w:line="234"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TGT Holdings, LLC. Entities affiliated with PBM Capital Group, LLC collectively hold more than 5% of our capital stock prior to this offering.</w:t>
      </w:r>
    </w:p>
    <w:p>
      <w:pPr>
        <w:spacing w:after="0" w:line="2" w:lineRule="exact"/>
        <w:rPr>
          <w:rFonts w:ascii="Arial" w:cs="Arial" w:eastAsia="Arial" w:hAnsi="Arial"/>
          <w:sz w:val="18"/>
          <w:szCs w:val="18"/>
          <w:color w:val="auto"/>
        </w:rPr>
      </w:pPr>
    </w:p>
    <w:p>
      <w:pPr>
        <w:ind w:left="560" w:right="80" w:hanging="552"/>
        <w:spacing w:after="0" w:line="246" w:lineRule="auto"/>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5,647,048 shares of our Series B convertible preferred stock at a purchase price of $17.00 per share for aggregate gross proceeds of $96.0 million. The financing closed in July and August 2020.</w:t>
      </w:r>
    </w:p>
    <w:p>
      <w:pPr>
        <w:spacing w:after="0" w:line="205" w:lineRule="exact"/>
        <w:rPr>
          <w:sz w:val="20"/>
          <w:szCs w:val="20"/>
          <w:color w:val="auto"/>
        </w:rPr>
      </w:pPr>
    </w:p>
    <w:p>
      <w:pPr>
        <w:ind w:right="100" w:firstLine="562"/>
        <w:spacing w:after="0" w:line="246" w:lineRule="auto"/>
        <w:rPr>
          <w:sz w:val="20"/>
          <w:szCs w:val="20"/>
          <w:color w:val="auto"/>
        </w:rPr>
      </w:pPr>
      <w:r>
        <w:rPr>
          <w:rFonts w:ascii="Arial" w:cs="Arial" w:eastAsia="Arial" w:hAnsi="Arial"/>
          <w:sz w:val="18"/>
          <w:szCs w:val="18"/>
          <w:color w:val="auto"/>
        </w:rPr>
        <w:t>The table below sets forth the aggregate number of shares of Series B convertible preferred stock issued to our related parties in this financing: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B</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FMR,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1,705,882</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28,999,994.00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PBM Capital Group, LLC(2)</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117,647</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1,999,999.00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Sukumar Nagendran, M.D.</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17,647</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299,999.00</w:t>
            </w:r>
          </w:p>
        </w:tc>
        <w:tc>
          <w:tcPr>
            <w:tcW w:w="0" w:type="dxa"/>
            <w:vAlign w:val="bottom"/>
          </w:tcPr>
          <w:p>
            <w:pPr>
              <w:spacing w:after="0"/>
              <w:rPr>
                <w:sz w:val="1"/>
                <w:szCs w:val="1"/>
                <w:color w:val="auto"/>
              </w:rPr>
            </w:pPr>
          </w:p>
        </w:tc>
      </w:tr>
      <w:tr>
        <w:trPr>
          <w:trHeight w:val="203"/>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Suyash Prasad, M.B.B.S., F.F.P.M</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3,529</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59,993.00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Nolan Capital, LLC(3)</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1,470</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Entities affiliated with FMR, LLC collectively hold more than 5% of our capital stock prior to this offering.</w:t>
      </w:r>
    </w:p>
    <w:p>
      <w:pPr>
        <w:ind w:left="560" w:right="200" w:hanging="552"/>
        <w:spacing w:after="0" w:line="234"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Capital Group, LLC. Entities affiliated with PBM Capital Group, LLC collectively hold more than 5% of our capital stock prior to this offering. The shares acquired by PBM Capital Group, LLC were subsequently sold or otherwise distributed to third parties.</w:t>
      </w:r>
    </w:p>
    <w:p>
      <w:pPr>
        <w:spacing w:after="0" w:line="2" w:lineRule="exact"/>
        <w:rPr>
          <w:rFonts w:ascii="Arial" w:cs="Arial" w:eastAsia="Arial" w:hAnsi="Arial"/>
          <w:sz w:val="18"/>
          <w:szCs w:val="18"/>
          <w:color w:val="auto"/>
        </w:rPr>
      </w:pPr>
    </w:p>
    <w:p>
      <w:pPr>
        <w:ind w:left="560" w:right="80" w:hanging="552"/>
        <w:spacing w:after="0" w:line="246"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connection with the sales of convertible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convertible preferred stock, including PBM TGT Holdings, LLC, Nolan Capital, LLC and the entities affiliated with FMR, LLC and certain other stockholders.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Relationship with PBM Capital Group, LLC</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March 2020, we entered into a services agreement with PBM Capital Group, LLC, or the PBM Services Agreement. Under the PBM Services Agreement,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Arrangements</w:t>
      </w:r>
    </w:p>
    <w:p>
      <w:pPr>
        <w:spacing w:after="0" w:line="234"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 with Mr. Session, our President and Chief Executive Officer, see “Executive Compensation— Employment Agreement with Mr. Session and Potential Payments and Benefits Upon Termination or Change in Control.”</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205"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Compensation—Limitations on Liability and Indemnification Matters.”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Person Transaction Policy</w:t>
      </w:r>
    </w:p>
    <w:p>
      <w:pPr>
        <w:spacing w:after="0" w:line="23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108" w:lineRule="exact"/>
        <w:rPr>
          <w:sz w:val="20"/>
          <w:szCs w:val="20"/>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17"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12" w:lineRule="exact"/>
        <w:rPr>
          <w:sz w:val="20"/>
          <w:szCs w:val="20"/>
          <w:color w:val="auto"/>
        </w:rPr>
      </w:pPr>
    </w:p>
    <w:p>
      <w:pPr>
        <w:ind w:right="360" w:firstLine="562"/>
        <w:spacing w:after="0" w:line="238"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117" w:lineRule="exact"/>
        <w:rPr>
          <w:sz w:val="20"/>
          <w:szCs w:val="20"/>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named executive officer;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26,352,930 shares of common stock outstanding as of August 15, 2020, after giving effect to the conversion of all of our convertible preferred stock. In computing the number of shares beneficially owned by an individual or entity and the percentage ownership of that person, shares of common stock subject to options held by such person that are currently exercisable or will become exercisable within 60 days of August 15, 2020 are considered outstanding, although these shares are not considered outstanding for purposes of computing the percentage ownership of any other person.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noted otherwise, the address of all listed stockholders is c/o Taysha Gene Therapies, Inc., 2280 Inwood Road, Dallas, Texas</w:t>
      </w:r>
    </w:p>
    <w:p>
      <w:pPr>
        <w:spacing w:after="0"/>
        <w:rPr>
          <w:sz w:val="20"/>
          <w:szCs w:val="20"/>
          <w:color w:val="auto"/>
        </w:rPr>
      </w:pPr>
      <w:r>
        <w:rPr>
          <w:rFonts w:ascii="Arial" w:cs="Arial" w:eastAsia="Arial" w:hAnsi="Arial"/>
          <w:sz w:val="18"/>
          <w:szCs w:val="18"/>
          <w:color w:val="auto"/>
        </w:rPr>
        <w:t>75235.</w:t>
      </w:r>
    </w:p>
    <w:p>
      <w:pPr>
        <w:spacing w:after="0" w:line="21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Beneficially</w:t>
            </w:r>
          </w:p>
        </w:tc>
        <w:tc>
          <w:tcPr>
            <w:tcW w:w="1120" w:type="dxa"/>
            <w:vAlign w:val="bottom"/>
            <w:tcBorders>
              <w:top w:val="single" w:sz="8" w:color="auto"/>
            </w:tcBorders>
            <w:gridSpan w:val="2"/>
          </w:tcPr>
          <w:p>
            <w:pPr>
              <w:jc w:val="right"/>
              <w:ind w:right="600"/>
              <w:spacing w:after="0" w:line="143" w:lineRule="exact"/>
              <w:rPr>
                <w:sz w:val="20"/>
                <w:szCs w:val="20"/>
                <w:color w:val="auto"/>
              </w:rPr>
            </w:pPr>
            <w:r>
              <w:rPr>
                <w:rFonts w:ascii="Arial" w:cs="Arial" w:eastAsia="Arial" w:hAnsi="Arial"/>
                <w:sz w:val="14"/>
                <w:szCs w:val="14"/>
                <w:b w:val="1"/>
                <w:bCs w:val="1"/>
                <w:color w:val="auto"/>
              </w:rPr>
              <w:t>Before</w:t>
            </w:r>
          </w:p>
        </w:tc>
        <w:tc>
          <w:tcPr>
            <w:tcW w:w="6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40" w:type="dxa"/>
            <w:vAlign w:val="bottom"/>
            <w:gridSpan w:val="2"/>
            <w:vMerge w:val="continue"/>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Owned</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Offering</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5% stockholders</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RA Session II(1)</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8,655,882</w:t>
            </w: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32.9%</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Entities affiliated with PBM Capital Group, LLC(2)</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8,284,314</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UT Southwestern(3)</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2,000,000</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7.6</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Entities affiliated with FMR LLC(4)</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1,705,882</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 and Directors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RA Session II(1)</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8,655,882</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32.9</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Paul B. Manning(2)</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8,284,314</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Sean P. Nolan(5)</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1,001,470</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Sukumar Nagendran, M.D(6)</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17,647</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Phillip B. Donenberg</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gridSpan w:val="2"/>
          </w:tcPr>
          <w:p>
            <w:pPr>
              <w:spacing w:after="0"/>
              <w:rPr>
                <w:sz w:val="20"/>
                <w:szCs w:val="20"/>
                <w:color w:val="auto"/>
              </w:rPr>
            </w:pPr>
            <w:r>
              <w:rPr>
                <w:rFonts w:ascii="Arial" w:cs="Arial" w:eastAsia="Arial" w:hAnsi="Arial"/>
                <w:sz w:val="18"/>
                <w:szCs w:val="18"/>
                <w:color w:val="auto"/>
              </w:rPr>
              <w:t>All current executive officers and directors as a group (7 persons)(7)</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17,962,842</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68.2</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9" w:lineRule="exact"/>
        <w:rPr>
          <w:sz w:val="20"/>
          <w:szCs w:val="20"/>
          <w:color w:val="auto"/>
        </w:rPr>
      </w:pPr>
    </w:p>
    <w:p>
      <w:pPr>
        <w:ind w:left="560" w:hanging="552"/>
        <w:spacing w:after="0"/>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ind w:left="560" w:hanging="552"/>
        <w:spacing w:after="0" w:line="234"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8,655,882 shares of common stock.</w:t>
      </w:r>
    </w:p>
    <w:p>
      <w:pPr>
        <w:ind w:left="560" w:hanging="552"/>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(a) 8,166,667 shares of common stock issuable upon conversion of Series A convertible preferred stock held by PBM TGT Holdings, LLC and (b) 117,647 shares of common stock issuable upon conversion of Series B convertible preferred stock held by PBM Capital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20"/>
        <w:spacing w:after="0" w:line="234" w:lineRule="auto"/>
        <w:rPr>
          <w:sz w:val="20"/>
          <w:szCs w:val="20"/>
          <w:color w:val="auto"/>
        </w:rPr>
      </w:pPr>
      <w:r>
        <w:rPr>
          <w:rFonts w:ascii="Arial" w:cs="Arial" w:eastAsia="Arial" w:hAnsi="Arial"/>
          <w:sz w:val="18"/>
          <w:szCs w:val="18"/>
          <w:color w:val="auto"/>
        </w:rPr>
        <w:t>Group, LLC. PBM TGT Holdings, LLC is majority owned by PBM Capital Investments II, LLC, which is managed by PBM Capital Group, LLC. Paul B. Manning, a member of our board of directors, is the Chief Executive Officer of PBM Capital Group, LLC, and has sole voting and investment power with respect to the shares held by PBM TGT Holdings, LLC and PBM Capital Group, LLC. The business address for each person and entity named in this footnote is 200 Garrett Street, Suite S, Charlottesville, Virginia 22902</w:t>
      </w:r>
    </w:p>
    <w:p>
      <w:pPr>
        <w:spacing w:after="0" w:line="3" w:lineRule="exact"/>
        <w:rPr>
          <w:sz w:val="20"/>
          <w:szCs w:val="20"/>
          <w:color w:val="auto"/>
        </w:rPr>
      </w:pPr>
    </w:p>
    <w:p>
      <w:pPr>
        <w:ind w:left="560" w:right="340" w:hanging="552"/>
        <w:spacing w:after="0" w:line="234" w:lineRule="auto"/>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2,000,000 shares of common stock held by The Board of Regents of the University of Texas System on behalf of UT Southwestern. The business address for The Board of Regents of the University of Texas System is 5323 Harry Hines Boulevard, Dallas, Texas 75390-9094.</w:t>
      </w:r>
    </w:p>
    <w:p>
      <w:pPr>
        <w:spacing w:after="0" w:line="2" w:lineRule="exact"/>
        <w:rPr>
          <w:rFonts w:ascii="Arial" w:cs="Arial" w:eastAsia="Arial" w:hAnsi="Arial"/>
          <w:sz w:val="18"/>
          <w:szCs w:val="18"/>
          <w:color w:val="auto"/>
        </w:rPr>
      </w:pPr>
    </w:p>
    <w:p>
      <w:pPr>
        <w:jc w:val="both"/>
        <w:ind w:left="560" w:right="60" w:hanging="552"/>
        <w:spacing w:after="0" w:line="248" w:lineRule="auto"/>
        <w:tabs>
          <w:tab w:leader="none" w:pos="5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Consists of (a) 78,554 shares of common stock issuable upon conversion of Series B convertible preferred stock held by Fidelity Mt. Vernon Street Trust: Fidelity Series Growth Company Fund, (b) 330,967 shares of common stock issuable upon conversion of Series B convertible preferred stock held by Fidelity Mt. Vernon Street Trust: Fidelity Growth Company Fund, (c) 294,548 shares of common stock issuable upon conversion of Series B convertible preferred stock held by Fidelity Growth Company Commingled Pool, (d)</w:t>
      </w:r>
    </w:p>
    <w:p>
      <w:pPr>
        <w:spacing w:after="0" w:line="2" w:lineRule="exact"/>
        <w:rPr>
          <w:rFonts w:ascii="Arial" w:cs="Arial" w:eastAsia="Arial" w:hAnsi="Arial"/>
          <w:sz w:val="17"/>
          <w:szCs w:val="17"/>
          <w:color w:val="auto"/>
        </w:rPr>
      </w:pPr>
    </w:p>
    <w:p>
      <w:pPr>
        <w:ind w:left="560"/>
        <w:spacing w:after="0" w:line="234" w:lineRule="auto"/>
        <w:rPr>
          <w:rFonts w:ascii="Arial" w:cs="Arial" w:eastAsia="Arial" w:hAnsi="Arial"/>
          <w:sz w:val="17"/>
          <w:szCs w:val="17"/>
          <w:color w:val="auto"/>
        </w:rPr>
      </w:pPr>
      <w:r>
        <w:rPr>
          <w:rFonts w:ascii="Arial" w:cs="Arial" w:eastAsia="Arial" w:hAnsi="Arial"/>
          <w:sz w:val="18"/>
          <w:szCs w:val="18"/>
          <w:color w:val="auto"/>
        </w:rPr>
        <w:t>31,225 shares of common stock issuable upon conversion of Series B convertible preferred stock held by Fidelity Mt. Vernon Street Trust: Fidelity Growth Company K6 Fund, (e) 734,388 shares of common stock issuable upon conversion of Series B convertible preferred stock held by Fidelity Select Portfolios: Biotechnology Portfolio and (f) 236,200 shares of common stock issuable upon conversion of Series B convertible preferred stock held by Fidelity Advisor Series VII: Fidelity Advisor Biotechnology Fund.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or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each person and entity named in this footnote is 245 Summer Street, Boston, Massachusetts 02110.</w:t>
      </w:r>
    </w:p>
    <w:p>
      <w:pPr>
        <w:spacing w:after="0" w:line="11" w:lineRule="exact"/>
        <w:rPr>
          <w:rFonts w:ascii="Arial" w:cs="Arial" w:eastAsia="Arial" w:hAnsi="Arial"/>
          <w:sz w:val="17"/>
          <w:szCs w:val="17"/>
          <w:color w:val="auto"/>
        </w:rPr>
      </w:pPr>
    </w:p>
    <w:p>
      <w:pPr>
        <w:ind w:left="560" w:right="180" w:hanging="552"/>
        <w:spacing w:after="0" w:line="234" w:lineRule="auto"/>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(a) 1,000,000 shares of common stock issuable upon conversion of Series A convertible preferred stock held by Nolan Capital, LLC and (b) 1,470 shares of common stock issuable upon conversion of Series B convertible preferred stock held by Nolan Capital, LLC. Mr. Nolan is the President of Nolan Capital, LLC, and as such, Mr. Nolan has sole voting and investment power with respect to the shares held by Nolan Capital, LLC. The business address for each person and entity named in this footnote is 8 The Green, Ste. R, Dover, Delaware 19901.</w:t>
      </w:r>
    </w:p>
    <w:p>
      <w:pPr>
        <w:spacing w:after="0" w:line="3"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17,647 shares of common stock issuable upon conversion of Series B convertible preferred stock.</w:t>
      </w:r>
    </w:p>
    <w:p>
      <w:pPr>
        <w:jc w:val="both"/>
        <w:ind w:left="560" w:right="420" w:hanging="552"/>
        <w:spacing w:after="0"/>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(a) 8,655,882 shares of common stock; (b) 9,166,667 shares of common stock issuable upon conversion of Series A convertible preferred stock; and (c) 140,293 shares of common stock issuable upon conversion of Series B convertible preferred stock.</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320" w:top="459" w:right="3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w:t>
      </w:r>
    </w:p>
    <w:p>
      <w:pPr>
        <w:jc w:val="both"/>
        <w:ind w:right="200"/>
        <w:spacing w:after="0"/>
        <w:rPr>
          <w:sz w:val="20"/>
          <w:szCs w:val="20"/>
          <w:color w:val="auto"/>
        </w:rPr>
      </w:pPr>
      <w:r>
        <w:rPr>
          <w:rFonts w:ascii="Arial" w:cs="Arial" w:eastAsia="Arial" w:hAnsi="Arial"/>
          <w:sz w:val="18"/>
          <w:szCs w:val="18"/>
          <w:color w:val="auto"/>
        </w:rPr>
        <w:t>to shares of common stock, $0.00001 par value per share, and shares of preferred stock, $0.00001 par value per share, all of which shares of preferred stock will be undesignated. Our board of directors may establish the rights and preferences of the preferred stock from time to time.</w:t>
      </w:r>
    </w:p>
    <w:p>
      <w:pPr>
        <w:spacing w:after="0" w:line="203"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As of June 30, 2020, we had outstanding 10,000,000 shares of common stock, held by three stockholders of record. As of June 30, 2020, after giving effect to the conversion of all of the outstanding shares of our convertible preferred stock, including 3,800,000 shares of our Series A convertible preferred stock and 5,647,048 shares of our Series B convertible preferred stock issued subsequent to June 30, 2020, into 15,647,048 shares of common stock, and the sales and distributions of shares of Series B convertible preferred stock by PBM Capital Group, LLC to third parties discussed in “—Certain Relationships and Related Party Transactions,” there would have been 25,647,048 shares of common stock issued and outstanding, held by 108 stockholders of record.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w:t>
      </w:r>
    </w:p>
    <w:p>
      <w:pPr>
        <w:ind w:right="20"/>
        <w:spacing w:after="0" w:line="258" w:lineRule="auto"/>
        <w:rPr>
          <w:sz w:val="20"/>
          <w:szCs w:val="20"/>
          <w:color w:val="auto"/>
        </w:rPr>
      </w:pPr>
      <w:r>
        <w:rPr>
          <w:rFonts w:ascii="Arial" w:cs="Arial" w:eastAsia="Arial" w:hAnsi="Arial"/>
          <w:sz w:val="17"/>
          <w:szCs w:val="17"/>
          <w:color w:val="auto"/>
        </w:rPr>
        <w:t>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600" w:firstLine="562"/>
        <w:spacing w:after="0" w:line="246"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As of June 30, 2020, there were no shares of preferred stock or Series B convertible preferred stock outstanding and 6,200,000 shares of Series A convertible preferred stock outstanding. We issued 3,800,000 additional shares of Series A convertible preferred stock in July 2020 and 5,647,048 shares of Series B convertible preferred stock in July and August 2020. All currently outstanding shares of convertible preferred stock will be converted into an aggregate of 15,647,048 shares of common stock upon the closing of this offering.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Following the closing of this offering, our board of directors will have the authority under our amended and restated certificate of</w:t>
      </w:r>
    </w:p>
    <w:p>
      <w:pPr>
        <w:spacing w:after="0" w:line="238" w:lineRule="auto"/>
        <w:rPr>
          <w:sz w:val="20"/>
          <w:szCs w:val="20"/>
          <w:color w:val="auto"/>
        </w:rPr>
      </w:pPr>
      <w:r>
        <w:rPr>
          <w:rFonts w:ascii="Arial" w:cs="Arial" w:eastAsia="Arial" w:hAnsi="Arial"/>
          <w:sz w:val="18"/>
          <w:szCs w:val="18"/>
          <w:color w:val="auto"/>
        </w:rPr>
        <w:t>incorporation, 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05"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present plans to issue any shares of preferred stock following completion of this offering.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p>
      <w:pPr>
        <w:spacing w:after="0" w:line="23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As of June 30, 2020, there were no options to purchase shares of common stock outstanding. For additional information regarding the terms of our 2020 Equity Incentive Plan, see “Executive Compensation—Equity Incentive Plans.” Subsequent to June 30, 2020, we granted options under our 2020 Equity Incentive Plan to purchase an aggregate of 15,000 shares of common stock, at an exercise price of $16.23 per share, to certain of our directors.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Awards</w:t>
      </w:r>
    </w:p>
    <w:p>
      <w:pPr>
        <w:spacing w:after="0" w:line="126"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As of June 30, 2020, there were no restricted stock awards with respect to our common stock outstanding. For additional information regarding the terms of our 2020 Equity Incentive Plan, see “Executive Compensation—Equity Incentive Plans.” Subsequent to June 30, 2020, we granted restricted stock awards with respect to 705,882 shares of common stock to an employee.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w:t>
      </w:r>
    </w:p>
    <w:p>
      <w:pPr>
        <w:spacing w:after="0" w:line="126"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As of June 30, 2020, there were no restricted stock units outstanding. For additional information regarding the terms of our 2020 Equity Incentive Plan, see “Executive Compensation—Equity Incentive Plans.” Subsequent to June 30, 2020, we granted restricted stock units with respect to 2,615,935 shares of common stock to employees.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the holders of our existing convertible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 These shares are collectively referred to herein as registrable securities. An aggregate of 25,647,048 shares of common stock will be entitled to the registration rights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registrable securities then outstanding having an aggregate offering price in excess of $10.0 million, net of certain selling expenses.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26" w:lineRule="exact"/>
        <w:rPr>
          <w:sz w:val="20"/>
          <w:szCs w:val="20"/>
          <w:color w:val="auto"/>
        </w:rPr>
      </w:pPr>
    </w:p>
    <w:p>
      <w:pPr>
        <w:ind w:right="320" w:firstLine="562"/>
        <w:spacing w:after="0" w:line="238" w:lineRule="auto"/>
        <w:rPr>
          <w:sz w:val="20"/>
          <w:szCs w:val="20"/>
          <w:color w:val="auto"/>
        </w:rPr>
      </w:pPr>
      <w:r>
        <w:rPr>
          <w:rFonts w:ascii="Arial" w:cs="Arial" w:eastAsia="Arial" w:hAnsi="Arial"/>
          <w:sz w:val="18"/>
          <w:szCs w:val="18"/>
          <w:color w:val="auto"/>
        </w:rPr>
        <w:t>At any time after we become eligible to file a registration statement on Form S-3, the holders of a majority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$5.0 million. Upon receipt of this request, the holders of registrable securities will each be entitled to participate in this registration.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(up to $50,000 total),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202" w:lineRule="exact"/>
        <w:rPr>
          <w:sz w:val="20"/>
          <w:szCs w:val="20"/>
          <w:color w:val="auto"/>
        </w:rPr>
      </w:pPr>
    </w:p>
    <w:p>
      <w:pPr>
        <w:ind w:right="300" w:firstLine="562"/>
        <w:spacing w:after="0" w:line="238" w:lineRule="auto"/>
        <w:rPr>
          <w:sz w:val="20"/>
          <w:szCs w:val="20"/>
          <w:color w:val="auto"/>
        </w:rPr>
      </w:pPr>
      <w:r>
        <w:rPr>
          <w:rFonts w:ascii="Arial" w:cs="Arial" w:eastAsia="Arial" w:hAnsi="Arial"/>
          <w:sz w:val="18"/>
          <w:szCs w:val="18"/>
          <w:color w:val="auto"/>
        </w:rPr>
        <w:t>The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registration rights granted under the investors’ rights agreement will terminate with respect to any particular stockholder upon the earlier of (a) the closing of a deemed liquidation event, as defined in our certificate of incorporation, (b) the third anniversary of the closing of this offering and (c) with respect to each stockholder, at such time such stockholder is able to sell all of its shares pursuant to Rule 144 or another similar exemption under the Securities Act during a three-month period without registration.</w:t>
      </w: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Anti-Takeover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6" w:lineRule="exact"/>
        <w:rPr>
          <w:sz w:val="20"/>
          <w:szCs w:val="20"/>
          <w:color w:val="auto"/>
        </w:rPr>
      </w:pPr>
    </w:p>
    <w:p>
      <w:pPr>
        <w:ind w:right="300" w:firstLine="562"/>
        <w:spacing w:after="0"/>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8" w:lineRule="exact"/>
        <w:rPr>
          <w:sz w:val="20"/>
          <w:szCs w:val="20"/>
          <w:color w:val="auto"/>
        </w:rPr>
      </w:pPr>
    </w:p>
    <w:p>
      <w:pPr>
        <w:ind w:left="780" w:hanging="219"/>
        <w:spacing w:after="0" w:line="246"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02" w:lineRule="exact"/>
        <w:rPr>
          <w:rFonts w:ascii="Arial" w:cs="Arial" w:eastAsia="Arial" w:hAnsi="Arial"/>
          <w:sz w:val="18"/>
          <w:szCs w:val="18"/>
          <w:color w:val="auto"/>
        </w:rPr>
      </w:pPr>
    </w:p>
    <w:p>
      <w:pPr>
        <w:ind w:left="780" w:right="120" w:hanging="219"/>
        <w:spacing w:after="0" w:line="255" w:lineRule="auto"/>
        <w:tabs>
          <w:tab w:leader="none" w:pos="7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5" w:lineRule="exact"/>
        <w:rPr>
          <w:rFonts w:ascii="Arial" w:cs="Arial" w:eastAsia="Arial" w:hAnsi="Arial"/>
          <w:sz w:val="17"/>
          <w:szCs w:val="17"/>
          <w:color w:val="auto"/>
        </w:rPr>
      </w:pPr>
    </w:p>
    <w:p>
      <w:pPr>
        <w:ind w:left="780" w:right="26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780" w:right="120" w:hanging="219"/>
        <w:spacing w:after="0" w:line="24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102" w:lineRule="exact"/>
        <w:rPr>
          <w:rFonts w:ascii="Arial" w:cs="Arial" w:eastAsia="Arial" w:hAnsi="Arial"/>
          <w:sz w:val="18"/>
          <w:szCs w:val="18"/>
          <w:color w:val="auto"/>
        </w:rPr>
      </w:pPr>
    </w:p>
    <w:p>
      <w:pPr>
        <w:ind w:left="780" w:right="200" w:hanging="219"/>
        <w:spacing w:after="0" w:line="24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102" w:lineRule="exact"/>
        <w:rPr>
          <w:rFonts w:ascii="Arial" w:cs="Arial" w:eastAsia="Arial" w:hAnsi="Arial"/>
          <w:sz w:val="18"/>
          <w:szCs w:val="18"/>
          <w:color w:val="auto"/>
        </w:rPr>
      </w:pPr>
    </w:p>
    <w:p>
      <w:pPr>
        <w:ind w:left="780" w:right="200" w:hanging="219"/>
        <w:spacing w:after="0" w:line="274" w:lineRule="auto"/>
        <w:tabs>
          <w:tab w:leader="none" w:pos="7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80" w:lineRule="exact"/>
        <w:rPr>
          <w:rFonts w:ascii="Arial" w:cs="Arial" w:eastAsia="Arial" w:hAnsi="Arial"/>
          <w:sz w:val="17"/>
          <w:szCs w:val="17"/>
          <w:color w:val="auto"/>
        </w:rPr>
      </w:pPr>
    </w:p>
    <w:p>
      <w:pPr>
        <w:ind w:left="780" w:right="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108"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7"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interested stockholder status did own, 15% or more of the outstanding voting stock of the corporation.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26" w:lineRule="exact"/>
        <w:rPr>
          <w:sz w:val="20"/>
          <w:szCs w:val="20"/>
          <w:color w:val="auto"/>
        </w:rPr>
      </w:pPr>
    </w:p>
    <w:p>
      <w:pPr>
        <w:ind w:right="140" w:firstLine="562"/>
        <w:spacing w:after="0" w:line="248"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w:t>
      </w:r>
    </w:p>
    <w:p>
      <w:pPr>
        <w:spacing w:after="0" w:line="242" w:lineRule="auto"/>
        <w:rPr>
          <w:sz w:val="20"/>
          <w:szCs w:val="20"/>
          <w:color w:val="auto"/>
        </w:rPr>
      </w:pPr>
      <w:r>
        <w:rPr>
          <w:rFonts w:ascii="Arial" w:cs="Arial" w:eastAsia="Arial" w:hAnsi="Arial"/>
          <w:sz w:val="18"/>
          <w:szCs w:val="18"/>
          <w:color w:val="auto"/>
        </w:rPr>
        <w:t>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0"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20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203" w:lineRule="exact"/>
        <w:rPr>
          <w:sz w:val="20"/>
          <w:szCs w:val="20"/>
          <w:color w:val="auto"/>
        </w:rPr>
      </w:pPr>
    </w:p>
    <w:p>
      <w:pPr>
        <w:ind w:right="120" w:firstLine="562"/>
        <w:spacing w:after="0" w:line="250"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or more of our outstanding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described in “—Preferred Stock” above, our restated certificate will give our board of directors the authority, without further action</w:t>
      </w:r>
    </w:p>
    <w:p>
      <w:pPr>
        <w:ind w:right="260"/>
        <w:spacing w:after="0" w:line="246" w:lineRule="auto"/>
        <w:rPr>
          <w:sz w:val="20"/>
          <w:szCs w:val="20"/>
          <w:color w:val="auto"/>
        </w:rPr>
      </w:pPr>
      <w:r>
        <w:rPr>
          <w:rFonts w:ascii="Arial" w:cs="Arial" w:eastAsia="Arial" w:hAnsi="Arial"/>
          <w:sz w:val="18"/>
          <w:szCs w:val="18"/>
          <w:color w:val="auto"/>
        </w:rPr>
        <w:t>by our stockholders, to issue up to shares of preferred stock in one or more series, with any rights, preferences and privileges as they may designate, including the right to approve an acquisition or other change in control.</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2"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459" w:right="3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Forum</w:t>
      </w:r>
    </w:p>
    <w:p>
      <w:pPr>
        <w:spacing w:after="0" w:line="234"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102" w:lineRule="exact"/>
        <w:rPr>
          <w:sz w:val="20"/>
          <w:szCs w:val="20"/>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220" w:hanging="219"/>
        <w:spacing w:after="0" w:line="24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w:t>
      </w:r>
    </w:p>
    <w:p>
      <w:pPr>
        <w:spacing w:after="0" w:line="102" w:lineRule="exact"/>
        <w:rPr>
          <w:rFonts w:ascii="Arial" w:cs="Arial" w:eastAsia="Arial" w:hAnsi="Arial"/>
          <w:sz w:val="18"/>
          <w:szCs w:val="18"/>
          <w:color w:val="auto"/>
        </w:rPr>
      </w:pPr>
    </w:p>
    <w:p>
      <w:pPr>
        <w:ind w:left="780" w:right="100" w:hanging="219"/>
        <w:spacing w:after="0" w:line="24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102" w:lineRule="exact"/>
        <w:rPr>
          <w:rFonts w:ascii="Arial" w:cs="Arial" w:eastAsia="Arial" w:hAnsi="Arial"/>
          <w:sz w:val="18"/>
          <w:szCs w:val="18"/>
          <w:color w:val="auto"/>
        </w:rPr>
      </w:pPr>
    </w:p>
    <w:p>
      <w:pPr>
        <w:ind w:left="780" w:hanging="219"/>
        <w:spacing w:after="0" w:line="24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or</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2"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2"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cause of action arising under the Securities Act, subject to and contingent upon a final adjudication in the State of Delaware of the enforceability of such exclusive forum provision.</w:t>
      </w: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560"/>
        <w:spacing w:after="0"/>
        <w:tabs>
          <w:tab w:leader="none" w:pos="5840" w:val="left"/>
          <w:tab w:leader="none" w:pos="920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8"/>
          <w:szCs w:val="18"/>
          <w:color w:val="auto"/>
        </w:rPr>
        <w:t>.</w:t>
      </w:r>
    </w:p>
    <w:p>
      <w:pPr>
        <w:spacing w:after="0" w:line="29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“TSHA.”</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480"/>
          </w:cols>
          <w:pgMar w:left="320" w:top="459" w:right="10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on the number of shares outstanding as of June 30, 2020, upon the closing of this offering and assuming no exercise of the</w:t>
      </w:r>
    </w:p>
    <w:p>
      <w:pPr>
        <w:ind w:right="60"/>
        <w:spacing w:after="0" w:line="234" w:lineRule="auto"/>
        <w:rPr>
          <w:sz w:val="20"/>
          <w:szCs w:val="20"/>
          <w:color w:val="auto"/>
        </w:rPr>
      </w:pPr>
      <w:r>
        <w:rPr>
          <w:rFonts w:ascii="Arial" w:cs="Arial" w:eastAsia="Arial" w:hAnsi="Arial"/>
          <w:sz w:val="18"/>
          <w:szCs w:val="18"/>
          <w:color w:val="auto"/>
        </w:rPr>
        <w:t>underwriters’ option to purchase additional shares, shares of common stock will be outstanding, assuming no outstanding options are exercised. All of the shares of common stock sold in this offering will be freely tradable without restrictions or further registration under the Securities Act, except for any shares sold to our “affiliates,” as that term is defined under Rule 144 under the Securities Act. The</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203" w:lineRule="exact"/>
        <w:rPr>
          <w:sz w:val="20"/>
          <w:szCs w:val="20"/>
          <w:color w:val="auto"/>
        </w:rPr>
      </w:pPr>
    </w:p>
    <w:p>
      <w:pPr>
        <w:ind w:right="120" w:firstLine="562"/>
        <w:spacing w:after="0" w:line="246"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224" w:lineRule="exact"/>
        <w:rPr>
          <w:sz w:val="20"/>
          <w:szCs w:val="20"/>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none of the existing shares will be eligible for immediate sale upon the completion of this offering; and</w:t>
      </w:r>
    </w:p>
    <w:p>
      <w:pPr>
        <w:spacing w:after="0" w:line="238" w:lineRule="exact"/>
        <w:rPr>
          <w:rFonts w:ascii="Arial" w:cs="Arial" w:eastAsia="Arial" w:hAnsi="Arial"/>
          <w:sz w:val="18"/>
          <w:szCs w:val="18"/>
          <w:color w:val="auto"/>
        </w:rPr>
      </w:pPr>
    </w:p>
    <w:p>
      <w:pPr>
        <w:ind w:left="780" w:right="340" w:hanging="219"/>
        <w:spacing w:after="0"/>
        <w:tabs>
          <w:tab w:leader="none" w:pos="1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126" w:lineRule="exact"/>
        <w:rPr>
          <w:sz w:val="20"/>
          <w:szCs w:val="20"/>
          <w:color w:val="auto"/>
        </w:rPr>
      </w:pPr>
    </w:p>
    <w:p>
      <w:pPr>
        <w:ind w:right="240" w:firstLine="562"/>
        <w:spacing w:after="0" w:line="246"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02" w:lineRule="exact"/>
        <w:rPr>
          <w:sz w:val="20"/>
          <w:szCs w:val="20"/>
          <w:color w:val="auto"/>
        </w:rPr>
      </w:pPr>
    </w:p>
    <w:p>
      <w:pPr>
        <w:ind w:left="780" w:hanging="219"/>
        <w:spacing w:after="0" w:line="246"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220"/>
          </w:cols>
          <w:pgMar w:left="320" w:top="459" w:right="359" w:bottom="1440" w:gutter="0" w:footer="0" w:header="0"/>
        </w:sectPr>
      </w:pPr>
    </w:p>
    <w:p>
      <w:pPr>
        <w:spacing w:after="0" w:line="110" w:lineRule="exact"/>
        <w:rPr>
          <w:sz w:val="20"/>
          <w:szCs w:val="20"/>
          <w:color w:val="auto"/>
        </w:rPr>
      </w:pPr>
    </w:p>
    <w:p>
      <w:pPr>
        <w:ind w:left="780" w:hanging="219"/>
        <w:spacing w:after="0" w:line="274" w:lineRule="auto"/>
        <w:tabs>
          <w:tab w:leader="none" w:pos="760" w:val="left"/>
        </w:tabs>
        <w:rPr>
          <w:sz w:val="20"/>
          <w:szCs w:val="20"/>
          <w:color w:val="auto"/>
        </w:rPr>
      </w:pPr>
      <w:r>
        <w:rPr>
          <w:rFonts w:ascii="Arial" w:cs="Arial" w:eastAsia="Arial" w:hAnsi="Arial"/>
          <w:sz w:val="17"/>
          <w:szCs w:val="17"/>
          <w:color w:val="auto"/>
        </w:rPr>
        <w:t>•</w:t>
        <w:tab/>
        <w:t>1% of the number of shares of our common stock then outstanding, which will equal approximately after the completion of this offering based on the number of shares outstanding as of June 30, 2020; or</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w:t>
      </w:r>
    </w:p>
    <w:p>
      <w:pPr>
        <w:spacing w:after="0" w:line="319" w:lineRule="exact"/>
        <w:rPr>
          <w:sz w:val="20"/>
          <w:szCs w:val="20"/>
          <w:color w:val="auto"/>
        </w:rPr>
      </w:pPr>
    </w:p>
    <w:p>
      <w:pPr>
        <w:sectPr>
          <w:pgSz w:w="11900" w:h="16838" w:orient="portrait"/>
          <w:cols w:equalWidth="0" w:num="2">
            <w:col w:w="8940" w:space="560"/>
            <w:col w:w="1720"/>
          </w:cols>
          <w:pgMar w:left="320" w:top="459" w:right="359" w:bottom="1440" w:gutter="0" w:footer="0" w:header="0"/>
          <w:type w:val="continuous"/>
        </w:sectPr>
      </w:pPr>
    </w:p>
    <w:p>
      <w:pPr>
        <w:ind w:left="780" w:right="440" w:hanging="219"/>
        <w:spacing w:after="0" w:line="246" w:lineRule="auto"/>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97" w:lineRule="exact"/>
        <w:rPr>
          <w:sz w:val="20"/>
          <w:szCs w:val="20"/>
          <w:color w:val="auto"/>
        </w:rPr>
      </w:pPr>
    </w:p>
    <w:p>
      <w:pPr>
        <w:jc w:val="both"/>
        <w:ind w:right="140" w:firstLine="562"/>
        <w:spacing w:after="0"/>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S-8 Registration Statements</w:t>
      </w:r>
    </w:p>
    <w:p>
      <w:pPr>
        <w:spacing w:after="0" w:line="23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right="560" w:firstLine="562"/>
        <w:spacing w:after="0" w:line="246"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459" w:right="359" w:bottom="1440" w:gutter="0" w:footer="0" w:header="0"/>
          <w:type w:val="continuous"/>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Goldman Sachs &amp; Co. LLC, Morgan Stanley &amp; Co. LLC and Jefferies LLC for a period of 180 days from the date of this prospectus.</w:t>
      </w:r>
    </w:p>
    <w:p>
      <w:pPr>
        <w:spacing w:after="0" w:line="202" w:lineRule="exact"/>
        <w:rPr>
          <w:sz w:val="20"/>
          <w:szCs w:val="20"/>
          <w:color w:val="auto"/>
        </w:rPr>
      </w:pPr>
    </w:p>
    <w:p>
      <w:pPr>
        <w:ind w:right="360" w:firstLine="562"/>
        <w:spacing w:after="0" w:line="261"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an agreement with the holders of our convertible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Upon the closing of this offering, the holders of 25,647,048 shares of our common stock, including common stock issuable upon the conversion of our convertible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320" w:top="459" w:right="3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The following summary describes the material U.S. federal income tax consequences to Non-U.S. Holders (as defined below) of the acquisition, ownership and disposition of our common stock acquired in this offering. This summary is not a complete analysis of all potential U.S. federal income tax consequences relating thereto, and does not address Non-U.S. or U.S.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and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persons that hold more than 5% of our outstanding common stock, directly or indirectly during the applicable testing period (except to the extent specifically set forth below), “qualified foreign pension funds” as defined in Section 897(l)(2) of the Code and entities all of the interests of which are held by one or more qualified foreign pension funds, partnerships and other pass-through entities or arrangements, and investors in such pass-through entities or arrangements. Non-U.S. Holders are urged to consult their tax advisors to determine the U.S. federal, state, local and other tax consequences that may be relevant to them. Furthermore, the discussion below is based upon the provisions of the U.S. Internal Revenue Code of 1986, as amended, or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and will not request a ruling from the U.S. Internal Revenue Service, or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212"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(or entity or arrangement treated as partnership for U.S. federal income tax purposes)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0" w:lineRule="exact"/>
        <w:rPr>
          <w:sz w:val="20"/>
          <w:szCs w:val="20"/>
          <w:color w:val="auto"/>
        </w:rPr>
      </w:pPr>
    </w:p>
    <w:p>
      <w:pPr>
        <w:ind w:right="40" w:firstLine="562"/>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98"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For the purposes of this discussion, the term “Non-U.S. Holder” means, for U.S. federal income tax purposes, a beneficial owner of common stock that is not a partnership (or other entity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arrangement treated as a partnership for U.S. federal income tax purposes regardless of its place of organization or formation) and is not, for</w:t>
      </w:r>
    </w:p>
    <w:p>
      <w:pPr>
        <w:spacing w:after="0"/>
        <w:rPr>
          <w:sz w:val="20"/>
          <w:szCs w:val="20"/>
          <w:color w:val="auto"/>
        </w:rPr>
      </w:pPr>
      <w:r>
        <w:rPr>
          <w:rFonts w:ascii="Arial" w:cs="Arial" w:eastAsia="Arial" w:hAnsi="Arial"/>
          <w:sz w:val="18"/>
          <w:szCs w:val="18"/>
          <w:color w:val="auto"/>
        </w:rPr>
        <w:t>U.S. federal income tax purposes, any of the following:</w:t>
      </w:r>
    </w:p>
    <w:p>
      <w:pPr>
        <w:spacing w:after="0" w:line="117" w:lineRule="exact"/>
        <w:rPr>
          <w:sz w:val="20"/>
          <w:szCs w:val="20"/>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80" w:right="20" w:hanging="219"/>
        <w:spacing w:after="0" w:line="246" w:lineRule="auto"/>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78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780" w:right="100" w:hanging="219"/>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Treasury Regulations to be treated as a U.S. person.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As discussed under “Dividend Policy” above, we do not anticipate to declare or pay any cash dividends to holders of our common stock in the foreseeable future. Distributions, if any, made on our common stock to a Non-U.S. Holder to the extent made out of our current or accumulated earnings and profits (as determined under U.S. federal income tax principles) generally will constitute dividends for U.S. federal income tax purposes.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5"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properly executed IRS Form W-8BEN (in the case of individuals) or W-8BEN-E (in the case of entities), or other appropriate form, certifying the Non-U.S. Holder’s entitlement to benefits under such income tax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Non-U.S. Holder’s behalf, the Non-U.S. Holder will be required to provide appropriate documentation to such agent. The Non-U.S. Holder’s agent will then be required to provide certification to us or our paying agent, either directly or through other intermediaries. If a Non-U.S. Holder is eligible for a reduced rate of U.S. federal withholding tax under an income tax treaty and does not timely file the required certification, the Non-U.S. Holder may be able to obtain a refund or credit of any excess amounts withheld by timely filing an appropriate claim for a refund with the IRS. Non-U.S. Holders should consult their tax advisors regarding their entitlement to benefits under any applicable income tax treaties.</w:t>
      </w:r>
    </w:p>
    <w:p>
      <w:pPr>
        <w:spacing w:after="0" w:line="203"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if a properly executed IRS Form W-8ECI, stating that the dividends are effectively connected with the Non-U.S. Holder’s conduct of a trade or business within the United States, is furnished to us (or, if stock is held through a financial institution or other agent, to such agent).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general, such effectively connected dividends will be subject to U.S. federal income tax, on a net-income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right="140" w:firstLine="562"/>
        <w:spacing w:after="0" w:line="246"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w:t>
      </w:r>
    </w:p>
    <w:p>
      <w:pPr>
        <w:spacing w:after="0" w:line="102" w:lineRule="exact"/>
        <w:rPr>
          <w:sz w:val="20"/>
          <w:szCs w:val="20"/>
          <w:color w:val="auto"/>
        </w:rPr>
      </w:pPr>
    </w:p>
    <w:p>
      <w:pPr>
        <w:ind w:left="780" w:right="360" w:hanging="219"/>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required by an applicable income tax treaty, is attributable to a permanent establishment or fixed base that such holder maintains in the United States);</w:t>
      </w:r>
    </w:p>
    <w:p>
      <w:pPr>
        <w:spacing w:after="0" w:line="108" w:lineRule="exact"/>
        <w:rPr>
          <w:rFonts w:ascii="Arial" w:cs="Arial" w:eastAsia="Arial" w:hAnsi="Arial"/>
          <w:sz w:val="18"/>
          <w:szCs w:val="18"/>
          <w:color w:val="auto"/>
        </w:rPr>
      </w:pPr>
    </w:p>
    <w:p>
      <w:pPr>
        <w:ind w:left="780" w:hanging="219"/>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treated, for U.S. federal income tax purposes, as present in the United States for a period or periods aggregating to 183 or more days in the taxable year of the disposition and certain other conditions are met; or</w:t>
      </w:r>
    </w:p>
    <w:p>
      <w:pPr>
        <w:spacing w:after="0" w:line="108" w:lineRule="exact"/>
        <w:rPr>
          <w:rFonts w:ascii="Arial" w:cs="Arial" w:eastAsia="Arial" w:hAnsi="Arial"/>
          <w:sz w:val="18"/>
          <w:szCs w:val="18"/>
          <w:color w:val="auto"/>
        </w:rPr>
      </w:pPr>
    </w:p>
    <w:p>
      <w:pPr>
        <w:ind w:left="780" w:right="320" w:hanging="219"/>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or USRPI, by reason of our status as a “United States real property holding corporation,” or USRPHC, within the meaning of Section 897(c)(2) of the Code, for U.S. federal income tax purposes</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general, we would be a USRPHC if the fair market value of our U.S. real property interests comprise at least 50% of the sum of the fair market value of our worldwide real property assets and our other assets which are used or held for use in a trade or business. We believe that we have not been and we are not, and do not anticipate becoming, a USRPHC. Even if we are treated as a USRPHC, in general, gain realized by a Non-U.S. Holder on a disposition of our common stock will not be subject to U.S. federal income tax so long as (i) such Non-U.S. Holder owned, directly, indirectly and constructively, no more than 5% of our common stock at all times within the shorter of (x) the five-year period preceding such disposition or (y) such Non-U.S. Holder’s holding period and (ii) our common stock is regularly traded on an established securities market. There can be no assurance that our common stock will continue to qualify as regularly traded on an established securities market. If we are determined to be a USRPHC and the foregoing exception does not apply, then a Non-U.S. Holder will be taxed on a disposition of our common stock, generally, in the manner as gain that is effectively connected with the conduct of a U.S. trade or business (subject to the provisions under an applicable income tax treaty), except that the branch profits tax generally will not apply.</w:t>
      </w:r>
    </w:p>
    <w:p>
      <w:pPr>
        <w:spacing w:after="0" w:line="206"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A Non-U.S. Holder described in the first bullet point above generally will be subject to U.S. federal income tax on a net income basis at the regular rates, and corporate Non-U.S. Holders described in the first bullet point above may be subject to the additional branch profits tax at a 30% rate or such lower rate as may be specified by an applicable income tax treaty.</w:t>
      </w:r>
    </w:p>
    <w:p>
      <w:pPr>
        <w:spacing w:after="0" w:line="203"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Gain described in second bullet point above will be subject to U.S. federal income tax at a flat 30% rate or such lower rate as may be specified by an applicable income tax treaty, which gain may be offset by certain U.S.-source capital losses (even though the Non-U.S. Holder is not considered a resident of the United States), provided that the Non-U.S. Holder has timely filed U.S. federal income tax returns with respect to such losses.</w:t>
      </w:r>
    </w:p>
    <w:p>
      <w:pPr>
        <w:spacing w:after="0" w:line="205" w:lineRule="exact"/>
        <w:rPr>
          <w:sz w:val="20"/>
          <w:szCs w:val="20"/>
          <w:color w:val="auto"/>
        </w:rPr>
      </w:pPr>
    </w:p>
    <w:p>
      <w:pPr>
        <w:jc w:val="center"/>
        <w:ind w:right="320"/>
        <w:spacing w:after="0" w:line="418"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 193</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of the country in which the Non-U.S. Holder’s resides or is established.</w:t>
      </w:r>
    </w:p>
    <w:p>
      <w:pPr>
        <w:spacing w:after="0" w:line="205"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(currently at a rate of 24%). U.S. backup withholding generally will not apply to a Non-U.S. Holder who provides a properly executed IRS Form W-8BEN, IRS Form W-8BEN-E or IRS Form W-ECI (as applicable), or otherwise establishes an exemption. Notwithstanding the foregoing, backup withholding may apply if the payer has actual knowledge, or reason to know, that the holder is a U.S. person who is not an exempt recipient.</w:t>
      </w:r>
    </w:p>
    <w:p>
      <w:pPr>
        <w:spacing w:after="0" w:line="205"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Non-U.S.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207"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Accounts</w:t>
      </w:r>
    </w:p>
    <w:p>
      <w:pPr>
        <w:spacing w:after="0" w:line="234"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(subject to the proposed Treasury Regulations discussed below) the gross proceeds of a disposition of, our common stock paid to a non-U.S.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U.S. federal withholding tax of 30% on certain payments, including dividends paid on, and (subject to the proposed Treasury Regulations discussed below) the gross proceeds of a disposition of, our common stock to a non-financial non-U.S.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non-U.S. financial institution or non-financial non-U.S. entity otherwise qualifies for an exemption from the rules.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40" w:firstLine="562"/>
        <w:spacing w:after="0" w:line="246" w:lineRule="auto"/>
        <w:rPr>
          <w:sz w:val="20"/>
          <w:szCs w:val="20"/>
          <w:color w:val="auto"/>
        </w:rPr>
      </w:pPr>
      <w:r>
        <w:rPr>
          <w:rFonts w:ascii="Arial" w:cs="Arial" w:eastAsia="Arial" w:hAnsi="Arial"/>
          <w:sz w:val="18"/>
          <w:szCs w:val="18"/>
          <w:color w:val="auto"/>
        </w:rPr>
        <w:t>The withholding provisions described above currently apply to payments of dividends, and, subject to the proposed Treasury Regulations described below, to payments of gross proceeds from a sale or other disposition of common stock.</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U.S. Treasury Department released proposed Treasury Regulations which, if finalized in their present form, would eliminate the U.S. federal withholding tax of 30% applicable to the gross proceeds of a disposition of our common stock. In its preamble to such proposed Treasury Regulations, the U.S. Treasury Department stated that taxpayers, including withholding agents, may generally rely on the proposed Treasury Regulations until final Treasury Regulations are issued. Non-U.S. Holders are encouraged to consult with their tax advisors regarding the possible implications of FATCA on their investment in our common stock.</w:t>
      </w:r>
    </w:p>
    <w:p>
      <w:pPr>
        <w:spacing w:after="0" w:line="180" w:lineRule="exact"/>
        <w:rPr>
          <w:sz w:val="20"/>
          <w:szCs w:val="20"/>
          <w:color w:val="auto"/>
        </w:rPr>
      </w:pPr>
    </w:p>
    <w:p>
      <w:pPr>
        <w:ind w:right="300" w:firstLine="562"/>
        <w:spacing w:after="0" w:line="253" w:lineRule="auto"/>
        <w:rPr>
          <w:sz w:val="20"/>
          <w:szCs w:val="20"/>
          <w:color w:val="auto"/>
        </w:rPr>
      </w:pPr>
      <w:r>
        <w:rPr>
          <w:rFonts w:ascii="Arial" w:cs="Arial" w:eastAsia="Arial" w:hAnsi="Arial"/>
          <w:sz w:val="18"/>
          <w:szCs w:val="18"/>
          <w:b w:val="1"/>
          <w:bCs w:val="1"/>
          <w:color w:val="auto"/>
        </w:rPr>
        <w:t>EACH PROSPECTIVE INVESTOR SHOULD CONSULT ITS TAX ADVISOR REGARDING THE TAX CONSEQUENCES OF PURCHASING, HOLDING AND DISPOSING OF OUR COMMON STOCK, INCLUDING THE CONSEQUENCES OF ANY RECENT OR PROPOSED CHANGE IN APPLICABLE LAW.</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80"/>
          </w:cols>
          <w:pgMar w:left="320" w:top="459" w:right="3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Morgan Stanley &amp; Co. LLC and Jefferies LLC are the representatives of the underwriters.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500" w:type="dxa"/>
            <w:vAlign w:val="bottom"/>
          </w:tcPr>
          <w:p>
            <w:pPr>
              <w:jc w:val="center"/>
              <w:ind w:left="47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660" w:type="dxa"/>
            <w:vAlign w:val="bottom"/>
            <w:vMerge w:val="continue"/>
          </w:tcPr>
          <w:p>
            <w:pPr>
              <w:spacing w:after="0"/>
              <w:rPr>
                <w:sz w:val="15"/>
                <w:szCs w:val="15"/>
                <w:color w:val="auto"/>
              </w:rPr>
            </w:pPr>
          </w:p>
        </w:tc>
        <w:tc>
          <w:tcPr>
            <w:tcW w:w="5500" w:type="dxa"/>
            <w:vAlign w:val="bottom"/>
          </w:tcPr>
          <w:p>
            <w:pPr>
              <w:jc w:val="center"/>
              <w:ind w:left="47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Morgan Stanley &amp; Co. LLC</w:t>
      </w:r>
    </w:p>
    <w:p>
      <w:pPr>
        <w:spacing w:after="0" w:line="234" w:lineRule="auto"/>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-1905</wp:posOffset>
            </wp:positionV>
            <wp:extent cx="4718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jc w:val="both"/>
        <w:ind w:right="40" w:firstLine="562"/>
        <w:spacing w:after="0"/>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203"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ind w:right="400"/>
        <w:spacing w:after="0" w:line="243"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up to additional shares from us.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6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205"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05"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convertible into or exchangeable for shares of common stock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203"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The restrictions described in the immediately preceding paragraph do not apply to certain transfers, dispositions or transactions, including:</w:t>
      </w:r>
    </w:p>
    <w:p>
      <w:pPr>
        <w:spacing w:after="0" w:line="84" w:lineRule="exact"/>
        <w:rPr>
          <w:sz w:val="20"/>
          <w:szCs w:val="20"/>
          <w:color w:val="auto"/>
        </w:rPr>
      </w:pPr>
    </w:p>
    <w:p>
      <w:pPr>
        <w:ind w:left="1220" w:right="380" w:hanging="659"/>
        <w:spacing w:after="0" w:line="267"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as a charitable contribution; provided that the donee or donees thereof agree to be bound in writing by these restrictions; and provided further, that that any such transfer shall not involve a disposition for value;</w:t>
      </w:r>
    </w:p>
    <w:p>
      <w:pPr>
        <w:spacing w:after="0" w:line="83" w:lineRule="exact"/>
        <w:rPr>
          <w:rFonts w:ascii="Arial" w:cs="Arial" w:eastAsia="Arial" w:hAnsi="Arial"/>
          <w:sz w:val="18"/>
          <w:szCs w:val="18"/>
          <w:color w:val="auto"/>
        </w:rPr>
      </w:pPr>
    </w:p>
    <w:p>
      <w:pPr>
        <w:ind w:left="1220" w:right="160" w:hanging="659"/>
        <w:spacing w:after="0" w:line="23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holder or of any member of the immediate family of the holder, or if the holder is a trust, to a trustor, trustee (or co-trustee) or beneficiary of the trust or to the estate of the beneficiary of such trust; provided that the transferee agrees to be bound in writing by these restrictions; and provided further, that any such transfer shall not involve a disposition for value;</w:t>
      </w:r>
    </w:p>
    <w:p>
      <w:pPr>
        <w:spacing w:after="0" w:line="110" w:lineRule="exact"/>
        <w:rPr>
          <w:rFonts w:ascii="Arial" w:cs="Arial" w:eastAsia="Arial" w:hAnsi="Arial"/>
          <w:sz w:val="18"/>
          <w:szCs w:val="18"/>
          <w:color w:val="auto"/>
        </w:rPr>
      </w:pPr>
    </w:p>
    <w:p>
      <w:pPr>
        <w:ind w:left="1220" w:right="300" w:hanging="659"/>
        <w:spacing w:after="0" w:line="24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connection with the sale of any of the holder’s shares acquired (a) in this offering (other than any of our directed shares acquired by an officer or director of ours) or (b) in open market transactions after completion of this offering;</w:t>
      </w:r>
    </w:p>
    <w:p>
      <w:pPr>
        <w:spacing w:after="0" w:line="102" w:lineRule="exact"/>
        <w:rPr>
          <w:rFonts w:ascii="Arial" w:cs="Arial" w:eastAsia="Arial" w:hAnsi="Arial"/>
          <w:sz w:val="18"/>
          <w:szCs w:val="18"/>
          <w:color w:val="auto"/>
        </w:rPr>
      </w:pPr>
    </w:p>
    <w:p>
      <w:pPr>
        <w:ind w:left="1220" w:right="20" w:hanging="659"/>
        <w:spacing w:after="0" w:line="234"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holder is a corporation, partnership, limited liability company, trust or other business entity, (a) to any corporation, partnership limited liability company or other business entity, all of the beneficial ownership interests of which, in each such case, are held by the holder, (b) to another corporation, partnership, limited liability company, trust or other business entity that is an affiliate (as defined in Rule 405 promulgated under the Securities Act of the holder or the immediate family of the holder, or to any investment fund or other entity controlling, controlled by, managing or managed by or under common control with the holder or affiliates or immediate family of the holder (including, for the avoidance of doubt, if the holder is a partnership, to its general partner or a successor partnership or fund, or any other funds managed by such partnership), or</w:t>
      </w:r>
    </w:p>
    <w:p>
      <w:pPr>
        <w:spacing w:after="0" w:line="4" w:lineRule="exact"/>
        <w:rPr>
          <w:rFonts w:ascii="Arial" w:cs="Arial" w:eastAsia="Arial" w:hAnsi="Arial"/>
          <w:sz w:val="18"/>
          <w:szCs w:val="18"/>
          <w:color w:val="auto"/>
        </w:rPr>
      </w:pPr>
    </w:p>
    <w:p>
      <w:pPr>
        <w:ind w:left="1220" w:right="80"/>
        <w:spacing w:after="0" w:line="238" w:lineRule="auto"/>
        <w:rPr>
          <w:rFonts w:ascii="Arial" w:cs="Arial" w:eastAsia="Arial" w:hAnsi="Arial"/>
          <w:sz w:val="18"/>
          <w:szCs w:val="18"/>
          <w:color w:val="auto"/>
        </w:rPr>
      </w:pPr>
      <w:r>
        <w:rPr>
          <w:rFonts w:ascii="Arial" w:cs="Arial" w:eastAsia="Arial" w:hAnsi="Arial"/>
          <w:sz w:val="18"/>
          <w:szCs w:val="18"/>
          <w:color w:val="auto"/>
        </w:rPr>
        <w:t>(c) as part of a distribution, transfer or disposition without consideration by the holder to its stockholders, partners, members, beneficiaries or other equity holders; provided, however, that in the case of any transfer or disposition contemplated by this clause (iv), it shall be a condition to the transfer or disposition that the transferee agrees to be bound in writing by these restrictions;</w:t>
      </w:r>
    </w:p>
    <w:p>
      <w:pPr>
        <w:spacing w:after="0" w:line="110" w:lineRule="exact"/>
        <w:rPr>
          <w:rFonts w:ascii="Arial" w:cs="Arial" w:eastAsia="Arial" w:hAnsi="Arial"/>
          <w:sz w:val="18"/>
          <w:szCs w:val="18"/>
          <w:color w:val="auto"/>
        </w:rPr>
      </w:pPr>
    </w:p>
    <w:p>
      <w:pPr>
        <w:ind w:left="1220" w:hanging="659"/>
        <w:spacing w:after="0" w:line="237"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surrender or forfeiture of shares of common stock or other securities of ours to us to satisfy tax withholding obligations upon exercise or vesting or the exercise price upon a cashless net exercise, in each case, of stock options, restricted stock, other equity awards, warrants or other right to acquire common stock as described in this prospectus; provided that any filing under Section 16 of the Exchange Act shall indicate in the footnotes thereto that (A) the filing relates to the applicable circumstances described in this clause and (B) no securities were sold by the holder, and no other public announcement shall be required or shall be made voluntarily in connection with such transfer;</w:t>
      </w:r>
    </w:p>
    <w:p>
      <w:pPr>
        <w:spacing w:after="0" w:line="110" w:lineRule="exact"/>
        <w:rPr>
          <w:rFonts w:ascii="Arial" w:cs="Arial" w:eastAsia="Arial" w:hAnsi="Arial"/>
          <w:sz w:val="18"/>
          <w:szCs w:val="18"/>
          <w:color w:val="auto"/>
        </w:rPr>
      </w:pPr>
    </w:p>
    <w:p>
      <w:pPr>
        <w:ind w:left="1220" w:right="500" w:hanging="659"/>
        <w:spacing w:after="0" w:line="274" w:lineRule="auto"/>
        <w:tabs>
          <w:tab w:leader="none" w:pos="1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by will or intestacy, provided that any filing made under Exchange Act shall include a footnote noting the circumstances described in this clause; and provided further, that that any such transfer shall not involve a disposition for value;</w:t>
      </w:r>
    </w:p>
    <w:p>
      <w:pPr>
        <w:spacing w:after="0" w:line="80" w:lineRule="exact"/>
        <w:rPr>
          <w:rFonts w:ascii="Arial" w:cs="Arial" w:eastAsia="Arial" w:hAnsi="Arial"/>
          <w:sz w:val="17"/>
          <w:szCs w:val="17"/>
          <w:color w:val="auto"/>
        </w:rPr>
      </w:pPr>
    </w:p>
    <w:p>
      <w:pPr>
        <w:ind w:left="1220" w:right="420" w:hanging="659"/>
        <w:spacing w:after="0" w:line="24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immediate family member of the holder, provided that such family member agrees to be bound in writing by these restrictions; and provided further, that that any such transfer shall not involve a disposition for value;</w:t>
      </w:r>
    </w:p>
    <w:p>
      <w:pPr>
        <w:spacing w:after="0" w:line="102" w:lineRule="exact"/>
        <w:rPr>
          <w:rFonts w:ascii="Arial" w:cs="Arial" w:eastAsia="Arial" w:hAnsi="Arial"/>
          <w:sz w:val="18"/>
          <w:szCs w:val="18"/>
          <w:color w:val="auto"/>
        </w:rPr>
      </w:pPr>
    </w:p>
    <w:p>
      <w:pPr>
        <w:ind w:left="1220" w:right="540" w:hanging="659"/>
        <w:spacing w:after="0" w:line="24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us pursuant to an agreement under which we have (a) the option to repurchase such shares upon termination of the holder’s employment or other service relationship with us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320" w:top="459" w:right="3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40" w:right="180"/>
        <w:spacing w:after="0" w:line="246" w:lineRule="auto"/>
        <w:rPr>
          <w:sz w:val="20"/>
          <w:szCs w:val="20"/>
          <w:color w:val="auto"/>
        </w:rPr>
      </w:pPr>
      <w:r>
        <w:rPr>
          <w:rFonts w:ascii="Arial" w:cs="Arial" w:eastAsia="Arial" w:hAnsi="Arial"/>
          <w:sz w:val="18"/>
          <w:szCs w:val="18"/>
          <w:color w:val="auto"/>
        </w:rPr>
        <w:t>pursuant to contractual agreements with us as in effect as of the date of this prospectus, and provided further, that any filing made under Exchange Act shall include a footnote noting the circumstances described in this clause;</w:t>
      </w:r>
    </w:p>
    <w:p>
      <w:pPr>
        <w:spacing w:after="0" w:line="102" w:lineRule="exact"/>
        <w:rPr>
          <w:sz w:val="20"/>
          <w:szCs w:val="20"/>
          <w:color w:val="auto"/>
        </w:rPr>
      </w:pPr>
    </w:p>
    <w:p>
      <w:pPr>
        <w:ind w:left="1220" w:hanging="659"/>
        <w:spacing w:after="0" w:line="237"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operation of law or pursuant to a court order or settlement agreement related to the distribution of assets in connection with the dissolution of a marriage, domestic partnership or civil union, provided that such transferee or distributee agrees to be bound in writing by these restrictions; and provided further, that any required filing under Section 16 of the Exchange Act shall indicate in the footnotes thereto that (A) the filing relates to the circumstances described in this clause and (B) that no securities were sold by the holder, and no other public announcement shall be made voluntarily by the holder in connection with such transfer or disposition;</w:t>
      </w:r>
    </w:p>
    <w:p>
      <w:pPr>
        <w:spacing w:after="0" w:line="92" w:lineRule="exact"/>
        <w:rPr>
          <w:rFonts w:ascii="Arial" w:cs="Arial" w:eastAsia="Arial" w:hAnsi="Arial"/>
          <w:sz w:val="18"/>
          <w:szCs w:val="18"/>
          <w:color w:val="auto"/>
        </w:rPr>
      </w:pPr>
    </w:p>
    <w:p>
      <w:pPr>
        <w:ind w:left="1220" w:right="20" w:hanging="659"/>
        <w:spacing w:after="0" w:line="242"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tender offer, merger, consolidation or other similar transaction made to all holders of common stock, the result of which is that any “person” of greater than 50% of the total voting power of our voting share capital after the closing of this offering and approved by our board of directors; provided that in the event that the tender offer, merger, consolidation or other such transaction is not completed, the holder’s shares shall remain subject to these restrictions;</w:t>
      </w:r>
    </w:p>
    <w:p>
      <w:pPr>
        <w:spacing w:after="0" w:line="108" w:lineRule="exact"/>
        <w:rPr>
          <w:rFonts w:ascii="Arial" w:cs="Arial" w:eastAsia="Arial" w:hAnsi="Arial"/>
          <w:sz w:val="18"/>
          <w:szCs w:val="18"/>
          <w:color w:val="auto"/>
        </w:rPr>
      </w:pPr>
    </w:p>
    <w:p>
      <w:pPr>
        <w:ind w:left="1220" w:hanging="659"/>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the prior written consent of the representatives of the underwriters on behalf of the underwriters; and</w:t>
      </w:r>
    </w:p>
    <w:p>
      <w:pPr>
        <w:spacing w:after="0" w:line="117" w:lineRule="exact"/>
        <w:rPr>
          <w:rFonts w:ascii="Arial" w:cs="Arial" w:eastAsia="Arial" w:hAnsi="Arial"/>
          <w:sz w:val="18"/>
          <w:szCs w:val="18"/>
          <w:color w:val="auto"/>
        </w:rPr>
      </w:pPr>
    </w:p>
    <w:p>
      <w:pPr>
        <w:ind w:left="1220" w:right="100" w:hanging="659"/>
        <w:spacing w:after="0" w:line="238" w:lineRule="auto"/>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the conversion of outstanding shares of our convertible preferred stock into common stock as described in this prospectus, or any reclassification or conversion of the common stock; provided that any common stock received upon such conversion or reclassification will be subject to the restrictions set forth in this paragraph; and provided further, that any required filing under Section 16 of the Exchange Act shall indicate in the footnotes thereto that the filing relates to the circumstances described in this clause;</w:t>
      </w:r>
    </w:p>
    <w:p>
      <w:pPr>
        <w:spacing w:after="0" w:line="20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provided, that, in the case of clauses (i), (ii), (iii), (iv) and (vii) above, no filing under Section 16 of the Exchange Act reporting a reduction in beneficial ownership of the holder’s shares shall be required or shall be voluntarily made during the restricted period.</w:t>
      </w:r>
    </w:p>
    <w:p>
      <w:pPr>
        <w:spacing w:after="0" w:line="197" w:lineRule="exact"/>
        <w:rPr>
          <w:sz w:val="20"/>
          <w:szCs w:val="20"/>
          <w:color w:val="auto"/>
        </w:rPr>
      </w:pPr>
    </w:p>
    <w:p>
      <w:pPr>
        <w:ind w:right="220" w:firstLine="562"/>
        <w:spacing w:after="0"/>
        <w:rPr>
          <w:sz w:val="20"/>
          <w:szCs w:val="20"/>
          <w:color w:val="auto"/>
        </w:rPr>
      </w:pPr>
      <w:r>
        <w:rPr>
          <w:rFonts w:ascii="Arial" w:cs="Arial" w:eastAsia="Arial" w:hAnsi="Arial"/>
          <w:sz w:val="18"/>
          <w:szCs w:val="18"/>
          <w:color w:val="auto"/>
        </w:rPr>
        <w:t>Additionally, the holder may establish a trading plan pursuant to Rule 10b5-1 under the Exchange Act for the transfer of the holder’s shares, provided that such plan does not provide for any transfers of common stock during the restricted period and no filing under the Exchange Act nor any other public filing or disclosure of such trading plan shall be made during the restricted period.</w:t>
      </w:r>
    </w:p>
    <w:p>
      <w:pPr>
        <w:spacing w:after="0" w:line="203"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“TSHA”.</w:t>
      </w:r>
    </w:p>
    <w:p>
      <w:pPr>
        <w:spacing w:after="0" w:line="212"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06"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tabs>
          <w:tab w:leader="none" w:pos="20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 $30,000.</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12" w:lineRule="exact"/>
        <w:rPr>
          <w:sz w:val="20"/>
          <w:szCs w:val="20"/>
          <w:color w:val="auto"/>
        </w:rPr>
      </w:pPr>
    </w:p>
    <w:p>
      <w:pPr>
        <w:ind w:right="260" w:firstLine="562"/>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2" w:lineRule="exact"/>
        <w:rPr>
          <w:sz w:val="20"/>
          <w:szCs w:val="20"/>
          <w:color w:val="auto"/>
        </w:rPr>
      </w:pPr>
    </w:p>
    <w:p>
      <w:pPr>
        <w:ind w:right="160" w:firstLine="562"/>
        <w:spacing w:after="0" w:line="23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320" w:top="459" w:right="3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hold, or recommend to clients that they should acquire, long and/or short positions in such assets, securities and instruments.</w:t>
      </w:r>
    </w:p>
    <w:p>
      <w:pPr>
        <w:spacing w:after="0" w:line="21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Certain affiliates of Chardan Capital Markets, LLC purchased 333,333 shares of our Series A convertible preferred stock in our Series A convertible preferred stock financing. Those shares of Series A convertible preferred stock will convert into 333,333 shares of common stock immediately prior to and in connection with the completion of this offering.</w:t>
      </w:r>
    </w:p>
    <w:p>
      <w:pPr>
        <w:spacing w:after="0" w:line="203"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related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common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0" w:lineRule="exact"/>
        <w:rPr>
          <w:sz w:val="20"/>
          <w:szCs w:val="20"/>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or</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205"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205"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information on the terms of the offer and any Shares to be offered so as to enable an investor to decide to purchase or subscribe for any Shares, and the expression “Prospectus Regulation” means Regulation (EU) 2017/1129.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220" w:right="480" w:hanging="659"/>
        <w:spacing w:after="0" w:line="238"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us; and</w:t>
      </w:r>
    </w:p>
    <w:p>
      <w:pPr>
        <w:spacing w:after="0" w:line="110" w:lineRule="exact"/>
        <w:rPr>
          <w:rFonts w:ascii="Arial" w:cs="Arial" w:eastAsia="Arial" w:hAnsi="Arial"/>
          <w:sz w:val="18"/>
          <w:szCs w:val="18"/>
          <w:color w:val="auto"/>
        </w:rPr>
      </w:pPr>
    </w:p>
    <w:p>
      <w:pPr>
        <w:ind w:left="1220" w:right="80" w:hanging="659"/>
        <w:spacing w:after="0" w:line="246"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620" w:firstLine="562"/>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20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320" w:top="459" w:right="3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Goodwin Procter LLP, Boston, Massachusetts. As of the date of this prospectus, GC&amp;H Investments, LLC, an entity consisting of current and former partners and associates of Cooley LLP, beneficially holds an aggregate of 26,469 shares of our common stock on an as-converted basis.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220" w:firstLine="562"/>
        <w:spacing w:after="0" w:line="238" w:lineRule="auto"/>
        <w:rPr>
          <w:sz w:val="20"/>
          <w:szCs w:val="20"/>
          <w:color w:val="auto"/>
        </w:rPr>
      </w:pPr>
      <w:r>
        <w:rPr>
          <w:rFonts w:ascii="Arial" w:cs="Arial" w:eastAsia="Arial" w:hAnsi="Arial"/>
          <w:sz w:val="18"/>
          <w:szCs w:val="18"/>
          <w:color w:val="auto"/>
        </w:rPr>
        <w:t>The financial statements as of December 31, 2019 and for the period from September 20, 2019 (date of inception) through December 31, 2019,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ind w:right="320" w:firstLine="562"/>
        <w:spacing w:after="0" w:line="272"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Upon completion of this offering, we will be subject to the information reporting requirements of the Exchange Act, and we will file reports, proxy statements and other information with the SEC. These reports, proxy statements and other information will be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59"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 as of December 31, 2019 and for the period from September 20, 2019 (date of inception) through</w:t>
      </w: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4"/>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10700" w:type="dxa"/>
            <w:vAlign w:val="bottom"/>
            <w:gridSpan w:val="4"/>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Balance Sheet as of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10700" w:type="dxa"/>
            <w:vAlign w:val="bottom"/>
            <w:gridSpan w:val="4"/>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 of Operations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6"/>
        </w:trPr>
        <w:tc>
          <w:tcPr>
            <w:tcW w:w="10700" w:type="dxa"/>
            <w:vAlign w:val="bottom"/>
            <w:gridSpan w:val="4"/>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Statement of Stockholders’ Deficit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10700" w:type="dxa"/>
            <w:vAlign w:val="bottom"/>
            <w:gridSpan w:val="4"/>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Statement of Cash Flows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6"/>
        </w:trPr>
        <w:tc>
          <w:tcPr>
            <w:tcW w:w="10700" w:type="dxa"/>
            <w:vAlign w:val="bottom"/>
            <w:gridSpan w:val="4"/>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7"/>
        </w:trPr>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90"/>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Taysha Gene Therapies, Inc.</w:t>
            </w:r>
          </w:p>
        </w:tc>
        <w:tc>
          <w:tcPr>
            <w:tcW w:w="480" w:type="dxa"/>
            <w:vAlign w:val="bottom"/>
          </w:tcPr>
          <w:p>
            <w:pPr>
              <w:spacing w:after="0"/>
              <w:rPr>
                <w:sz w:val="24"/>
                <w:szCs w:val="24"/>
                <w:color w:val="auto"/>
              </w:rPr>
            </w:pPr>
          </w:p>
        </w:tc>
      </w:tr>
      <w:tr>
        <w:trPr>
          <w:trHeight w:val="239"/>
        </w:trPr>
        <w:tc>
          <w:tcPr>
            <w:tcW w:w="180" w:type="dxa"/>
            <w:vAlign w:val="bottom"/>
          </w:tcPr>
          <w:p>
            <w:pPr>
              <w:spacing w:after="0"/>
              <w:rPr>
                <w:sz w:val="20"/>
                <w:szCs w:val="20"/>
                <w:color w:val="auto"/>
              </w:rPr>
            </w:pPr>
          </w:p>
        </w:tc>
        <w:tc>
          <w:tcPr>
            <w:tcW w:w="105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Index to Unaudited Condensed Consolidated Financial Statements as of and for the Six Months Ended June 30, 2020</w:t>
            </w:r>
          </w:p>
        </w:tc>
        <w:tc>
          <w:tcPr>
            <w:tcW w:w="480" w:type="dxa"/>
            <w:vAlign w:val="bottom"/>
          </w:tcPr>
          <w:p>
            <w:pPr>
              <w:spacing w:after="0"/>
              <w:rPr>
                <w:sz w:val="20"/>
                <w:szCs w:val="20"/>
                <w:color w:val="auto"/>
              </w:rPr>
            </w:pPr>
          </w:p>
        </w:tc>
      </w:tr>
      <w:tr>
        <w:trPr>
          <w:trHeight w:val="445"/>
        </w:trPr>
        <w:tc>
          <w:tcPr>
            <w:tcW w:w="10700" w:type="dxa"/>
            <w:vAlign w:val="bottom"/>
            <w:gridSpan w:val="4"/>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Condensed Consolidated Balance Sheets as of December 31, 2019 and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Condensed Consolidated Statement of Operations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F-18</w:t>
            </w:r>
          </w:p>
        </w:tc>
      </w:tr>
      <w:tr>
        <w:trPr>
          <w:trHeight w:val="229"/>
        </w:trPr>
        <w:tc>
          <w:tcPr>
            <w:tcW w:w="10700" w:type="dxa"/>
            <w:vAlign w:val="bottom"/>
            <w:gridSpan w:val="4"/>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Condensed Consolidated Statement of Convertible Preferred Stock and Stockholders’ Deficit for the six months ended June</w:t>
              </w:r>
            </w:hyperlink>
          </w:p>
        </w:tc>
        <w:tc>
          <w:tcPr>
            <w:tcW w:w="480" w:type="dxa"/>
            <w:vAlign w:val="bottom"/>
          </w:tcPr>
          <w:p>
            <w:pPr>
              <w:spacing w:after="0"/>
              <w:rPr>
                <w:sz w:val="19"/>
                <w:szCs w:val="19"/>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96"/>
              </w:rPr>
            </w:pPr>
            <w:hyperlink w:anchor="page225">
              <w:r>
                <w:rPr>
                  <w:rFonts w:ascii="Arial" w:cs="Arial" w:eastAsia="Arial" w:hAnsi="Arial"/>
                  <w:sz w:val="18"/>
                  <w:szCs w:val="18"/>
                  <w:color w:val="0000EE"/>
                  <w:w w:val="96"/>
                </w:rPr>
                <w:t>30, 2020</w:t>
              </w:r>
            </w:hyperlink>
          </w:p>
        </w:tc>
        <w:tc>
          <w:tcPr>
            <w:tcW w:w="896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F-19</w:t>
            </w:r>
          </w:p>
        </w:tc>
      </w:tr>
      <w:tr>
        <w:trPr>
          <w:trHeight w:val="290"/>
        </w:trPr>
        <w:tc>
          <w:tcPr>
            <w:tcW w:w="10700" w:type="dxa"/>
            <w:vAlign w:val="bottom"/>
            <w:gridSpan w:val="4"/>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Condensed Consolidated Statement of Cash Flows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F-20</w:t>
            </w: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F-21</w:t>
            </w:r>
          </w:p>
        </w:tc>
      </w:tr>
      <w:tr>
        <w:trPr>
          <w:trHeight w:val="35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4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Taysha Gene Therapies, Inc.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have audited the accompanying balance sheet of Taysha Gene Therapies, Inc. (the “Company”) as of December 31, 2019, the related statements of operations, stockholders’ deficit, and cash flows for the period from September 20, 2019 (date of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September 20, 2019 (date of inception) through December 31, 2019,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ind w:right="280" w:firstLine="562"/>
        <w:spacing w:after="0" w:line="238"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July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459" w:right="3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Taysha Gene Therapies, Inc.</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360" w:type="dxa"/>
            <w:vAlign w:val="bottom"/>
          </w:tcPr>
          <w:p>
            <w:pPr>
              <w:jc w:val="center"/>
              <w:ind w:left="1790"/>
              <w:spacing w:after="0" w:line="202" w:lineRule="exact"/>
              <w:rPr>
                <w:sz w:val="20"/>
                <w:szCs w:val="20"/>
                <w:color w:val="auto"/>
              </w:rPr>
            </w:pPr>
            <w:r>
              <w:rPr>
                <w:rFonts w:ascii="Arial" w:cs="Arial" w:eastAsia="Arial" w:hAnsi="Arial"/>
                <w:sz w:val="18"/>
                <w:szCs w:val="18"/>
                <w:b w:val="1"/>
                <w:bCs w:val="1"/>
                <w:color w:val="auto"/>
              </w:rPr>
              <w:t>Balance Sheet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936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84"/>
        </w:trPr>
        <w:tc>
          <w:tcPr>
            <w:tcW w:w="9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3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9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w:t>
            </w:r>
          </w:p>
        </w:tc>
        <w:tc>
          <w:tcPr>
            <w:tcW w:w="102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10"/>
        </w:trPr>
        <w:tc>
          <w:tcPr>
            <w:tcW w:w="9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DEFICIT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102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w:t>
            </w:r>
          </w:p>
        </w:tc>
      </w:tr>
      <w:tr>
        <w:trPr>
          <w:trHeight w:val="209"/>
        </w:trPr>
        <w:tc>
          <w:tcPr>
            <w:tcW w:w="93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r>
      <w:tr>
        <w:trPr>
          <w:trHeight w:val="115"/>
        </w:trPr>
        <w:tc>
          <w:tcPr>
            <w:tcW w:w="9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8</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9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$0.00001 par value per share; 10,000,000 shares authorized, issued and outstanding as of</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December 31, 2019</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(1,115)</w:t>
            </w:r>
          </w:p>
        </w:tc>
      </w:tr>
      <w:tr>
        <w:trPr>
          <w:trHeight w:val="20"/>
        </w:trPr>
        <w:tc>
          <w:tcPr>
            <w:tcW w:w="9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stockholders’ deficit</w:t>
            </w:r>
          </w:p>
        </w:tc>
        <w:tc>
          <w:tcPr>
            <w:tcW w:w="102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w:t>
            </w:r>
          </w:p>
        </w:tc>
      </w:tr>
      <w:tr>
        <w:trPr>
          <w:trHeight w:val="20"/>
        </w:trPr>
        <w:tc>
          <w:tcPr>
            <w:tcW w:w="9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10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from</w:t>
            </w: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0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7"/>
                <w:szCs w:val="17"/>
                <w:color w:val="auto"/>
              </w:rPr>
            </w:pPr>
          </w:p>
        </w:tc>
      </w:tr>
      <w:tr>
        <w:trPr>
          <w:trHeight w:val="210"/>
        </w:trPr>
        <w:tc>
          <w:tcPr>
            <w:tcW w:w="101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(1,115)</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1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0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8,834,951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660" w:type="dxa"/>
            <w:vAlign w:val="bottom"/>
            <w:tcBorders>
              <w:bottom w:val="single" w:sz="8" w:color="auto"/>
            </w:tcBorders>
            <w:gridSpan w:val="4"/>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0"/>
        </w:trPr>
        <w:tc>
          <w:tcPr>
            <w:tcW w:w="49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Balance as of September 20, 2019 (date of</w:t>
            </w: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Issuance of Founders Shares</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 UT Southwestern</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license</w:t>
            </w:r>
          </w:p>
        </w:tc>
        <w:tc>
          <w:tcPr>
            <w:tcW w:w="12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(1,115)</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10,000,000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980</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(1,115)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0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Noncash research and development license expense</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14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01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40" w:type="dxa"/>
            <w:vAlign w:val="bottom"/>
          </w:tcPr>
          <w:p>
            <w:pPr>
              <w:spacing w:after="0"/>
              <w:rPr>
                <w:sz w:val="20"/>
                <w:szCs w:val="20"/>
                <w:color w:val="auto"/>
              </w:rPr>
            </w:pPr>
            <w:r>
              <w:rPr>
                <w:rFonts w:ascii="Arial" w:cs="Arial" w:eastAsia="Arial" w:hAnsi="Arial"/>
                <w:sz w:val="18"/>
                <w:szCs w:val="18"/>
                <w:b w:val="1"/>
                <w:bCs w:val="1"/>
                <w:color w:val="auto"/>
              </w:rPr>
              <w:t>Cash at the end of the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140" w:type="dxa"/>
            <w:vAlign w:val="bottom"/>
          </w:tcPr>
          <w:p>
            <w:pPr>
              <w:spacing w:after="0"/>
              <w:rPr>
                <w:sz w:val="20"/>
                <w:szCs w:val="20"/>
                <w:color w:val="auto"/>
              </w:rPr>
            </w:pPr>
            <w:r>
              <w:rPr>
                <w:rFonts w:ascii="Arial" w:cs="Arial" w:eastAsia="Arial" w:hAnsi="Arial"/>
                <w:sz w:val="18"/>
                <w:szCs w:val="18"/>
                <w:color w:val="auto"/>
              </w:rPr>
              <w:t>Deferred offering costs not yet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212"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(“CNS”) in both rare and large patient populations.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December 31, 2019, the Company had an accumulated deficit of $1.1 million.</w:t>
      </w:r>
    </w:p>
    <w:p>
      <w:pPr>
        <w:spacing w:after="0" w:line="197" w:lineRule="exact"/>
        <w:rPr>
          <w:sz w:val="20"/>
          <w:szCs w:val="20"/>
          <w:color w:val="auto"/>
        </w:rPr>
      </w:pPr>
    </w:p>
    <w:p>
      <w:pPr>
        <w:ind w:right="340" w:firstLine="562"/>
        <w:spacing w:after="0"/>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In July 2020, the Company closed on the sale of an aggregate of 5,623,520 shares of Series B convertible preferred stock for gross proceeds of approximately $95.6 million.</w:t>
      </w:r>
    </w:p>
    <w:p>
      <w:pPr>
        <w:spacing w:after="0" w:line="203"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(“GAAP”) and include all adjustments necessary for the fair presentation of the Company’s financial position for the period presented.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26" w:lineRule="exact"/>
        <w:rPr>
          <w:sz w:val="20"/>
          <w:szCs w:val="20"/>
          <w:color w:val="auto"/>
        </w:rPr>
      </w:pPr>
    </w:p>
    <w:p>
      <w:pPr>
        <w:ind w:right="220" w:firstLine="562"/>
        <w:spacing w:after="0" w:line="23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estimating preclinical manufacturing accruals and accrued or prepaid research and development expenses, and the valuation allowance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205"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capitalizes certain legal, professional, accounting and other third-party fees that are directly</w:t>
      </w:r>
    </w:p>
    <w:p>
      <w:pPr>
        <w:ind w:right="60"/>
        <w:spacing w:after="0" w:line="238" w:lineRule="auto"/>
        <w:rPr>
          <w:sz w:val="20"/>
          <w:szCs w:val="20"/>
          <w:color w:val="auto"/>
        </w:rPr>
      </w:pPr>
      <w:r>
        <w:rPr>
          <w:rFonts w:ascii="Arial" w:cs="Arial" w:eastAsia="Arial" w:hAnsi="Arial"/>
          <w:sz w:val="18"/>
          <w:szCs w:val="18"/>
          <w:color w:val="auto"/>
        </w:rPr>
        <w:t>associated with in-process equity financings as deferred offering costs until such financings are consummated. After consummation of the equity financing, these costs are recorded in stockholders’ deficit as a reduction of additional paid-in capital generated as a result of the equity financing. Should the in-process equity financing be abandoned, the deferred offering costs will be expensed immediately as a charge to operating expenses in the statement of operations. As of December 31, 2019, $15,000 of deferred offering costs were capitalized on the balance sheet related to the Company’s Series A convertible preferred stock financing that closed in March 2020 (see Note 9).</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9" w:right="3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licenses.</w:t>
      </w:r>
    </w:p>
    <w:p>
      <w:pPr>
        <w:spacing w:after="0" w:line="212" w:lineRule="exact"/>
        <w:rPr>
          <w:sz w:val="20"/>
          <w:szCs w:val="20"/>
          <w:color w:val="auto"/>
        </w:rPr>
      </w:pPr>
    </w:p>
    <w:p>
      <w:pPr>
        <w:ind w:right="180" w:firstLine="562"/>
        <w:spacing w:after="0" w:line="24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8"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spacing w:after="0" w:line="206"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At December 31, 2019, the Company had no liability for income tax associated with uncertain tax positions. The Company would recognize any corresponding interest and penalties associated with its income tax positions in income tax expense. There was no income tax interest or penalties incurred in 2019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300" w:firstLine="562"/>
        <w:spacing w:after="0" w:line="246" w:lineRule="auto"/>
        <w:rPr>
          <w:sz w:val="20"/>
          <w:szCs w:val="20"/>
          <w:color w:val="auto"/>
        </w:rPr>
      </w:pPr>
      <w:r>
        <w:rPr>
          <w:rFonts w:ascii="Arial" w:cs="Arial" w:eastAsia="Arial" w:hAnsi="Arial"/>
          <w:sz w:val="18"/>
          <w:szCs w:val="18"/>
          <w:color w:val="auto"/>
        </w:rPr>
        <w:t>Comprehensive loss is equal to net loss as presented in the accompanying statement of operations, as the Company did not have any other comprehensive income or loss for the period presented.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320" w:top="459"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6"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during the period. Diluted net loss per share is the same as basic net loss per share, since the effects of potentially dilutive securities are antidilutive given the Company has reported a net loss in 2019 since Inception. There were no potentially dilutive securities outstanding at any point during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 xml:space="preserve">In May 2014, the FASB issued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The Company early adopted ASC 606 upon its Inception. As the Company does not have any contracts with customers, the adoption of this guidance did not have any impact on the Company’s financial statements.</w:t>
      </w:r>
    </w:p>
    <w:p>
      <w:pPr>
        <w:spacing w:after="0" w:line="187"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 xml:space="preserve">In June 2018, the FASB issued Accounting Standards Update (“ASU”) No. 2018-07,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(“ASU 2018-07”).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ASU 2018-07 upon its Inception. The adoption of this ASU did not have a material effect on the Company’s financial statements at Inception. The Company applied this accounting pronouncement to the issuance of shares to the Board of Regents of the University of Texas System (see Note 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8"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financial statements.</w:t>
      </w:r>
    </w:p>
    <w:p>
      <w:pPr>
        <w:spacing w:after="0" w:line="184" w:lineRule="exact"/>
        <w:rPr>
          <w:sz w:val="20"/>
          <w:szCs w:val="20"/>
          <w:color w:val="auto"/>
        </w:rPr>
      </w:pPr>
    </w:p>
    <w:p>
      <w:pPr>
        <w:ind w:right="480" w:firstLine="562"/>
        <w:spacing w:after="0" w:line="24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beginning after December 15, 2020, with early adoption permitted. The Company is currently evaluating the impact of this standard on its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3—Research, Collaboration and License Agreements</w:t>
      </w:r>
    </w:p>
    <w:p>
      <w:pPr>
        <w:spacing w:after="0" w:line="126"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08"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20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02"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As partial consideration for the license rights granted under the UT Southwestern Agreement, the Company issued 2,000,000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 In 2019, total pass-through costs related to the UT Southwestern Agreement totaled approximately $16,000.</w:t>
      </w:r>
    </w:p>
    <w:p>
      <w:pPr>
        <w:spacing w:after="0" w:line="203" w:lineRule="exact"/>
        <w:rPr>
          <w:sz w:val="20"/>
          <w:szCs w:val="20"/>
          <w:color w:val="auto"/>
        </w:rPr>
      </w:pPr>
    </w:p>
    <w:p>
      <w:pPr>
        <w:ind w:right="200" w:firstLine="562"/>
        <w:spacing w:after="0" w:line="24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9" w:right="3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right="120" w:firstLine="562"/>
        <w:spacing w:after="0" w:line="236" w:lineRule="auto"/>
        <w:rPr>
          <w:sz w:val="20"/>
          <w:szCs w:val="20"/>
          <w:color w:val="auto"/>
        </w:rPr>
      </w:pPr>
      <w:r>
        <w:rPr>
          <w:rFonts w:ascii="Arial" w:cs="Arial" w:eastAsia="Arial" w:hAnsi="Arial"/>
          <w:sz w:val="18"/>
          <w:szCs w:val="18"/>
          <w:color w:val="auto"/>
        </w:rPr>
        <w:t>The fair value of the shares issued was determined to be $980,000 which was recorded as an increase to common stock and additional paid-in capital and a corresponding research and development expense during the period from Inception through December 31, 2019. The cost to acquire this license is recorded within research and development expense in the statement of operations because the license relates to specific preclinical research and development activities that do not have an alternative future use. As the acquisition of the license was settled through the issuance of shares of the Company’s common stock, this transaction fell within the scope of ASC Topic 718 since equity was issued in exchange for goods (the license). Specifically, the Company recorded the cost of the license as a non-employee share based payment, measured at the grant date fair value of the common stock of $0.49 per share. The common shares were equity-classified. The anti-dilution provision was concluded to represent a performance condition tied to a future liquidity event, which was not considered probable of occurring at December 31, 2019 since it was deemed outside of the Company’s control.</w:t>
      </w:r>
    </w:p>
    <w:p>
      <w:pPr>
        <w:spacing w:after="0" w:line="207"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Since there is an absence of a public trading market for the Company’s common stock, the valuation of the common stock issued to UT System was performed using methodologies, approaches, and assumptions consistent with the American Institute of Certified Public Accountants Audit and Accounting Practice Aid Series: Valuation of Privately-Held-Company Equity Securities Issued as Compensation. The estimated fair value of the Company’s common stock was determined with the assistance of a third-party specialist using an Option-Pricing Method (“OPM”). Under the OPM, the Company used a backsolve method so that the enterprise value equaled the contemplated value of the Company determined by the Series A convertible preferred stock financing transaction which initially closed on March 4, 2020 (see Note 9), and giving consideration to any value-generating events that may have occurred between March 4, 2020 and the date the common shares were issued to UT System on November 19, 2019. A discount for lack of marketability (“DLOM”) of 20% was applied to derive the valuation price. The DLOM used was derived from the then-current estimates of the time to a liquidity event made by the Company’s board of directors, with input from the Company’s senior management. The estimates are based, in part, on subjective assumptions.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Grant Agreement</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5). For the period from Inception through December 31, 2019, the Company did not incur any expenses associated with the Queen’s RGA, and no amounts were due or outstanding under the Note as of December 31,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126"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Company, and in the event of the Company’s failure to fund its obligations under the RGA with Queen’s, has personally guaranteed payments due by the Company to Queen’s.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Deficit</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At December 31, 2019, the Company was authorized to issue 10,000,000 shares of common stock with a par value of $0.00001 per share. RA Session II and one other individual were issued 7,950,000 and 50,000 shares of the Company’s common stock (“Founders Shares”), respectively, upon the formation of the Company on September 20, 2019. RA Session II and the other individual had not paid the Company for the aggregate par value, which approximated fair value at Inception, for these Founders Shares as of December 31, 2019. All amounts owed for the issuance of these Founders Shares were settled in July 2020.</w:t>
      </w:r>
    </w:p>
    <w:p>
      <w:pPr>
        <w:spacing w:after="0" w:line="202"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On November 19, 2019, the Company issued 2,000,000 shares of the Company’s common stock to UT System in exchange for a license agreement. The fair value of the shares on the date of issuance was $980,000 in the aggregate.</w:t>
      </w:r>
    </w:p>
    <w:p>
      <w:pPr>
        <w:spacing w:after="0" w:line="197"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Except for the issuance of common stock to UT System in connection with the UT Southwestern Agreement, the Company did not grant any equity-based awards during the period from its Inception through December 31, 2019.</w:t>
      </w:r>
    </w:p>
    <w:p>
      <w:pPr>
        <w:spacing w:after="0" w:line="197"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30,000,000, and the total number of shares of preferred stock authorized to be issued was increased to 15,647,052, of which 10,000,000 preferred shares are designated Series A preferred stock and 5,647,052 are designated Series B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2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valuation allowance</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2019, the Company’s most significant deferred tax asset is intangible costs capitalized for income tax purposes but expensed for financial reporting. At December 31, 2019, the Company had no U.S. federal and state NOL carryforwards.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statutory federal income tax rate to the Company’s effective tax rate is as follows: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valuation allowance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significant components of the Company’s net deferred tax asset are as follows (in thousands):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60"/>
        <w:spacing w:after="0" w:line="234" w:lineRule="auto"/>
        <w:rPr>
          <w:sz w:val="20"/>
          <w:szCs w:val="20"/>
          <w:color w:val="auto"/>
        </w:rPr>
      </w:pPr>
      <w:r>
        <w:rPr>
          <w:rFonts w:ascii="Arial" w:cs="Arial" w:eastAsia="Arial" w:hAnsi="Arial"/>
          <w:sz w:val="18"/>
          <w:szCs w:val="18"/>
          <w:color w:val="auto"/>
        </w:rPr>
        <w:t>Organizational and start-up costs</w:t>
      </w:r>
    </w:p>
    <w:p>
      <w:pPr>
        <w:ind w:left="360"/>
        <w:spacing w:after="0" w:line="236" w:lineRule="auto"/>
        <w:rPr>
          <w:sz w:val="20"/>
          <w:szCs w:val="20"/>
          <w:color w:val="auto"/>
        </w:rPr>
      </w:pPr>
      <w:r>
        <w:rPr>
          <w:rFonts w:ascii="Arial" w:cs="Arial" w:eastAsia="Arial" w:hAnsi="Arial"/>
          <w:sz w:val="18"/>
          <w:szCs w:val="18"/>
          <w:color w:val="auto"/>
        </w:rPr>
        <w:t>R&amp;D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For the period from</w:t>
      </w:r>
    </w:p>
    <w:p>
      <w:pPr>
        <w:spacing w:after="0" w:line="1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September 20, 2019</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(date of inception) to</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 2019</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21.0%</w:t>
      </w:r>
    </w:p>
    <w:p>
      <w:pPr>
        <w:jc w:val="right"/>
        <w:ind w:right="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086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086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9086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2019</w:t>
      </w:r>
    </w:p>
    <w:p>
      <w:pPr>
        <w:spacing w:after="0" w:line="193" w:lineRule="exact"/>
        <w:rPr>
          <w:sz w:val="20"/>
          <w:szCs w:val="20"/>
          <w:color w:val="auto"/>
        </w:rPr>
      </w:pPr>
    </w:p>
    <w:p>
      <w:pPr>
        <w:ind w:left="1380" w:hanging="747"/>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28</w:t>
      </w:r>
    </w:p>
    <w:p>
      <w:pPr>
        <w:ind w:left="1280"/>
        <w:spacing w:after="0" w:line="235" w:lineRule="auto"/>
        <w:rPr>
          <w:rFonts w:ascii="Arial" w:cs="Arial" w:eastAsia="Arial" w:hAnsi="Arial"/>
          <w:sz w:val="18"/>
          <w:szCs w:val="18"/>
          <w:color w:val="auto"/>
        </w:rPr>
      </w:pPr>
      <w:r>
        <w:rPr>
          <w:rFonts w:ascii="Arial" w:cs="Arial" w:eastAsia="Arial" w:hAnsi="Arial"/>
          <w:sz w:val="18"/>
          <w:szCs w:val="18"/>
          <w:color w:val="auto"/>
        </w:rPr>
        <w:t>206</w:t>
      </w:r>
    </w:p>
    <w:p>
      <w:pPr>
        <w:spacing w:after="0" w:line="1" w:lineRule="exact"/>
        <w:rPr>
          <w:sz w:val="20"/>
          <w:szCs w:val="20"/>
          <w:color w:val="auto"/>
        </w:rPr>
      </w:pPr>
    </w:p>
    <w:p>
      <w:pPr>
        <w:sectPr>
          <w:pgSz w:w="11900" w:h="16838" w:orient="portrait"/>
          <w:cols w:equalWidth="0" w:num="2">
            <w:col w:w="8820" w:space="720"/>
            <w:col w:w="170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018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w:t>
            </w:r>
          </w:p>
        </w:tc>
      </w:tr>
      <w:tr>
        <w:trPr>
          <w:trHeight w:val="210"/>
        </w:trPr>
        <w:tc>
          <w:tcPr>
            <w:tcW w:w="1018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r>
      <w:tr>
        <w:trPr>
          <w:trHeight w:val="20"/>
        </w:trPr>
        <w:tc>
          <w:tcPr>
            <w:tcW w:w="10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The Company may be entitled to claim federal and state income tax credits for its 2019 R&amp;D activities, but these amounts have not yet been determined. Any R&amp;D Credits generated by the Company in 2019 would result in an additional deferred tax asset that would be subject to a full valuation allowance. Future changes in ownership may limit the utilization of R&amp;D Credits due to Section 383 of the Internal Revenue Code of 1986, as amended, and similar provisions.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initial tax year was 2019, which remains open for the assessment of income taxes.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6" w:lineRule="exact"/>
        <w:rPr>
          <w:sz w:val="20"/>
          <w:szCs w:val="20"/>
          <w:color w:val="auto"/>
        </w:rPr>
      </w:pPr>
    </w:p>
    <w:p>
      <w:pPr>
        <w:ind w:right="380" w:firstLine="562"/>
        <w:spacing w:after="0" w:line="24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Company was not a party to any leasing agreements.</w:t>
      </w:r>
    </w:p>
    <w:p>
      <w:pPr>
        <w:spacing w:after="0" w:line="212" w:lineRule="exact"/>
        <w:rPr>
          <w:sz w:val="20"/>
          <w:szCs w:val="20"/>
          <w:color w:val="auto"/>
        </w:rPr>
      </w:pPr>
    </w:p>
    <w:p>
      <w:pPr>
        <w:jc w:val="both"/>
        <w:ind w:right="400" w:firstLine="562"/>
        <w:spacing w:after="0"/>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December 31, 2019. The Company does not anticipate recognizing any significant losses relating to these arrangements.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26" w:lineRule="exact"/>
        <w:rPr>
          <w:sz w:val="20"/>
          <w:szCs w:val="20"/>
          <w:color w:val="auto"/>
        </w:rPr>
      </w:pPr>
    </w:p>
    <w:p>
      <w:pPr>
        <w:jc w:val="both"/>
        <w:ind w:right="120" w:firstLine="562"/>
        <w:spacing w:after="0"/>
        <w:rPr>
          <w:sz w:val="20"/>
          <w:szCs w:val="20"/>
          <w:color w:val="auto"/>
        </w:rPr>
      </w:pPr>
      <w:r>
        <w:rPr>
          <w:rFonts w:ascii="Arial" w:cs="Arial" w:eastAsia="Arial" w:hAnsi="Arial"/>
          <w:sz w:val="18"/>
          <w:szCs w:val="18"/>
          <w:color w:val="auto"/>
        </w:rPr>
        <w:t>The Company has evaluated subsequent events through July 31, 2020, the date that these financial statements were issued. Except for the matters disclosed below and in Note 6, no additional subsequent events had occurred that would require recognition or disclosure in these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22"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8"/>
          <w:szCs w:val="18"/>
          <w:color w:val="auto"/>
        </w:rPr>
        <w:t>In January 2020, the Company entered into a secured promissory note with a related party, its President and Chief Executive Officer, RA Session II, for $1.67 million, with 10% interest. The Company secured the note with a first priority security interest in certain assets of the Company. During March 2020, the Company repaid $1.65 million of the note, and the remaining balance was repaid in July 2020. As a result, Mr. Session released his security interest in the collateral.</w:t>
      </w:r>
    </w:p>
    <w:p>
      <w:pPr>
        <w:spacing w:after="0" w:line="20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March 2020, the Company entered into a services agreement with PBM Capital Group, LLC, an affiliate of PBM TGT Holdings, LLC (the lead investor in the Company’s Series A preferred stock financing discussed below, and who has the ability to designate two members of the Company’s board of directors), whereby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22"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and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21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9" w:right="3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22" w:lineRule="exact"/>
        <w:rPr>
          <w:sz w:val="20"/>
          <w:szCs w:val="20"/>
          <w:color w:val="auto"/>
        </w:rPr>
      </w:pPr>
    </w:p>
    <w:p>
      <w:pPr>
        <w:ind w:right="100" w:firstLine="562"/>
        <w:spacing w:after="0" w:line="236" w:lineRule="auto"/>
        <w:rPr>
          <w:sz w:val="20"/>
          <w:szCs w:val="20"/>
          <w:color w:val="auto"/>
        </w:rPr>
      </w:pPr>
      <w:r>
        <w:rPr>
          <w:rFonts w:ascii="Arial" w:cs="Arial" w:eastAsia="Arial" w:hAnsi="Arial"/>
          <w:sz w:val="18"/>
          <w:szCs w:val="18"/>
          <w:color w:val="auto"/>
        </w:rPr>
        <w:t>On March 4, 2020, the Company issued and sold 6,000,000 shares of its Series A convertible preferred stock for $18.0 million, or $3.00 per share. The Company also agreed to sell an additional 4,000,000 shares of its Series A convertible preferred stock to these same investors for the same price per share upon the attainment of certain defined clinical milestones. Moreover, such investors had the right, in their sole discretion, to purchase any or all such additional shares whether or not the Company achieved the specified milestones. In June and July 2020, such investors exercised in full their option to purchase these additional shares prior to the achievement of such milestones, and the Company issued and sold to such investors an aggregate of 4,000,000 shares of Series A convertible preferred stock at a purchase price of $3.00 per share for aggregate gross proceeds of $12.0 million. The Company issued and sold 8,166,667 shares to PBM TGT Holdings, LLC and 1,000,000 shares issued to Nolan Capital, LLC which are controlled by members of the Company’s board of directors.</w:t>
      </w:r>
    </w:p>
    <w:p>
      <w:pPr>
        <w:spacing w:after="0" w:line="208"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As of July 31, 2020, the Company had sold 5,623,520 of Series B convertible preferred stock at a price of $ 17.00 per share in multiple closings during the month of July for gross proceeds of approximately $95.6 million. The majority of investors that participated in the Series B Purchase Agreement were new investors.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22"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205"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On July 1, 2020, options to purchase 2,658,822 shares of common stock under the 2020 Plan were awarded to certain employees and consultants of the Company with an exercise price per share of $0.87, which are generally expected to vest over a 4-year term. RA Session II was also awarded 705,882 restricted stock awards under the 2020 Plan on July 1, 2020, which are expected to vest over a 3-year term.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2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mediating various restrictions, including travel restrictions, restrictions on public gatherings, stay at home orders, and advisories and quarantining people who may have been exposed to the virus. Management is currently evaluating the impact of the COVID-19 pandemic on its future plans and has concluded that while it is reasonably possible that the virus could have a negative effect on the Company’s financial position and results of its operations, the specific impact is not readily determinable as of the date of these financial statements.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9" w:right="3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4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11,200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11,299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11,318</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1,250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1,603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to related party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61</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Preferred stock tranche liability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17,176</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20,090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20,090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9</w:t>
            </w: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Convertible preferred stock</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$0.00001 par value per share; no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December 31, 2019; 10,000,000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shares issued and outstanding as of June 30, 2020; no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issued or outstanding pro forma as of June 30, 2020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18,014</w:t>
            </w:r>
          </w:p>
        </w:tc>
        <w:tc>
          <w:tcPr>
            <w:tcW w:w="8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$0.00001 par value per share; 10,000,000 authorized, issued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as of December 31, 2019; 23,000,000 shares authorized, 10,000,000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June 30, 2020; 23,000,000 shares authorized, 16,200,000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issued and outstanding pro forma as of June 30, 2020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980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18,994</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(27,766)</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4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(26,786)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(8,772)</w:t>
            </w: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11,318</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75"/>
        </w:trPr>
        <w:tc>
          <w:tcPr>
            <w:tcW w:w="10100" w:type="dxa"/>
            <w:vAlign w:val="bottom"/>
          </w:tcPr>
          <w:p>
            <w:pPr>
              <w:spacing w:after="0"/>
              <w:rPr>
                <w:sz w:val="15"/>
                <w:szCs w:val="15"/>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83"/>
        </w:trPr>
        <w:tc>
          <w:tcPr>
            <w:tcW w:w="10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2"/>
        </w:trPr>
        <w:tc>
          <w:tcPr>
            <w:tcW w:w="101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8,576</w:t>
            </w:r>
          </w:p>
        </w:tc>
        <w:tc>
          <w:tcPr>
            <w:tcW w:w="100" w:type="dxa"/>
            <w:vAlign w:val="bottom"/>
          </w:tcPr>
          <w:p>
            <w:pPr>
              <w:spacing w:after="0"/>
              <w:rPr>
                <w:sz w:val="17"/>
                <w:szCs w:val="17"/>
                <w:color w:val="auto"/>
              </w:rPr>
            </w:pPr>
          </w:p>
        </w:tc>
      </w:tr>
      <w:tr>
        <w:trPr>
          <w:trHeight w:val="203"/>
        </w:trPr>
        <w:tc>
          <w:tcPr>
            <w:tcW w:w="10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10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r>
      <w:tr>
        <w:trPr>
          <w:trHeight w:val="210"/>
        </w:trPr>
        <w:tc>
          <w:tcPr>
            <w:tcW w:w="1010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r>
      <w:tr>
        <w:trPr>
          <w:trHeight w:val="203"/>
        </w:trPr>
        <w:tc>
          <w:tcPr>
            <w:tcW w:w="10100" w:type="dxa"/>
            <w:vAlign w:val="bottom"/>
          </w:tcPr>
          <w:p>
            <w:pPr>
              <w:ind w:left="7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7"/>
        </w:trPr>
        <w:tc>
          <w:tcPr>
            <w:tcW w:w="10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r>
      <w:tr>
        <w:trPr>
          <w:trHeight w:val="209"/>
        </w:trPr>
        <w:tc>
          <w:tcPr>
            <w:tcW w:w="10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(2.67)</w:t>
            </w: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100" w:type="dxa"/>
            <w:vAlign w:val="bottom"/>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17"/>
                <w:szCs w:val="17"/>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(1.91)</w:t>
            </w: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100" w:type="dxa"/>
            <w:vAlign w:val="bottom"/>
          </w:tcPr>
          <w:p>
            <w:pPr>
              <w:spacing w:after="0" w:line="196" w:lineRule="exact"/>
              <w:rPr>
                <w:sz w:val="20"/>
                <w:szCs w:val="20"/>
                <w:color w:val="auto"/>
              </w:rPr>
            </w:pPr>
            <w:r>
              <w:rPr>
                <w:rFonts w:ascii="Arial" w:cs="Arial" w:eastAsia="Arial" w:hAnsi="Arial"/>
                <w:sz w:val="18"/>
                <w:szCs w:val="18"/>
                <w:color w:val="auto"/>
              </w:rPr>
              <w:t>Pro forma weighted-average shares outstanding, basic and diluted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13,924,176</w:t>
            </w:r>
          </w:p>
        </w:tc>
        <w:tc>
          <w:tcPr>
            <w:tcW w:w="100" w:type="dxa"/>
            <w:vAlign w:val="bottom"/>
          </w:tcPr>
          <w:p>
            <w:pPr>
              <w:spacing w:after="0"/>
              <w:rPr>
                <w:sz w:val="17"/>
                <w:szCs w:val="17"/>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Convertible Preferred Stock and Stockholders’ Deficit</w:t>
      </w:r>
    </w:p>
    <w:p>
      <w:pPr>
        <w:jc w:val="center"/>
        <w:ind w:right="-3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459" w:right="379" w:bottom="1440" w:gutter="0" w:footer="0" w:header="0"/>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Series A</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20" w:type="dxa"/>
            <w:vAlign w:val="bottom"/>
            <w:vMerge w:val="continue"/>
          </w:tcPr>
          <w:p>
            <w:pPr>
              <w:spacing w:after="0"/>
              <w:rPr>
                <w:sz w:val="13"/>
                <w:szCs w:val="13"/>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Issuance of Series A convertible preferred stock, net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costs of $440 and issuance of preferred stock</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tranche liability of $1,050</w:t>
            </w: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rPr>
              <w:t>6,200,000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17,110</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Reclassification of preferred stock tranche liability upon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of Series A milestone shares</w:t>
            </w: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57"/>
        </w:trPr>
        <w:tc>
          <w:tcPr>
            <w:tcW w:w="4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6,200,000</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18,014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0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8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4"/>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10,000,000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ind w:left="660"/>
              <w:spacing w:after="0"/>
              <w:rPr>
                <w:sz w:val="20"/>
                <w:szCs w:val="20"/>
                <w:color w:val="auto"/>
              </w:rPr>
            </w:pPr>
            <w:r>
              <w:rPr>
                <w:rFonts w:ascii="Arial" w:cs="Arial" w:eastAsia="Arial" w:hAnsi="Arial"/>
                <w:sz w:val="14"/>
                <w:szCs w:val="14"/>
                <w:b w:val="1"/>
                <w:bCs w:val="1"/>
                <w:color w:val="auto"/>
                <w:w w:val="94"/>
              </w:rPr>
              <w:t>980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(1,115)</w:t>
            </w: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80" w:type="dxa"/>
            <w:vAlign w:val="bottom"/>
          </w:tcPr>
          <w:p>
            <w:pPr>
              <w:ind w:left="540"/>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ind w:left="6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(26,651)</w:t>
            </w:r>
          </w:p>
        </w:tc>
        <w:tc>
          <w:tcPr>
            <w:tcW w:w="18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(26,651)</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10,000,000</w:t>
            </w:r>
          </w:p>
        </w:tc>
        <w:tc>
          <w:tcPr>
            <w:tcW w:w="20" w:type="dxa"/>
            <w:vAlign w:val="bottom"/>
          </w:tcPr>
          <w:p>
            <w:pPr>
              <w:spacing w:after="0"/>
              <w:rPr>
                <w:sz w:val="14"/>
                <w:szCs w:val="14"/>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ind w:left="660"/>
              <w:spacing w:after="0"/>
              <w:rPr>
                <w:sz w:val="20"/>
                <w:szCs w:val="20"/>
                <w:color w:val="auto"/>
              </w:rPr>
            </w:pPr>
            <w:r>
              <w:rPr>
                <w:rFonts w:ascii="Arial" w:cs="Arial" w:eastAsia="Arial" w:hAnsi="Arial"/>
                <w:sz w:val="14"/>
                <w:szCs w:val="14"/>
                <w:b w:val="1"/>
                <w:bCs w:val="1"/>
                <w:color w:val="auto"/>
              </w:rPr>
              <w:t>980</w:t>
            </w:r>
          </w:p>
        </w:tc>
        <w:tc>
          <w:tcPr>
            <w:tcW w:w="2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(27,766)</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(26,786)</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00"/>
            <w:col w:w="5280"/>
          </w:cols>
          <w:pgMar w:left="320" w:top="459" w:right="379" w:bottom="1440" w:gutter="0" w:footer="0" w:header="0"/>
          <w:type w:val="continuous"/>
        </w:sectPr>
      </w:pP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320" w:top="459" w:right="37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9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license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2"/>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0"/>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77"/>
        </w:trPr>
        <w:tc>
          <w:tcPr>
            <w:tcW w:w="9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research and development license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74"/>
        </w:trPr>
        <w:tc>
          <w:tcPr>
            <w:tcW w:w="98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issuances of Series A convertible preferred stock</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Series A convertible preferred stock issuance costs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notes payable to related party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 of note payable to related party</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9"/>
        </w:trPr>
        <w:tc>
          <w:tcPr>
            <w:tcW w:w="98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0"/>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end of the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11,200</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Capital expenditures not yet paid</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convertible preferred stock issuance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Reclassification of preferred stock tranche liability upon share issuance</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 preferred stock tranche liability</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212"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June 30, 2020, the Company had an accumulated deficit of $27.8 million.</w:t>
      </w:r>
    </w:p>
    <w:p>
      <w:pPr>
        <w:spacing w:after="0" w:line="197" w:lineRule="exact"/>
        <w:rPr>
          <w:sz w:val="20"/>
          <w:szCs w:val="20"/>
          <w:color w:val="auto"/>
        </w:rPr>
      </w:pPr>
    </w:p>
    <w:p>
      <w:pPr>
        <w:ind w:right="460" w:firstLine="562"/>
        <w:spacing w:after="0"/>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 (see Note 10).</w:t>
      </w:r>
    </w:p>
    <w:p>
      <w:pPr>
        <w:spacing w:after="0" w:line="203" w:lineRule="exact"/>
        <w:rPr>
          <w:sz w:val="20"/>
          <w:szCs w:val="20"/>
          <w:color w:val="auto"/>
        </w:rPr>
      </w:pPr>
    </w:p>
    <w:p>
      <w:pPr>
        <w:ind w:right="100" w:firstLine="562"/>
        <w:spacing w:after="0" w:line="237"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interim condensed consolidated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205"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the novel coronavirus (“COVID-19”) situation and its impact globally. Management believes the financial results for the six months ended June 30, 2020 were not significantly impacted by COVID-19. In addition, management believes the remote working arrangements and travel restrictions imposed by various governmental jurisdictions have had limited impact on the Company’s ability to maintain internal operations during the six months ended June 30, 2020.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The accompanying interim condensed consolidated financial statements have been prepared in accordance with generally accepted accounting principles in the United States of America (“GAAP”) as determined by the Financial Accounting Standards Board (“FASB”) Accounting Standards Codification (“ASC”).</w:t>
      </w:r>
    </w:p>
    <w:p>
      <w:pPr>
        <w:spacing w:after="0" w:line="203" w:lineRule="exact"/>
        <w:rPr>
          <w:sz w:val="20"/>
          <w:szCs w:val="20"/>
          <w:color w:val="auto"/>
        </w:rPr>
      </w:pPr>
    </w:p>
    <w:p>
      <w:pPr>
        <w:ind w:right="60" w:firstLine="562"/>
        <w:spacing w:after="0" w:line="274" w:lineRule="auto"/>
        <w:rPr>
          <w:sz w:val="20"/>
          <w:szCs w:val="20"/>
          <w:color w:val="auto"/>
        </w:rPr>
      </w:pPr>
      <w:r>
        <w:rPr>
          <w:rFonts w:ascii="Arial" w:cs="Arial" w:eastAsia="Arial" w:hAnsi="Arial"/>
          <w:sz w:val="17"/>
          <w:szCs w:val="17"/>
          <w:color w:val="auto"/>
        </w:rPr>
        <w:t>The accompanying interim condensed consolidated financial statements include the accounts of Taysha and its inactive wholly owned U.S. subsidiaries that were incorporated during 2020. All intercompany transactions and balances have been eliminated in consolidation.</w:t>
      </w:r>
    </w:p>
    <w:p>
      <w:pPr>
        <w:spacing w:after="0" w:line="17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accompanying condensed consolidated balance sheet as of June 30, 2020, the condensed consolidated statements of operations, convertible preferred stock and stockholders’ deficit, and cash flows for the six months ended June 30, 2020, are unaudited. The interim condensed consolidated financial statements have been prepared on the same basis as the audited annual financial statements and, in management’s opinion, include all adjustments consisting of only normal recurring adjustments necessary for the fair statement of the Company’s financial position as of June 30, 2020 and its results of operations and cash flows for the six months ended June 30, 2020. The results of operations for the six months ended June 30, 2020 are not necessarily indicative of the results to be expected for the full fiscal year or any other period.</w:t>
      </w:r>
    </w:p>
    <w:p>
      <w:pPr>
        <w:spacing w:after="0" w:line="203"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financial statements for the period from September 20, 2019 (date of inception) through December 31, 2019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These estimates and assumptions are based on current facts, historical experience as well as other pertinent industry and regulatory authority information, including the potential future effects of COVID-19,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6"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Company’s significant accounting policies are disclosed in the audited financial statements as of December 31, 2019 and for the period from September 20, 2019 (date of inception) through December 31, 2019 included elsewhere in this prospectus. Since the date of those financial statements, there have been no changes to the Company’s significant accounting policies except as noted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Cash and cash equivalents consist of funds held in a standard checking account. The Company considers all highly liquid investments with an original maturity of three months or less at the date of purchase to be cash equivalents. As of June 30, 2020, the Company does not have any cash equivalents.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8" w:lineRule="exact"/>
        <w:rPr>
          <w:sz w:val="20"/>
          <w:szCs w:val="20"/>
          <w:color w:val="auto"/>
        </w:rPr>
      </w:pPr>
    </w:p>
    <w:p>
      <w:pPr>
        <w:ind w:right="20" w:firstLine="562"/>
        <w:spacing w:after="0" w:line="242" w:lineRule="auto"/>
        <w:rPr>
          <w:sz w:val="20"/>
          <w:szCs w:val="20"/>
          <w:color w:val="auto"/>
        </w:rPr>
      </w:pPr>
      <w:r>
        <w:rPr>
          <w:rFonts w:ascii="Arial" w:cs="Arial" w:eastAsia="Arial" w:hAnsi="Arial"/>
          <w:sz w:val="18"/>
          <w:szCs w:val="18"/>
          <w:color w:val="auto"/>
        </w:rPr>
        <w:t xml:space="preserve">The Company’s financial assets and liabilities are accounted for in accordance with ASC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defines fair value as the exchange price that would be received for an asset or paid to transfer a liability (an exit price)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quoted prices in active markets for identical assets or liabilities.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in which there is little or no market data, which require the reporting entity to develop its own assumptions.</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20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carrying values reported in the Company’s condensed consolidated balance sheet for cash and cash equivalents, accounts payable, and accrued expenses are reasonable estimates of their fair values due to the short-term nature of these items.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for further information about Level 3 inputs.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right="880" w:firstLine="562"/>
        <w:spacing w:after="0" w:line="246" w:lineRule="auto"/>
        <w:rPr>
          <w:sz w:val="20"/>
          <w:szCs w:val="20"/>
          <w:color w:val="auto"/>
        </w:rPr>
      </w:pPr>
      <w:r>
        <w:rPr>
          <w:rFonts w:ascii="Arial" w:cs="Arial" w:eastAsia="Arial" w:hAnsi="Arial"/>
          <w:sz w:val="18"/>
          <w:szCs w:val="18"/>
          <w:color w:val="auto"/>
        </w:rPr>
        <w:t>Deferred offering costs consist of legal fees incurred through the balance sheet date that are directly related to the Series B convertible preferred stock offering and planned initial public offering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(“IPO”) and will be reflected as issuance costs upon the completion of the planned offerings. Should the planned offerings prove to be unsuccessful, these deferred costs as well as any additional expenses to be incurred will be charged to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right="320" w:firstLine="562"/>
        <w:spacing w:after="0" w:line="246" w:lineRule="auto"/>
        <w:rPr>
          <w:sz w:val="20"/>
          <w:szCs w:val="20"/>
          <w:color w:val="auto"/>
        </w:rPr>
      </w:pPr>
      <w:r>
        <w:rPr>
          <w:rFonts w:ascii="Arial" w:cs="Arial" w:eastAsia="Arial" w:hAnsi="Arial"/>
          <w:sz w:val="18"/>
          <w:szCs w:val="18"/>
          <w:color w:val="auto"/>
        </w:rPr>
        <w:t>Property and equipment are stated at cost less accumulated depreciation and consist solely of computer equipment. Depreciation expense is recognized using the straight-line method over its estimated useful life of 3 years.</w:t>
      </w:r>
    </w:p>
    <w:p>
      <w:pPr>
        <w:spacing w:after="0" w:line="197" w:lineRule="exact"/>
        <w:rPr>
          <w:sz w:val="20"/>
          <w:szCs w:val="20"/>
          <w:color w:val="auto"/>
        </w:rPr>
      </w:pPr>
    </w:p>
    <w:p>
      <w:pPr>
        <w:jc w:val="both"/>
        <w:ind w:right="20" w:firstLine="562"/>
        <w:spacing w:after="0" w:line="246"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six months ended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26"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 xml:space="preserve">The Company records shares of convertible preferred stock at their respective fair values on the dates of issuance, net of issuance costs. The Company has applied the guidance in ASC 480-10-S99-3A, </w:t>
      </w:r>
      <w:r>
        <w:rPr>
          <w:rFonts w:ascii="Arial" w:cs="Arial" w:eastAsia="Arial" w:hAnsi="Arial"/>
          <w:sz w:val="17"/>
          <w:szCs w:val="17"/>
          <w:i w:val="1"/>
          <w:iCs w:val="1"/>
          <w:color w:val="auto"/>
        </w:rPr>
        <w:t>SEC Staff Announcement: Classification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Redeemable Securities </w:t>
      </w:r>
      <w:r>
        <w:rPr>
          <w:rFonts w:ascii="Arial" w:cs="Arial" w:eastAsia="Arial" w:hAnsi="Arial"/>
          <w:sz w:val="17"/>
          <w:szCs w:val="17"/>
          <w:color w:val="auto"/>
        </w:rPr>
        <w:t>and has therefore classified the Series A convertible preferred stock as mezzanine equity. The convertible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will become redeemable at the option of the holders. In the event of a change of control of the Company, proceeds received from the sale of such shares will be distributed in accordance with the liquidation preferences set forth in the Company’s Amended and Restated Certificate of Incorporation. The Company has determined not to adjust the carrying values of the convertible preferred stock to the liquidation preferences of such shares because of the uncertainty of whether or when such an event would occur.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26"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Company has determined that its obligation to issue, and the Company’s investors’ right to purchase, additional shares of Series A convertible preferred stock pursuant to the milestone closings (see Note 5) represent a freestanding financial instrument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320" w:top="459" w:right="3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remeasured at each reporting period and upon the exercise or expiration of the obligation, with gains and losses arising from subsequent changes in its fair value recognized in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6"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Immediately prior to the completion of an IPO of the Company’s common stock, all outstanding shares of the Company’s convertible preferred stock will automatically convert into shares of its common stock. Pro forma basic and diluted net loss per common share has been computed to give effect to the automatic conversion of all outstanding shares of the Company’s convertible preferred stock into shares of its common stock. The unaudited pro forma net loss per common share for the six months ended June 30, 2020 has been computed using the weighted-average number of shares of common stock outstanding, including the pro forma effect of the automatic conversion of all outstanding shares of the Company’s convertible preferred stock into shares of its common stock as if the IPO had occurred at the beginning of the period or their issuance dates, if later. The basic and diluted net loss per common share does not include (i) the issuance of 3,800,000 shares of the Company’s Series A convertible preferred stock and 5,647,048 shares of the Company’s Series B convertible preferred stock sold subsequent to June 30, 2020 (see Note 10), and the conversion of these preferred shares into an aggregate of 9,447,048 shares of common stock, and (ii) the shares of common stock expected to be sold in, and related proceeds to be received from, the IPO.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8"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interim condensed consolidated financial statements.</w:t>
      </w:r>
    </w:p>
    <w:p>
      <w:pPr>
        <w:spacing w:after="0" w:line="184" w:lineRule="exact"/>
        <w:rPr>
          <w:sz w:val="20"/>
          <w:szCs w:val="20"/>
          <w:color w:val="auto"/>
        </w:rPr>
      </w:pPr>
    </w:p>
    <w:p>
      <w:pPr>
        <w:ind w:right="240" w:firstLine="562"/>
        <w:spacing w:after="0" w:line="26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interim condensed consolidated financial statements.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320" w:top="459" w:right="3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3—Supplemental Financial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75"/>
        </w:trPr>
        <w:tc>
          <w:tcPr>
            <w:tcW w:w="59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research and development</w:t>
            </w:r>
          </w:p>
        </w:tc>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Accrued legal</w:t>
            </w:r>
          </w:p>
        </w:tc>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r>
      <w:tr>
        <w:trPr>
          <w:trHeight w:val="27"/>
        </w:trPr>
        <w:tc>
          <w:tcPr>
            <w:tcW w:w="59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w:t>
            </w:r>
          </w:p>
        </w:tc>
        <w:tc>
          <w:tcPr>
            <w:tcW w:w="3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1,603</w:t>
            </w:r>
          </w:p>
        </w:tc>
      </w:tr>
      <w:tr>
        <w:trPr>
          <w:trHeight w:val="20"/>
        </w:trPr>
        <w:tc>
          <w:tcPr>
            <w:tcW w:w="5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26"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08"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203"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20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November 2019, as partial consideration for the license rights granted under the UT Southwestern Agreement, the Company issued 2,000,000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203"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26"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7). For the six months ended June 30, 2020, the Company paid all expenses associated with the Queen’s RGA, thus no amounts were due or outstanding under the Note as of June 30, 2020.</w:t>
      </w:r>
    </w:p>
    <w:p>
      <w:pPr>
        <w:spacing w:after="0" w:line="207" w:lineRule="exact"/>
        <w:rPr>
          <w:sz w:val="20"/>
          <w:szCs w:val="20"/>
          <w:color w:val="auto"/>
        </w:rPr>
      </w:pPr>
    </w:p>
    <w:p>
      <w:pPr>
        <w:ind w:firstLine="562"/>
        <w:spacing w:after="0" w:line="235"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 of operations and included as an investing outflow in the statement of cash flows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5—Convertible Preferred Stock, Tranche Liability and Stockholders’ Deficit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2020, convertible preferred stock consisted of the following (in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Issuance</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Issued and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Price per</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Carrying</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5620" w:type="dxa"/>
            <w:vAlign w:val="bottom"/>
          </w:tcPr>
          <w:p>
            <w:pPr>
              <w:spacing w:after="0"/>
              <w:rPr>
                <w:sz w:val="15"/>
                <w:szCs w:val="15"/>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Authorized</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18,600</w:t>
            </w:r>
          </w:p>
        </w:tc>
      </w:tr>
      <w:tr>
        <w:trPr>
          <w:trHeight w:val="20"/>
        </w:trPr>
        <w:tc>
          <w:tcPr>
            <w:tcW w:w="5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On March 4, 2020, the Company entered into a purchase agreement (the “Series A Purchase Agreement”)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20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On June 30, 2020, several affiliated Series A investors elected to exercise in full their options to purchase their pro-rata portion of the Milestone Shares prior to the Company’s achievement of the clinical milestones for gross proceeds of $0.6 million. The remainder of the Series A investors exercised in full their options to purchase their remaining pro-rata portion of the Milestone Shares prior to the Company’s achievement of the clinical milestones for gross proceeds of $11.4 million between July 1, 2020 and July 2, 2020.</w:t>
      </w:r>
    </w:p>
    <w:p>
      <w:pPr>
        <w:spacing w:after="0" w:line="205"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As of June 30, 2020, 6,200,000 shares of the Series A convertible preferred stock were issued and outstanding. These shares were issued in exchange for gross proceeds of $18.6 million, net of issuance costs of approximately $0.4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right="40" w:firstLine="562"/>
        <w:spacing w:after="0" w:line="274" w:lineRule="auto"/>
        <w:rPr>
          <w:sz w:val="20"/>
          <w:szCs w:val="20"/>
          <w:color w:val="auto"/>
        </w:rPr>
      </w:pPr>
      <w:r>
        <w:rPr>
          <w:rFonts w:ascii="Arial" w:cs="Arial" w:eastAsia="Arial" w:hAnsi="Arial"/>
          <w:sz w:val="17"/>
          <w:szCs w:val="17"/>
          <w:color w:val="auto"/>
        </w:rPr>
        <w:t>The holders of Series A convertible preferred stock are not entitled to receive dividends unless declared by the Board of Directors in accordance with the Company’s certificate of incorporation, as amended from time to time. No dividends have been declared since inception.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122"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In the event of any voluntary or involuntary liquidation, dissolution or winding up of the Company, holders of Series A convertible preferred stock are entitled to receive, prior and in preference to holders of common stock, an amount equal to the original issuance price of $3.00 per share (subject to adjustment in the event of any stock dividend, stock split, combination or other similar recapitalization with respect to the Series A convertible preferred stock) plus any declared but unpaid dividends thereon. If upon occurrence of such an event, the assets and funds to be distributed among the holders of Series A convertible preferred stock are insufficient to permit full payment to such holders, the entire assets and funds of the Company legally available for distribution will be distributed ratably among the holders of the Series A convertible preferred stock. All remaining legally available assets of the Company are to be distributed pro rata to the holders of Series A convertible preferred stock and common stock, on an as-converted basis.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12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Shares of Series A convertible preferred stock are convertible into such number of fully paid and non-assessable shares of common stock as determined by dividing the Series A convertible preferred stock original issuance price by the conversion price then in effect. The original conversion price per share of the Series A convertible preferred stock is $3.00, subject to adjustment in the event of certain dilutive issuances. The Series A convertible preferred stock original issuance price and conversion price are each subject to adjustment in the event of any stock dividend, stock split, combination or other similar recapitalization with respect to the Series A convertible preferred stock.</w:t>
      </w:r>
    </w:p>
    <w:p>
      <w:pPr>
        <w:spacing w:after="0" w:line="202"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Each share of Series A convertible preferred stock is convertible at any time at the option of the holder at the conversion ratio then in effect. In addition, each share of Series A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$15.00 (subject to adjustment in the event of any stock dividend, stock split, combination or other similar recapitalization with respect to the Series A convertible preferred stock), or (b) the date and time, or the occurrence of an event, specified by the vote or written consent of the holders of a majority of the then outstanding shares of Series A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Holders of Series A convertible preferred stock are entitled to vote as a single class together with the holders of common stock and have one vote for each share of common stock into which the Series A convertible preferred stock is convertible.</w:t>
      </w:r>
    </w:p>
    <w:p>
      <w:pPr>
        <w:spacing w:after="0" w:line="19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holders of Series A convertible preferred stock are entitled to elect two directors to the Board of Directors. The holders of Series A convertible preferred stock and the holders of common stock, each voting as a separate class, are entitled to jointly elect one director to the Board of Directors. The holders of common stock, exclusively and as a separate class, are entitled to elect one director to the Board of Directors. The Company has concluded that the holders of its Series A convertible preferred stock control the Board of Directors.</w:t>
      </w:r>
    </w:p>
    <w:p>
      <w:pPr>
        <w:spacing w:after="0" w:line="205" w:lineRule="exact"/>
        <w:rPr>
          <w:sz w:val="20"/>
          <w:szCs w:val="20"/>
          <w:color w:val="auto"/>
        </w:rPr>
      </w:pPr>
    </w:p>
    <w:p>
      <w:pPr>
        <w:jc w:val="both"/>
        <w:ind w:right="80" w:firstLine="562"/>
        <w:spacing w:after="0"/>
        <w:rPr>
          <w:sz w:val="20"/>
          <w:szCs w:val="20"/>
          <w:color w:val="auto"/>
        </w:rPr>
      </w:pPr>
      <w:r>
        <w:rPr>
          <w:rFonts w:ascii="Arial" w:cs="Arial" w:eastAsia="Arial" w:hAnsi="Arial"/>
          <w:sz w:val="18"/>
          <w:szCs w:val="18"/>
          <w:color w:val="auto"/>
        </w:rPr>
        <w:t>A majority of the outstanding shares of Series A convertible preferred stock is necessary for approving certain protective provisions in the Company’s amended and restated certificate of incorporation, including the ability to either increase or decrease the authorized number of directors constituting the Board of Directors.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tranche liability</w:t>
      </w:r>
    </w:p>
    <w:p>
      <w:pPr>
        <w:spacing w:after="0" w:line="126" w:lineRule="exact"/>
        <w:rPr>
          <w:sz w:val="20"/>
          <w:szCs w:val="20"/>
          <w:color w:val="auto"/>
        </w:rPr>
      </w:pPr>
    </w:p>
    <w:p>
      <w:pPr>
        <w:ind w:right="80" w:firstLine="562"/>
        <w:spacing w:after="0" w:line="246" w:lineRule="auto"/>
        <w:rPr>
          <w:sz w:val="20"/>
          <w:szCs w:val="20"/>
          <w:color w:val="auto"/>
        </w:rPr>
      </w:pPr>
      <w:r>
        <w:rPr>
          <w:rFonts w:ascii="Arial" w:cs="Arial" w:eastAsia="Arial" w:hAnsi="Arial"/>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197" w:lineRule="exact"/>
        <w:rPr>
          <w:sz w:val="20"/>
          <w:szCs w:val="20"/>
          <w:color w:val="auto"/>
        </w:rPr>
      </w:pPr>
    </w:p>
    <w:p>
      <w:pPr>
        <w:ind w:right="140" w:firstLine="562"/>
        <w:spacing w:after="0" w:line="236" w:lineRule="auto"/>
        <w:rPr>
          <w:sz w:val="20"/>
          <w:szCs w:val="20"/>
          <w:color w:val="auto"/>
        </w:rPr>
      </w:pPr>
      <w:r>
        <w:rPr>
          <w:rFonts w:ascii="Arial" w:cs="Arial" w:eastAsia="Arial" w:hAnsi="Arial"/>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08" w:lineRule="exact"/>
        <w:rPr>
          <w:sz w:val="20"/>
          <w:szCs w:val="20"/>
          <w:color w:val="auto"/>
        </w:rPr>
      </w:pPr>
    </w:p>
    <w:p>
      <w:pPr>
        <w:ind w:right="360" w:firstLine="562"/>
        <w:spacing w:after="0" w:line="246" w:lineRule="auto"/>
        <w:rPr>
          <w:sz w:val="20"/>
          <w:szCs w:val="20"/>
          <w:color w:val="auto"/>
        </w:rPr>
      </w:pPr>
      <w:r>
        <w:rPr>
          <w:rFonts w:ascii="Arial" w:cs="Arial" w:eastAsia="Arial" w:hAnsi="Arial"/>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197" w:lineRule="exact"/>
        <w:rPr>
          <w:sz w:val="20"/>
          <w:szCs w:val="20"/>
          <w:color w:val="auto"/>
        </w:rPr>
      </w:pPr>
    </w:p>
    <w:p>
      <w:pPr>
        <w:ind w:right="20" w:firstLine="562"/>
        <w:spacing w:after="0" w:line="234" w:lineRule="auto"/>
        <w:rPr>
          <w:sz w:val="20"/>
          <w:szCs w:val="20"/>
          <w:color w:val="auto"/>
        </w:rPr>
      </w:pPr>
      <w:r>
        <w:rPr>
          <w:rFonts w:ascii="Arial" w:cs="Arial" w:eastAsia="Arial" w:hAnsi="Arial"/>
          <w:sz w:val="18"/>
          <w:szCs w:val="18"/>
          <w:color w:val="auto"/>
        </w:rPr>
        <w:t>At June 30, 2020, ahead of the anticipated closing of the Series B Purchase Agreement for $17.00 per share that occurred on July 2, 2020 (see Note 10), certain investors elected to exercise in full their options to purchase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$ 17.0 million in the condensed consolidated statement of operations. As 200,000 of the Milestone Shares were also issued to certain investors on</w:t>
      </w:r>
    </w:p>
    <w:p>
      <w:pPr>
        <w:spacing w:after="0" w:line="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June 30, 2020, the related tranche liability was extinguished, and the Company reclassified $0.9 million to convertible preferred stock on the condensed consolidated balance sheet. 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no BCF existed.</w:t>
      </w:r>
    </w:p>
    <w:p>
      <w:pPr>
        <w:spacing w:after="0" w:line="203"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The following table provides a reconciliation of the preferred stock tranche liability measured at fair value using Level 3 significant unobservable inputs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Fair value at issuance of Series A convertible preferred stock (March 2020)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9"/>
        </w:trPr>
        <w:tc>
          <w:tcPr>
            <w:tcW w:w="9060" w:type="dxa"/>
            <w:vAlign w:val="bottom"/>
          </w:tcPr>
          <w:p>
            <w:pPr>
              <w:spacing w:after="0" w:line="202" w:lineRule="exact"/>
              <w:rPr>
                <w:sz w:val="20"/>
                <w:szCs w:val="20"/>
                <w:color w:val="auto"/>
              </w:rPr>
            </w:pPr>
            <w:r>
              <w:rPr>
                <w:rFonts w:ascii="Arial" w:cs="Arial" w:eastAsia="Arial" w:hAnsi="Arial"/>
                <w:sz w:val="18"/>
                <w:szCs w:val="18"/>
                <w:color w:val="auto"/>
              </w:rPr>
              <w:t>Settlement of preferred stock tranche liability due to partial issuance of Milestone Shares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60" w:type="dxa"/>
            <w:vAlign w:val="bottom"/>
          </w:tcPr>
          <w:p>
            <w:pPr>
              <w:spacing w:after="0" w:line="196" w:lineRule="exact"/>
              <w:rPr>
                <w:sz w:val="20"/>
                <w:szCs w:val="20"/>
                <w:color w:val="auto"/>
              </w:rPr>
            </w:pPr>
            <w:r>
              <w:rPr>
                <w:rFonts w:ascii="Arial" w:cs="Arial" w:eastAsia="Arial" w:hAnsi="Arial"/>
                <w:sz w:val="18"/>
                <w:szCs w:val="18"/>
                <w:color w:val="auto"/>
              </w:rPr>
              <w:t>Shares of common stock reserved at June 30, 2020 for issuance of the remaining Milestone Shares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3,800,000</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440"/>
              <w:spacing w:after="0"/>
              <w:rPr>
                <w:sz w:val="20"/>
                <w:szCs w:val="20"/>
                <w:color w:val="auto"/>
              </w:rPr>
            </w:pPr>
            <w:r>
              <w:rPr>
                <w:rFonts w:ascii="Arial" w:cs="Arial" w:eastAsia="Arial" w:hAnsi="Arial"/>
                <w:sz w:val="18"/>
                <w:szCs w:val="18"/>
                <w:color w:val="auto"/>
              </w:rPr>
              <w:t>F-30</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 and equity awards</w:t>
      </w:r>
    </w:p>
    <w:p>
      <w:pPr>
        <w:spacing w:after="0" w:line="12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30,000,000, and the total number of shares of preferred stock authorized to be issued was increased to 15,647,052, of which 10,000,000 preferred shares are designated Series A convertible preferred stock and 5,647,052 are designated Series B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grant any equity-based awards during the six months ended June 30,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Loss Per Common Share</w:t>
      </w:r>
    </w:p>
    <w:p>
      <w:pPr>
        <w:spacing w:after="0" w:line="126"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because their effect would be anti-dilutive due to the Company’s net loss. Since the Company had a net loss in the period presented, basic and diluted net loss per common share are the same.</w:t>
      </w:r>
    </w:p>
    <w:p>
      <w:pPr>
        <w:spacing w:after="0" w:line="205" w:lineRule="exact"/>
        <w:rPr>
          <w:sz w:val="20"/>
          <w:szCs w:val="20"/>
          <w:color w:val="auto"/>
        </w:rPr>
      </w:pPr>
    </w:p>
    <w:p>
      <w:pPr>
        <w:ind w:right="680" w:firstLine="562"/>
        <w:spacing w:after="0" w:line="246"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common share because to do so would be anti-dilutive: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Ended</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June 30,</w:t>
            </w:r>
          </w:p>
        </w:tc>
      </w:tr>
      <w:tr>
        <w:trPr>
          <w:trHeight w:val="175"/>
        </w:trPr>
        <w:tc>
          <w:tcPr>
            <w:tcW w:w="10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issuable upon conversion of Series A convertible preferred stock</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10100" w:type="dxa"/>
            <w:vAlign w:val="bottom"/>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6,200,000</w:t>
            </w:r>
          </w:p>
        </w:tc>
        <w:tc>
          <w:tcPr>
            <w:tcW w:w="40" w:type="dxa"/>
            <w:vAlign w:val="bottom"/>
          </w:tcPr>
          <w:p>
            <w:pPr>
              <w:spacing w:after="0"/>
              <w:rPr>
                <w:sz w:val="18"/>
                <w:szCs w:val="18"/>
                <w:color w:val="auto"/>
              </w:rPr>
            </w:pPr>
          </w:p>
        </w:tc>
      </w:tr>
      <w:tr>
        <w:trPr>
          <w:trHeight w:val="20"/>
        </w:trPr>
        <w:tc>
          <w:tcPr>
            <w:tcW w:w="10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the calculation of basic and diluted pro forma net loss per common share for the six months ended</w:t>
      </w:r>
    </w:p>
    <w:p>
      <w:pPr>
        <w:spacing w:after="0"/>
        <w:rPr>
          <w:sz w:val="20"/>
          <w:szCs w:val="20"/>
          <w:color w:val="auto"/>
        </w:rPr>
      </w:pPr>
      <w:r>
        <w:rPr>
          <w:rFonts w:ascii="Arial" w:cs="Arial" w:eastAsia="Arial" w:hAnsi="Arial"/>
          <w:sz w:val="18"/>
          <w:szCs w:val="18"/>
          <w:color w:val="auto"/>
        </w:rPr>
        <w:t>June 30, 2020 (dollars 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10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used to compute net loss per common share,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0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adjustments to reflect conversion of convertible preferred stock</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3,924,176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Weighted-average shares to compute pro forma net loss per common share, basic and diluted</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13,924,176</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10100" w:type="dxa"/>
            <w:vAlign w:val="bottom"/>
            <w:vMerge w:val="restart"/>
          </w:tcPr>
          <w:p>
            <w:pPr>
              <w:ind w:left="5440"/>
              <w:spacing w:after="0"/>
              <w:rPr>
                <w:sz w:val="20"/>
                <w:szCs w:val="20"/>
                <w:color w:val="auto"/>
              </w:rPr>
            </w:pPr>
            <w:r>
              <w:rPr>
                <w:rFonts w:ascii="Arial" w:cs="Arial" w:eastAsia="Arial" w:hAnsi="Arial"/>
                <w:sz w:val="18"/>
                <w:szCs w:val="18"/>
                <w:color w:val="auto"/>
              </w:rPr>
              <w:t>F-31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For the six months ended June 30, 2020, basic and diluted pro forma net loss per common share were the same, as there were no potentially dilutive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7—Related Party Transactions</w:t>
      </w:r>
    </w:p>
    <w:p>
      <w:pPr>
        <w:spacing w:after="0" w:line="126" w:lineRule="exact"/>
        <w:rPr>
          <w:sz w:val="20"/>
          <w:szCs w:val="20"/>
          <w:color w:val="auto"/>
        </w:rPr>
      </w:pPr>
    </w:p>
    <w:p>
      <w:pPr>
        <w:ind w:right="320" w:firstLine="562"/>
        <w:spacing w:after="0"/>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 the Company, and in the event of the Company’s failure to fund its obligations under the RGA with Queen’s, has personally guaranteed payments due by the Company to Queen’s.</w:t>
      </w:r>
    </w:p>
    <w:p>
      <w:pPr>
        <w:spacing w:after="0" w:line="20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January 2020, the Company entered into two secured promissory notes with a related party, its President and Chief Executive Officer, RA Session II, for an aggregate of $1.67 million, with 10% interest. The Company secured the notes with a first priority security interest in certain assets of the Company. During March 2020, the Company repaid $1.65 million of the notes, and the remaining balance of approximately $28,000, which is included in due to related party in the condensed consolidated balance sheet, was repaid in July 2020. As a result, Mr. Session released his security interest in the collateral.</w:t>
      </w:r>
    </w:p>
    <w:p>
      <w:pPr>
        <w:spacing w:after="0" w:line="202"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March 2020, the Company entered into a services agreement with PBM Capital Group, LLC (“PBM”), an affiliate of PBM TGT Holdings, LLC (the lead investor in the Company’s convertible Series A preferred stock financing discussed below, and who has the ability to designate two members of the Company’s board of directors),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As of June 30, 2020, inclusive of certain pass-through direct costs, the Company has approximately $33,000 due to PBM, which is included in due to related party in the condensed consolidated balance sheet.</w:t>
      </w:r>
    </w:p>
    <w:p>
      <w:pPr>
        <w:spacing w:after="0" w:line="203" w:lineRule="exact"/>
        <w:rPr>
          <w:sz w:val="20"/>
          <w:szCs w:val="20"/>
          <w:color w:val="auto"/>
        </w:rPr>
      </w:pPr>
    </w:p>
    <w:p>
      <w:pPr>
        <w:ind w:right="220" w:firstLine="562"/>
        <w:spacing w:after="0" w:line="246" w:lineRule="auto"/>
        <w:rPr>
          <w:sz w:val="20"/>
          <w:szCs w:val="20"/>
          <w:color w:val="auto"/>
        </w:rPr>
      </w:pPr>
      <w:r>
        <w:rPr>
          <w:rFonts w:ascii="Arial" w:cs="Arial" w:eastAsia="Arial" w:hAnsi="Arial"/>
          <w:sz w:val="18"/>
          <w:szCs w:val="18"/>
          <w:color w:val="auto"/>
        </w:rPr>
        <w:t>As of June 30, 2020, 4,900,000 and 600,000 shares of the Series A convertible preferred stock were issued to PBM TGT Holdings, LLC and Nolan Capital, LLC, respectively, which are controlled by members of the Company’s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Based on its history of operating losses, the Company believes that it is more likely than not that the benefit of its deferred tax assets will not be realized. Accordingly, the Company has provided a full valuation allowance for its deferred tax assets as of June 30, 2020 and December 31, 2019.</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27, 2020, the U.S. President signed into law the CARES Act, an economic relief package in response to</w:t>
      </w:r>
    </w:p>
    <w:p>
      <w:pPr>
        <w:spacing w:after="0" w:line="238" w:lineRule="auto"/>
        <w:rPr>
          <w:sz w:val="20"/>
          <w:szCs w:val="20"/>
          <w:color w:val="auto"/>
        </w:rPr>
      </w:pPr>
      <w:r>
        <w:rPr>
          <w:rFonts w:ascii="Arial" w:cs="Arial" w:eastAsia="Arial" w:hAnsi="Arial"/>
          <w:sz w:val="18"/>
          <w:szCs w:val="18"/>
          <w:color w:val="auto"/>
        </w:rPr>
        <w:t>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80"/>
          </w:cols>
          <w:pgMar w:left="320" w:top="459" w:right="3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Company is still evaluating the impact but does not currently expect the provisions of the CARES Act to have a material effect on the realizability of deferred income tax assets or tax expense.</w:t>
      </w:r>
    </w:p>
    <w:p>
      <w:pPr>
        <w:spacing w:after="0" w:line="205" w:lineRule="exact"/>
        <w:rPr>
          <w:sz w:val="20"/>
          <w:szCs w:val="20"/>
          <w:color w:val="auto"/>
        </w:rPr>
      </w:pPr>
    </w:p>
    <w:p>
      <w:pPr>
        <w:ind w:right="400" w:firstLine="562"/>
        <w:spacing w:after="0" w:line="246" w:lineRule="auto"/>
        <w:rPr>
          <w:sz w:val="20"/>
          <w:szCs w:val="20"/>
          <w:color w:val="auto"/>
        </w:rPr>
      </w:pPr>
      <w:r>
        <w:rPr>
          <w:rFonts w:ascii="Arial" w:cs="Arial" w:eastAsia="Arial" w:hAnsi="Arial"/>
          <w:sz w:val="18"/>
          <w:szCs w:val="18"/>
          <w:color w:val="auto"/>
        </w:rPr>
        <w:t>As of June 30, 2020, there were no material changes to either the nature or the amounts of the uncertain tax positions previously determined for the period from September 20, 2019 (date of inception) through December 31,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6"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the Company was not a party to any leasing agreements.</w:t>
      </w:r>
    </w:p>
    <w:p>
      <w:pPr>
        <w:spacing w:after="0" w:line="21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2020. The Company does not anticipate recognizing any significant losses relating to these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26"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The Company has evaluated subsequent events through September 2, 2020, the date that these interim condensed consolidated financial statements were issued. Except for the matters disclosed below, no additional subsequent events had occurred that would require recognition or disclosure in these interim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22"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In August 2020, the Company entered into license and inventory purchase agreements with Abeona Therapeutics Inc. (“Abeona”) for worldwide exclusive rights to certain intellectual property rights and know -how relating to the research, development and manufacture of ABO-202, an AAV-based gene therapy for CLN1 disease (also known as infantile Batten disease). Under the terms of the agreements, the Company will make initial cash payments to Abeona of $7.0 million, and up to $ 26.0 million in regulatory-related milestones and up to $30.0 million in sales-related milestones per licensed product. The Company will also pay an annual earned royalty in the high single digits on net sales of any licensed products for CLN1.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2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July 2020, the remaining investors in the Series A convertible preferred stock exercised in full their option to purchase their pro-rata portion of the Milestone Shares prior to the achievement of such milestones, and the Company issued and sold to such investors an aggregate of 3,800,000 shares of Series A convertible preferred stock at a purchase price of $3.00 per share for aggregate gross proceeds of $11.4 million. As part of this issuance, the Company issued and sold 3,266,667 shares to PBM TGT Holdings, LLC and 400,000 shares to Nolan Capital, LLC which are controlled by members of the Company’s board of directors.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320" w:top="459" w:right="3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In August 2020, at the close of the Series B convertible preferred stock offering, the Company had sold 5,647,048 of Series B convertible preferred stock at a price of $17.00 per share in multiple closings for gross proceeds of $96.0 million. The majority of investors that participated in the Series B Purchase Agreement were new investors.</w:t>
      </w:r>
    </w:p>
    <w:p>
      <w:pPr>
        <w:spacing w:after="0" w:line="20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holders of Series B convertible preferred stock have similar voting, dividend and conversion rights as the holders of Series A convertible preferred stock, except that the original issuance price of the Series B convertible preferred stock (subject to adjustment in the event of any stock dividend, stock split, combination or other similar recapitalization with respect to the Series B convertible preferred stock) is $17.00 per share. The Series B convertible preferred stock is not redeemable except in the event of a Deemed Liquidation Event.</w:t>
      </w:r>
    </w:p>
    <w:p>
      <w:pPr>
        <w:spacing w:after="0" w:line="205"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addition, each share of Series A and Series B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$17.00 (subject to adjustment in the event of any stock dividend, stock split, combination or other similar recapitalization with respect to the Series A convertible preferred stock), including the approval of at least one Series A Director, or (b) the date and time, or the occurrence of an event, specified by the vote or written consent of (i) the holders of a majority of the then outstanding shares of Series A and Series B convertible preferred stock, and (ii) a majority of the then outstanding shares of Series B convertible preferred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22"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2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On July 1, 2020, options to purchase 2,658,822 shares of common stock under the 2020 Plan were awarded to certain employees and consultants of the Company with an exercise price per share of $0.87, all of which were subsequently cancelled. In exchange, the Company awarded 2,312,014 restricted stock units on September 2, 2020, which are expected to vest over a four-year term. The estimated fair value of these restricted stock units at the grant date was $ 16.23 per share. Such shares are not accounted for as outstanding until they vest. RA Session II was also awarded 705,882 restricted stock awards under the 2020 Plan on July 1, 2020, which are expected to vest over a three-year term. The fair value of these restricted stock awards at the grant date of July 1, 2020 was $5.75 per share.</w:t>
      </w:r>
    </w:p>
    <w:p>
      <w:pPr>
        <w:spacing w:after="0" w:line="205"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On September 2, 2020, options to purchase 15,000 shares of common stock under the 2020 Plan were awarded to certain directors of the Company with an exercise price per share of $16.23, which are generally expected to vest over a four-year term and expire in ten years. On this date, the Company also granted an additional 303,921 restricted stock units with a grant date fair value of $16.23 per share.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459" w:right="3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800"/>
        <w:spacing w:after="0"/>
        <w:rPr>
          <w:sz w:val="20"/>
          <w:szCs w:val="20"/>
          <w:color w:val="auto"/>
        </w:rPr>
      </w:pPr>
      <w:r>
        <w:rPr>
          <w:rFonts w:ascii="Arial" w:cs="Arial" w:eastAsia="Arial" w:hAnsi="Arial"/>
          <w:sz w:val="25"/>
          <w:szCs w:val="25"/>
          <w:color w:val="auto"/>
        </w:rPr>
        <w:t>Shares</w:t>
      </w:r>
    </w:p>
    <w:p>
      <w:pPr>
        <w:spacing w:after="0" w:line="226" w:lineRule="exact"/>
        <w:rPr>
          <w:sz w:val="20"/>
          <w:szCs w:val="20"/>
          <w:color w:val="auto"/>
        </w:rPr>
      </w:pPr>
    </w:p>
    <w:p>
      <w:pPr>
        <w:jc w:val="right"/>
        <w:ind w:right="476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793750</wp:posOffset>
            </wp:positionV>
            <wp:extent cx="2228850" cy="5397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288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490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firstLine="562"/>
        <w:spacing w:after="0" w:line="247" w:lineRule="auto"/>
        <w:rPr>
          <w:sz w:val="20"/>
          <w:szCs w:val="20"/>
          <w:color w:val="auto"/>
        </w:rPr>
      </w:pPr>
      <w:r>
        <w:rPr>
          <w:rFonts w:ascii="Arial" w:cs="Arial" w:eastAsia="Arial" w:hAnsi="Arial"/>
          <w:sz w:val="18"/>
          <w:szCs w:val="18"/>
          <w:b w:val="1"/>
          <w:bCs w:val="1"/>
          <w:color w:val="auto"/>
        </w:rPr>
        <w:t>Through and including , 2020 (the 25th day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6"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Amount</w:t>
            </w:r>
          </w:p>
        </w:tc>
      </w:tr>
      <w:tr>
        <w:trPr>
          <w:trHeight w:val="196"/>
        </w:trPr>
        <w:tc>
          <w:tcPr>
            <w:tcW w:w="10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15,500</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initial listing fee</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225,000</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Blue sky fees and expenses</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12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4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24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9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1040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202"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06" w:lineRule="exact"/>
        <w:rPr>
          <w:sz w:val="20"/>
          <w:szCs w:val="20"/>
          <w:color w:val="auto"/>
        </w:rPr>
      </w:pPr>
    </w:p>
    <w:p>
      <w:pPr>
        <w:jc w:val="both"/>
        <w:ind w:right="340" w:firstLine="562"/>
        <w:spacing w:after="0"/>
        <w:rPr>
          <w:sz w:val="20"/>
          <w:szCs w:val="20"/>
          <w:color w:val="auto"/>
        </w:rPr>
      </w:pPr>
      <w:r>
        <w:rPr>
          <w:rFonts w:ascii="Arial" w:cs="Arial" w:eastAsia="Arial" w:hAnsi="Arial"/>
          <w:sz w:val="18"/>
          <w:szCs w:val="18"/>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w:t>
      </w:r>
    </w:p>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Law; (ii) we may, in our discretion, indemnify our officers, employees and agents as set forth in the Delaware General Corporation Law;</w:t>
      </w:r>
    </w:p>
    <w:p>
      <w:pPr>
        <w:jc w:val="both"/>
        <w:ind w:right="60" w:firstLine="8"/>
        <w:spacing w:after="0"/>
        <w:tabs>
          <w:tab w:leader="none" w:pos="2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203" w:lineRule="exact"/>
        <w:rPr>
          <w:sz w:val="20"/>
          <w:szCs w:val="20"/>
          <w:color w:val="auto"/>
        </w:rPr>
      </w:pPr>
    </w:p>
    <w:p>
      <w:pPr>
        <w:ind w:right="20" w:firstLine="562"/>
        <w:spacing w:after="0" w:line="236" w:lineRule="auto"/>
        <w:rPr>
          <w:sz w:val="20"/>
          <w:szCs w:val="20"/>
          <w:color w:val="auto"/>
        </w:rPr>
      </w:pPr>
      <w:r>
        <w:rPr>
          <w:rFonts w:ascii="Arial" w:cs="Arial" w:eastAsia="Arial" w:hAnsi="Arial"/>
          <w:sz w:val="18"/>
          <w:szCs w:val="18"/>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207" w:lineRule="exact"/>
        <w:rPr>
          <w:sz w:val="20"/>
          <w:szCs w:val="20"/>
          <w:color w:val="auto"/>
        </w:rPr>
      </w:pPr>
    </w:p>
    <w:p>
      <w:pPr>
        <w:jc w:val="both"/>
        <w:ind w:right="180" w:firstLine="562"/>
        <w:spacing w:after="0"/>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203" w:lineRule="exact"/>
        <w:rPr>
          <w:sz w:val="20"/>
          <w:szCs w:val="20"/>
          <w:color w:val="auto"/>
        </w:rPr>
      </w:pPr>
    </w:p>
    <w:p>
      <w:pPr>
        <w:ind w:right="440" w:firstLine="562"/>
        <w:spacing w:after="0" w:line="238"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right="440" w:firstLine="562"/>
        <w:spacing w:after="0" w:line="246"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Common Stock</w:t>
      </w:r>
    </w:p>
    <w:p>
      <w:pPr>
        <w:spacing w:after="0" w:line="126"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In September 2019, we issued an aggregate of 8,000,000 shares of our common stock to two accredited investors at a purchase price of $0.00001 per share, for aggregate consideration of $80.00.</w:t>
      </w:r>
    </w:p>
    <w:p>
      <w:pPr>
        <w:spacing w:after="0" w:line="197" w:lineRule="exact"/>
        <w:rPr>
          <w:sz w:val="20"/>
          <w:szCs w:val="20"/>
          <w:color w:val="auto"/>
        </w:rPr>
      </w:pPr>
    </w:p>
    <w:p>
      <w:pPr>
        <w:ind w:right="280" w:firstLine="562"/>
        <w:spacing w:after="0" w:line="246" w:lineRule="auto"/>
        <w:rPr>
          <w:sz w:val="20"/>
          <w:szCs w:val="20"/>
          <w:color w:val="auto"/>
        </w:rPr>
      </w:pPr>
      <w:r>
        <w:rPr>
          <w:rFonts w:ascii="Arial" w:cs="Arial" w:eastAsia="Arial" w:hAnsi="Arial"/>
          <w:sz w:val="18"/>
          <w:szCs w:val="18"/>
          <w:color w:val="auto"/>
        </w:rPr>
        <w:t>In November 2019, we issued 2,000,000 shares of our common stock to one investor as consideration for entering into a research, collaboration and license agreement.</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126" w:lineRule="exact"/>
        <w:rPr>
          <w:sz w:val="20"/>
          <w:szCs w:val="20"/>
          <w:color w:val="auto"/>
        </w:rPr>
      </w:pPr>
    </w:p>
    <w:p>
      <w:pPr>
        <w:ind w:right="760" w:firstLine="562"/>
        <w:spacing w:after="0" w:line="246" w:lineRule="auto"/>
        <w:rPr>
          <w:sz w:val="20"/>
          <w:szCs w:val="20"/>
          <w:color w:val="auto"/>
        </w:rPr>
      </w:pPr>
      <w:r>
        <w:rPr>
          <w:rFonts w:ascii="Arial" w:cs="Arial" w:eastAsia="Arial" w:hAnsi="Arial"/>
          <w:sz w:val="18"/>
          <w:szCs w:val="18"/>
          <w:color w:val="auto"/>
        </w:rPr>
        <w:t>In March 2020, we issued an aggregate of 6,000,000 shares of our Series A convertible preferred stock to nine investors at a purchase price of $3.00 per share, for aggregate consideration of $18.0 million.</w:t>
      </w:r>
    </w:p>
    <w:p>
      <w:pPr>
        <w:spacing w:after="0" w:line="197" w:lineRule="exact"/>
        <w:rPr>
          <w:sz w:val="20"/>
          <w:szCs w:val="20"/>
          <w:color w:val="auto"/>
        </w:rPr>
      </w:pPr>
    </w:p>
    <w:p>
      <w:pPr>
        <w:ind w:right="340" w:firstLine="562"/>
        <w:spacing w:after="0" w:line="246" w:lineRule="auto"/>
        <w:rPr>
          <w:sz w:val="20"/>
          <w:szCs w:val="20"/>
          <w:color w:val="auto"/>
        </w:rPr>
      </w:pPr>
      <w:r>
        <w:rPr>
          <w:rFonts w:ascii="Arial" w:cs="Arial" w:eastAsia="Arial" w:hAnsi="Arial"/>
          <w:sz w:val="18"/>
          <w:szCs w:val="18"/>
          <w:color w:val="auto"/>
        </w:rPr>
        <w:t>In June 2020, we issued an aggregate of 200,000 shares of our Series A convertible preferred stock to six investors at a purchase price of $3.00 per share, for aggregate consideration of $0.6 million.</w:t>
      </w:r>
    </w:p>
    <w:p>
      <w:pPr>
        <w:spacing w:after="0" w:line="197" w:lineRule="exact"/>
        <w:rPr>
          <w:sz w:val="20"/>
          <w:szCs w:val="20"/>
          <w:color w:val="auto"/>
        </w:rPr>
      </w:pPr>
    </w:p>
    <w:p>
      <w:pPr>
        <w:ind w:right="60" w:firstLine="562"/>
        <w:spacing w:after="0" w:line="246" w:lineRule="auto"/>
        <w:rPr>
          <w:sz w:val="20"/>
          <w:szCs w:val="20"/>
          <w:color w:val="auto"/>
        </w:rPr>
      </w:pPr>
      <w:r>
        <w:rPr>
          <w:rFonts w:ascii="Arial" w:cs="Arial" w:eastAsia="Arial" w:hAnsi="Arial"/>
          <w:sz w:val="18"/>
          <w:szCs w:val="18"/>
          <w:color w:val="auto"/>
        </w:rPr>
        <w:t>In July 2020, we issued an aggregate of 3,800,000 shares of our Series A convertible preferred stock to three investors at a purchase price of $3.00 per share, for aggregate consideration of $11.4 million.</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In July and August 2020, we issued an aggregate of 5,647,048 shares of our Series B convertible preferred stock to 31 investors at a purchase price of $17.00 per share, for aggregate consideration of $96.0 million.</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Pursuant to our Equity Plans</w:t>
      </w:r>
    </w:p>
    <w:p>
      <w:pPr>
        <w:spacing w:after="0" w:line="126"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From September 20, 2019 (the date of our inception) through the date of this registration statement, we granted options under our 2020 Equity Incentive Plan to purchase an aggregate of 15,000 shares of common stock, at an exercise price of $16.23 per share, to certain of our employees, directors and consultants. Of these, no shares have been issued upon the exercise of options. We have also granted restricted stock unit awards with respect to 2,615,935 shares of common stock and restricted stock awards with respect to 705,882 shares of common stock under our 2020 Equity Incentive Plan during the same time period.</w:t>
      </w:r>
    </w:p>
    <w:p>
      <w:pPr>
        <w:spacing w:after="0" w:line="202" w:lineRule="exact"/>
        <w:rPr>
          <w:sz w:val="20"/>
          <w:szCs w:val="20"/>
          <w:color w:val="auto"/>
        </w:rPr>
      </w:pPr>
    </w:p>
    <w:p>
      <w:pPr>
        <w:jc w:val="both"/>
        <w:ind w:right="120" w:firstLine="562"/>
        <w:spacing w:after="0" w:line="248"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w:t>
      </w:r>
    </w:p>
    <w:p>
      <w:pPr>
        <w:spacing w:after="0" w:line="1" w:lineRule="exact"/>
        <w:rPr>
          <w:sz w:val="20"/>
          <w:szCs w:val="20"/>
          <w:color w:val="auto"/>
        </w:rPr>
      </w:pPr>
    </w:p>
    <w:p>
      <w:pPr>
        <w:ind w:right="40" w:firstLine="8"/>
        <w:spacing w:after="0" w:line="237" w:lineRule="auto"/>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200" w:type="dxa"/>
            <w:vAlign w:val="bottom"/>
            <w:gridSpan w:val="3"/>
          </w:tcPr>
          <w:p>
            <w:pPr>
              <w:spacing w:after="0"/>
              <w:rPr>
                <w:sz w:val="15"/>
                <w:szCs w:val="15"/>
                <w:color w:val="auto"/>
              </w:rPr>
            </w:pP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Amended and Restated Certificate of Incorporation of the Registrant (as amended and currently in effect)</w:t>
              </w:r>
            </w:hyperlink>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Amended and Restated Bylaws of the Registrant (currently in effect)</w:t>
              </w:r>
            </w:hyperlink>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effective upon the closing of this offering)</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r>
      <w:tr>
        <w:trPr>
          <w:trHeight w:val="27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3"/>
                <w:szCs w:val="23"/>
                <w:color w:val="auto"/>
              </w:rPr>
            </w:pPr>
          </w:p>
        </w:tc>
        <w:tc>
          <w:tcPr>
            <w:tcW w:w="96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88">
              <w:r>
                <w:rPr>
                  <w:rFonts w:ascii="Arial" w:cs="Arial" w:eastAsia="Arial" w:hAnsi="Arial"/>
                  <w:sz w:val="18"/>
                  <w:szCs w:val="18"/>
                  <w:color w:val="0000EE"/>
                  <w:w w:val="99"/>
                </w:rPr>
                <w:t>Amended and Restated Investors’ Rights Agreement, by and among the Registrant and certain of its stockholders, dated</w:t>
              </w:r>
            </w:hyperlink>
          </w:p>
        </w:tc>
        <w:tc>
          <w:tcPr>
            <w:tcW w:w="400" w:type="dxa"/>
            <w:vAlign w:val="bottom"/>
            <w:gridSpan w:val="2"/>
          </w:tcPr>
          <w:p>
            <w:pPr>
              <w:spacing w:after="0"/>
              <w:rPr>
                <w:sz w:val="23"/>
                <w:szCs w:val="23"/>
                <w:color w:val="auto"/>
              </w:rPr>
            </w:pPr>
          </w:p>
        </w:tc>
      </w:tr>
      <w:tr>
        <w:trPr>
          <w:trHeight w:val="18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288">
              <w:r>
                <w:rPr>
                  <w:rFonts w:ascii="Arial" w:cs="Arial" w:eastAsia="Arial" w:hAnsi="Arial"/>
                  <w:sz w:val="18"/>
                  <w:szCs w:val="18"/>
                  <w:color w:val="0000EE"/>
                  <w:w w:val="98"/>
                </w:rPr>
                <w:t>July 2, 2020</w:t>
              </w:r>
            </w:hyperlink>
          </w:p>
        </w:tc>
        <w:tc>
          <w:tcPr>
            <w:tcW w:w="9020" w:type="dxa"/>
            <w:vAlign w:val="bottom"/>
            <w:gridSpan w:val="5"/>
          </w:tcPr>
          <w:p>
            <w:pPr>
              <w:spacing w:after="0"/>
              <w:rPr>
                <w:sz w:val="15"/>
                <w:szCs w:val="15"/>
                <w:color w:val="auto"/>
              </w:rPr>
            </w:pPr>
          </w:p>
        </w:tc>
      </w:tr>
      <w:tr>
        <w:trPr>
          <w:trHeight w:val="33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8"/>
                <w:szCs w:val="18"/>
                <w:color w:val="auto"/>
              </w:rPr>
              <w:t>Opinion of Cooley LLP</w:t>
            </w:r>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3"/>
                <w:szCs w:val="23"/>
                <w:color w:val="auto"/>
              </w:rPr>
            </w:pPr>
          </w:p>
        </w:tc>
        <w:tc>
          <w:tcPr>
            <w:tcW w:w="10000" w:type="dxa"/>
            <w:vAlign w:val="bottom"/>
            <w:tcBorders>
              <w:bottom w:val="single" w:sz="8" w:color="0000EE"/>
            </w:tcBorders>
            <w:gridSpan w:val="6"/>
          </w:tcPr>
          <w:p>
            <w:pPr>
              <w:spacing w:after="0"/>
              <w:rPr>
                <w:rFonts w:ascii="Arial" w:cs="Arial" w:eastAsia="Arial" w:hAnsi="Arial"/>
                <w:sz w:val="18"/>
                <w:szCs w:val="18"/>
                <w:color w:val="0000EE"/>
              </w:rPr>
            </w:pPr>
            <w:hyperlink w:anchor="page410">
              <w:r>
                <w:rPr>
                  <w:rFonts w:ascii="Arial" w:cs="Arial" w:eastAsia="Arial" w:hAnsi="Arial"/>
                  <w:sz w:val="18"/>
                  <w:szCs w:val="18"/>
                  <w:color w:val="0000EE"/>
                </w:rPr>
                <w:t>Research, Collaboration &amp; License Agreement, by and between the Registrant and The Board of Regents of the University of</w:t>
              </w:r>
            </w:hyperlink>
          </w:p>
        </w:tc>
      </w:tr>
      <w:tr>
        <w:trPr>
          <w:trHeight w:val="223"/>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0" w:type="dxa"/>
            <w:vAlign w:val="bottom"/>
            <w:gridSpan w:val="6"/>
          </w:tcPr>
          <w:p>
            <w:pPr>
              <w:spacing w:after="0"/>
              <w:rPr>
                <w:rFonts w:ascii="Arial" w:cs="Arial" w:eastAsia="Arial" w:hAnsi="Arial"/>
                <w:sz w:val="18"/>
                <w:szCs w:val="18"/>
                <w:u w:val="single" w:color="auto"/>
                <w:color w:val="0000EE"/>
              </w:rPr>
            </w:pPr>
            <w:hyperlink w:anchor="page410">
              <w:r>
                <w:rPr>
                  <w:rFonts w:ascii="Arial" w:cs="Arial" w:eastAsia="Arial" w:hAnsi="Arial"/>
                  <w:sz w:val="18"/>
                  <w:szCs w:val="18"/>
                  <w:u w:val="single" w:color="auto"/>
                  <w:color w:val="0000EE"/>
                </w:rPr>
                <w:t>Texas System on behalf of The University of Texas Southwestern Medical Center, dated as of November 19, 2019</w:t>
              </w:r>
            </w:hyperlink>
          </w:p>
        </w:tc>
      </w:tr>
      <w:tr>
        <w:trPr>
          <w:trHeight w:val="270"/>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3"/>
                <w:szCs w:val="23"/>
                <w:color w:val="auto"/>
              </w:rPr>
            </w:pPr>
          </w:p>
        </w:tc>
        <w:tc>
          <w:tcPr>
            <w:tcW w:w="9880" w:type="dxa"/>
            <w:vAlign w:val="bottom"/>
            <w:tcBorders>
              <w:bottom w:val="single" w:sz="8" w:color="0000EE"/>
            </w:tcBorders>
            <w:gridSpan w:val="5"/>
          </w:tcPr>
          <w:p>
            <w:pPr>
              <w:spacing w:after="0"/>
              <w:rPr>
                <w:rFonts w:ascii="Arial" w:cs="Arial" w:eastAsia="Arial" w:hAnsi="Arial"/>
                <w:sz w:val="18"/>
                <w:szCs w:val="18"/>
                <w:color w:val="0000EE"/>
              </w:rPr>
            </w:pPr>
            <w:hyperlink w:anchor="page437">
              <w:r>
                <w:rPr>
                  <w:rFonts w:ascii="Arial" w:cs="Arial" w:eastAsia="Arial" w:hAnsi="Arial"/>
                  <w:sz w:val="18"/>
                  <w:szCs w:val="18"/>
                  <w:color w:val="0000EE"/>
                </w:rPr>
                <w:t>Amendment to Research, Collaboration &amp; License Agreement, by and between the Registrant and The Board of Regents of</w:t>
              </w:r>
            </w:hyperlink>
          </w:p>
        </w:tc>
        <w:tc>
          <w:tcPr>
            <w:tcW w:w="120" w:type="dxa"/>
            <w:vAlign w:val="bottom"/>
          </w:tcPr>
          <w:p>
            <w:pPr>
              <w:spacing w:after="0"/>
              <w:rPr>
                <w:sz w:val="23"/>
                <w:szCs w:val="23"/>
                <w:color w:val="auto"/>
              </w:rPr>
            </w:pPr>
          </w:p>
        </w:tc>
      </w:tr>
      <w:tr>
        <w:trPr>
          <w:trHeight w:val="223"/>
        </w:trPr>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0" w:type="dxa"/>
            <w:vAlign w:val="bottom"/>
            <w:gridSpan w:val="6"/>
          </w:tcPr>
          <w:p>
            <w:pPr>
              <w:spacing w:after="0"/>
              <w:rPr>
                <w:rFonts w:ascii="Arial" w:cs="Arial" w:eastAsia="Arial" w:hAnsi="Arial"/>
                <w:sz w:val="18"/>
                <w:szCs w:val="18"/>
                <w:u w:val="single" w:color="auto"/>
                <w:color w:val="0000EE"/>
              </w:rPr>
            </w:pPr>
            <w:hyperlink w:anchor="page437">
              <w:r>
                <w:rPr>
                  <w:rFonts w:ascii="Arial" w:cs="Arial" w:eastAsia="Arial" w:hAnsi="Arial"/>
                  <w:sz w:val="18"/>
                  <w:szCs w:val="18"/>
                  <w:u w:val="single" w:color="auto"/>
                  <w:color w:val="0000EE"/>
                </w:rPr>
                <w:t>the University of Texas System on behalf of The University of Texas Southwestern Medical Center, dated as of April 2, 2020</w:t>
              </w:r>
            </w:hyperlink>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u w:val="single" w:color="auto"/>
                <w:color w:val="0000EE"/>
              </w:rPr>
            </w:pPr>
            <w:hyperlink w:anchor="page442">
              <w:r>
                <w:rPr>
                  <w:rFonts w:ascii="Arial" w:cs="Arial" w:eastAsia="Arial" w:hAnsi="Arial"/>
                  <w:sz w:val="18"/>
                  <w:szCs w:val="18"/>
                  <w:u w:val="single" w:color="auto"/>
                  <w:color w:val="0000EE"/>
                </w:rPr>
                <w:t>License Agreement, by and between the Registrant and Queen’s University at Kingston, dated as of February 21, 2020</w:t>
              </w:r>
            </w:hyperlink>
          </w:p>
        </w:tc>
      </w:tr>
    </w:tbl>
    <w:p>
      <w:pPr>
        <w:sectPr>
          <w:pgSz w:w="11900" w:h="16838" w:orient="portrait"/>
          <w:cols w:equalWidth="0" w:num="1">
            <w:col w:w="11180"/>
          </w:cols>
          <w:pgMar w:left="320" w:top="459" w:right="3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5"/>
        </w:trPr>
        <w:tc>
          <w:tcPr>
            <w:tcW w:w="14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3880" w:type="dxa"/>
            <w:vAlign w:val="bottom"/>
          </w:tcPr>
          <w:p>
            <w:pPr>
              <w:spacing w:after="0"/>
              <w:rPr>
                <w:sz w:val="15"/>
                <w:szCs w:val="15"/>
                <w:color w:val="auto"/>
              </w:rPr>
            </w:pPr>
          </w:p>
        </w:tc>
      </w:tr>
      <w:tr>
        <w:trPr>
          <w:trHeight w:val="318"/>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u w:val="single" w:color="auto"/>
                <w:color w:val="0000EE"/>
              </w:rPr>
            </w:pPr>
            <w:hyperlink w:anchor="page468">
              <w:r>
                <w:rPr>
                  <w:rFonts w:ascii="Arial" w:cs="Arial" w:eastAsia="Arial" w:hAnsi="Arial"/>
                  <w:sz w:val="18"/>
                  <w:szCs w:val="18"/>
                  <w:u w:val="single" w:color="auto"/>
                  <w:color w:val="0000EE"/>
                </w:rPr>
                <w:t>License Agreement, by and between the Registrant and Abeona Therapeutics Inc., dated as of August 14, 2020</w:t>
              </w:r>
            </w:hyperlink>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00">
              <w:r>
                <w:rPr>
                  <w:rFonts w:ascii="Arial" w:cs="Arial" w:eastAsia="Arial" w:hAnsi="Arial"/>
                  <w:sz w:val="18"/>
                  <w:szCs w:val="18"/>
                  <w:color w:val="0000EE"/>
                  <w:w w:val="99"/>
                </w:rPr>
                <w:t>2020 Equity Incentive Plan and Forms of Option Grant Notice and Agreement, Exercise Notice, Early Exercise Notice and</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80" w:type="dxa"/>
            <w:vAlign w:val="bottom"/>
            <w:gridSpan w:val="4"/>
          </w:tcPr>
          <w:p>
            <w:pPr>
              <w:spacing w:after="0" w:line="182" w:lineRule="exact"/>
              <w:rPr>
                <w:rFonts w:ascii="Arial" w:cs="Arial" w:eastAsia="Arial" w:hAnsi="Arial"/>
                <w:sz w:val="18"/>
                <w:szCs w:val="18"/>
                <w:color w:val="0000EE"/>
              </w:rPr>
            </w:pPr>
            <w:hyperlink w:anchor="page500">
              <w:r>
                <w:rPr>
                  <w:rFonts w:ascii="Arial" w:cs="Arial" w:eastAsia="Arial" w:hAnsi="Arial"/>
                  <w:sz w:val="18"/>
                  <w:szCs w:val="18"/>
                  <w:color w:val="0000EE"/>
                </w:rPr>
                <w:t>Restricted Stock Award Notice</w:t>
              </w:r>
            </w:hyperlink>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r>
      <w:tr>
        <w:trPr>
          <w:trHeight w:val="317"/>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w w:val="99"/>
              </w:rPr>
              <w:t>2020 Stock Incentive Plan and Forms of Stock Option Grant Notice, Stock Option Agreement, Restricted Stock Unit Grant</w:t>
            </w:r>
          </w:p>
        </w:tc>
      </w:tr>
      <w:tr>
        <w:trPr>
          <w:trHeight w:val="217"/>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Notice and Restricted Stock Unit Award Agreement</w:t>
            </w:r>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2020 Employee Stock Purchase Plan</w:t>
            </w:r>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Form of Indemnification Agreement with Executive Officers and Directors</w:t>
            </w:r>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Executive Employment Agreement, by and between the Registrant and RA Session II, dated as of April 1, 2020</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Consent of Deloitte &amp; Touche LLP, independent registered public accounting firm</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560" w:hanging="552"/>
        <w:spacing w:after="0"/>
        <w:tabs>
          <w:tab w:leader="none" w:pos="5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ind w:left="560" w:right="280" w:hanging="552"/>
        <w:spacing w:after="0" w:line="234" w:lineRule="auto"/>
        <w:tabs>
          <w:tab w:leader="none" w:pos="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Portions of this agreement (indicated by asterisks) have been omitted because the registrant has determined they are not material and would likely cause competitive harm to the registrant if publicly disclosed.</w:t>
      </w:r>
    </w:p>
    <w:p>
      <w:pPr>
        <w:spacing w:after="0" w:line="1" w:lineRule="exact"/>
        <w:rPr>
          <w:sz w:val="20"/>
          <w:szCs w:val="20"/>
          <w:color w:val="auto"/>
        </w:rPr>
      </w:pPr>
    </w:p>
    <w:p>
      <w:pPr>
        <w:ind w:left="560" w:right="180" w:hanging="552"/>
        <w:spacing w:after="0" w:line="234" w:lineRule="auto"/>
        <w:tabs>
          <w:tab w:leader="none" w:pos="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 w:lineRule="exact"/>
        <w:rPr>
          <w:sz w:val="20"/>
          <w:szCs w:val="20"/>
          <w:color w:val="auto"/>
        </w:rPr>
      </w:pPr>
    </w:p>
    <w:p>
      <w:pPr>
        <w:ind w:left="560" w:hanging="552"/>
        <w:spacing w:after="0"/>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firstLine="562"/>
        <w:spacing w:after="0" w:line="246"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20" w:right="20" w:hanging="659"/>
        <w:spacing w:after="0" w:line="238"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1220" w:right="160" w:hanging="659"/>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180"/>
          </w:cols>
          <w:pgMar w:left="320" w:top="459" w:right="3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60"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Dallas, State of Texas, on this 2</w:t>
      </w:r>
      <w:r>
        <w:rPr>
          <w:rFonts w:ascii="Arial" w:cs="Arial" w:eastAsia="Arial" w:hAnsi="Arial"/>
          <w:sz w:val="15"/>
          <w:szCs w:val="15"/>
          <w:color w:val="auto"/>
        </w:rPr>
        <w:t>nd</w:t>
      </w:r>
      <w:r>
        <w:rPr>
          <w:rFonts w:ascii="Arial" w:cs="Arial" w:eastAsia="Arial" w:hAnsi="Arial"/>
          <w:sz w:val="18"/>
          <w:szCs w:val="18"/>
          <w:color w:val="auto"/>
        </w:rPr>
        <w:t xml:space="preserve"> day of September, 2020.</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TAYSHA GENE THERAPIES, INC.</w:t>
      </w:r>
    </w:p>
    <w:p>
      <w:pPr>
        <w:spacing w:after="0" w:line="27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-1905</wp:posOffset>
            </wp:positionV>
            <wp:extent cx="26142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RA Session II</w:t>
      </w: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KNOW ALL BY THESE PRESENTS, that each person whose signature appears below hereby constitutes and appoints RA Session II and Kamran Alam, and each of them, as his true and lawful agents, proxies and attorneys-in-fact, with full power of substitution and resubstitution, for him or her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205" w:lineRule="exact"/>
        <w:rPr>
          <w:sz w:val="20"/>
          <w:szCs w:val="20"/>
          <w:color w:val="auto"/>
        </w:rPr>
      </w:pPr>
    </w:p>
    <w:p>
      <w:pPr>
        <w:ind w:right="40" w:firstLine="562"/>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2200" w:type="dxa"/>
            <w:vAlign w:val="bottom"/>
          </w:tcPr>
          <w:p>
            <w:pPr>
              <w:spacing w:after="0"/>
              <w:rPr>
                <w:sz w:val="15"/>
                <w:szCs w:val="15"/>
                <w:color w:val="auto"/>
              </w:rPr>
            </w:pPr>
          </w:p>
        </w:tc>
        <w:tc>
          <w:tcPr>
            <w:tcW w:w="4140" w:type="dxa"/>
            <w:vAlign w:val="bottom"/>
            <w:gridSpan w:val="3"/>
          </w:tcPr>
          <w:p>
            <w:pPr>
              <w:ind w:left="1920"/>
              <w:spacing w:after="0"/>
              <w:rPr>
                <w:sz w:val="20"/>
                <w:szCs w:val="20"/>
                <w:color w:val="auto"/>
              </w:rPr>
            </w:pPr>
            <w:r>
              <w:rPr>
                <w:rFonts w:ascii="Arial" w:cs="Arial" w:eastAsia="Arial" w:hAnsi="Arial"/>
                <w:sz w:val="14"/>
                <w:szCs w:val="14"/>
                <w:b w:val="1"/>
                <w:bCs w:val="1"/>
                <w:color w:val="auto"/>
              </w:rPr>
              <w:t>Title</w:t>
            </w:r>
          </w:p>
        </w:tc>
        <w:tc>
          <w:tcPr>
            <w:tcW w:w="184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05"/>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 Session II</w:t>
            </w:r>
          </w:p>
        </w:tc>
        <w:tc>
          <w:tcPr>
            <w:tcW w:w="6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RA Session II</w:t>
            </w:r>
          </w:p>
        </w:tc>
        <w:tc>
          <w:tcPr>
            <w:tcW w:w="2200" w:type="dxa"/>
            <w:vAlign w:val="bottom"/>
          </w:tcPr>
          <w:p>
            <w:pPr>
              <w:spacing w:after="0"/>
              <w:rPr>
                <w:sz w:val="18"/>
                <w:szCs w:val="18"/>
                <w:color w:val="auto"/>
              </w:rPr>
            </w:pPr>
          </w:p>
        </w:tc>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(Principal Executive Officer)</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Kamran Alam</w:t>
            </w: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and</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Kamran Alam</w:t>
            </w:r>
          </w:p>
        </w:tc>
        <w:tc>
          <w:tcPr>
            <w:tcW w:w="2200" w:type="dxa"/>
            <w:vAlign w:val="bottom"/>
          </w:tcPr>
          <w:p>
            <w:pPr>
              <w:spacing w:after="0"/>
              <w:rPr>
                <w:sz w:val="18"/>
                <w:szCs w:val="18"/>
                <w:color w:val="auto"/>
              </w:rPr>
            </w:pPr>
          </w:p>
        </w:tc>
        <w:tc>
          <w:tcPr>
            <w:tcW w:w="414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Accounting Officer)</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Phillip B. Donenberg</w:t>
            </w: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0"/>
        </w:trPr>
        <w:tc>
          <w:tcPr>
            <w:tcW w:w="2880" w:type="dxa"/>
            <w:vAlign w:val="bottom"/>
            <w:gridSpan w:val="2"/>
          </w:tcPr>
          <w:p>
            <w:pPr>
              <w:spacing w:after="0"/>
              <w:rPr>
                <w:sz w:val="20"/>
                <w:szCs w:val="20"/>
                <w:color w:val="auto"/>
              </w:rPr>
            </w:pPr>
            <w:r>
              <w:rPr>
                <w:rFonts w:ascii="Arial" w:cs="Arial" w:eastAsia="Arial" w:hAnsi="Arial"/>
                <w:sz w:val="18"/>
                <w:szCs w:val="18"/>
                <w:color w:val="auto"/>
              </w:rPr>
              <w:t>Phillip B. Donenberg</w:t>
            </w: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Sean P. Nolan</w:t>
            </w: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0"/>
        </w:trPr>
        <w:tc>
          <w:tcPr>
            <w:tcW w:w="2880" w:type="dxa"/>
            <w:vAlign w:val="bottom"/>
            <w:gridSpan w:val="2"/>
          </w:tcPr>
          <w:p>
            <w:pPr>
              <w:spacing w:after="0"/>
              <w:rPr>
                <w:sz w:val="20"/>
                <w:szCs w:val="20"/>
                <w:color w:val="auto"/>
              </w:rPr>
            </w:pPr>
            <w:r>
              <w:rPr>
                <w:rFonts w:ascii="Arial" w:cs="Arial" w:eastAsia="Arial" w:hAnsi="Arial"/>
                <w:sz w:val="18"/>
                <w:szCs w:val="18"/>
                <w:color w:val="auto"/>
              </w:rPr>
              <w:t>Sean P. Nolan</w:t>
            </w: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 Manning</w:t>
            </w: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0"/>
        </w:trPr>
        <w:tc>
          <w:tcPr>
            <w:tcW w:w="2880" w:type="dxa"/>
            <w:vAlign w:val="bottom"/>
            <w:gridSpan w:val="2"/>
          </w:tcPr>
          <w:p>
            <w:pPr>
              <w:spacing w:after="0"/>
              <w:rPr>
                <w:sz w:val="20"/>
                <w:szCs w:val="20"/>
                <w:color w:val="auto"/>
              </w:rPr>
            </w:pPr>
            <w:r>
              <w:rPr>
                <w:rFonts w:ascii="Arial" w:cs="Arial" w:eastAsia="Arial" w:hAnsi="Arial"/>
                <w:sz w:val="18"/>
                <w:szCs w:val="18"/>
                <w:color w:val="auto"/>
              </w:rPr>
              <w:t>Paul B. Manning</w:t>
            </w: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Sukumar Nagendran, M.D.</w:t>
            </w:r>
          </w:p>
        </w:tc>
        <w:tc>
          <w:tcPr>
            <w:tcW w:w="220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213"/>
              <w:spacing w:after="0"/>
              <w:rPr>
                <w:sz w:val="20"/>
                <w:szCs w:val="20"/>
                <w:color w:val="auto"/>
              </w:rPr>
            </w:pPr>
            <w:r>
              <w:rPr>
                <w:rFonts w:ascii="Arial" w:cs="Arial" w:eastAsia="Arial" w:hAnsi="Arial"/>
                <w:sz w:val="18"/>
                <w:szCs w:val="18"/>
                <w:color w:val="auto"/>
              </w:rPr>
              <w:t>September 2, 2020</w:t>
            </w:r>
          </w:p>
        </w:tc>
      </w:tr>
      <w:tr>
        <w:trPr>
          <w:trHeight w:val="210"/>
        </w:trPr>
        <w:tc>
          <w:tcPr>
            <w:tcW w:w="288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ectPr>
          <w:pgSz w:w="11900" w:h="16838" w:orient="portrait"/>
          <w:cols w:equalWidth="0" w:num="1">
            <w:col w:w="11240"/>
          </w:cols>
          <w:pgMar w:left="320" w:top="459"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Taysha Gene Therapies,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540" w:firstLine="987"/>
        <w:spacing w:after="0" w:line="277" w:lineRule="auto"/>
        <w:tabs>
          <w:tab w:leader="none" w:pos="1303"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Taysha Gene Therapies, Inc., and that this corporation was originally incorporated in Texas pursuant to Texas Business Organization Code.</w:t>
      </w:r>
    </w:p>
    <w:p>
      <w:pPr>
        <w:spacing w:after="0" w:line="170" w:lineRule="exact"/>
        <w:rPr>
          <w:rFonts w:ascii="Arial" w:cs="Arial" w:eastAsia="Arial" w:hAnsi="Arial"/>
          <w:sz w:val="18"/>
          <w:szCs w:val="18"/>
          <w:b w:val="1"/>
          <w:bCs w:val="1"/>
          <w:color w:val="auto"/>
        </w:rPr>
      </w:pPr>
    </w:p>
    <w:p>
      <w:pPr>
        <w:ind w:right="120" w:firstLine="987"/>
        <w:spacing w:after="0" w:line="277" w:lineRule="auto"/>
        <w:tabs>
          <w:tab w:leader="none" w:pos="1303"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That this corporation subsequently converted to a corporation incorporated under the General Corporation Law on February 13, 2020 under the name Taysha Gene Therapies, Inc.</w:t>
      </w:r>
    </w:p>
    <w:p>
      <w:pPr>
        <w:spacing w:after="0" w:line="170" w:lineRule="exact"/>
        <w:rPr>
          <w:rFonts w:ascii="Arial" w:cs="Arial" w:eastAsia="Arial" w:hAnsi="Arial"/>
          <w:sz w:val="18"/>
          <w:szCs w:val="18"/>
          <w:b w:val="1"/>
          <w:bCs w:val="1"/>
          <w:color w:val="auto"/>
        </w:rPr>
      </w:pPr>
    </w:p>
    <w:p>
      <w:pPr>
        <w:ind w:right="60" w:firstLine="987"/>
        <w:spacing w:after="0" w:line="259" w:lineRule="auto"/>
        <w:tabs>
          <w:tab w:leader="none" w:pos="1303"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Taysha Gene Therapies,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1675 South State Street, Suite B,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Dover, County of Kent, Delaware 19901. The name of its registered agent at such address is Capitol Services, Inc.</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560" w:firstLine="44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30,000,000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14,411,764 shares of Preferred Stock, $0.00001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020"/>
          </w:cols>
          <w:pgMar w:left="440" w:top="121" w:right="439" w:bottom="1440" w:gutter="0" w:footer="0" w:header="0"/>
        </w:sectPr>
      </w:pPr>
    </w:p>
    <w:bookmarkStart w:id="247" w:name="page248"/>
    <w:bookmarkEnd w:id="247"/>
    <w:p>
      <w:pPr>
        <w:ind w:left="800" w:hanging="364"/>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COMMON STOCK</w:t>
      </w:r>
    </w:p>
    <w:p>
      <w:pPr>
        <w:spacing w:after="0" w:line="117" w:lineRule="exact"/>
        <w:rPr>
          <w:rFonts w:ascii="Arial" w:cs="Arial" w:eastAsia="Arial" w:hAnsi="Arial"/>
          <w:sz w:val="18"/>
          <w:szCs w:val="18"/>
          <w:color w:val="auto"/>
        </w:rPr>
      </w:pPr>
    </w:p>
    <w:p>
      <w:pPr>
        <w:ind w:right="280" w:firstLine="987"/>
        <w:spacing w:after="0" w:line="277" w:lineRule="auto"/>
        <w:tabs>
          <w:tab w:leader="none" w:pos="130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right="80" w:firstLine="987"/>
        <w:spacing w:after="0" w:line="293" w:lineRule="auto"/>
        <w:tabs>
          <w:tab w:leader="none" w:pos="130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The holders of the Common Stock are entitled to one vote for each share of Common Stock held at all meetings of stockholders (and written actions in lieu of meetings).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(this “</w:t>
      </w:r>
      <w:r>
        <w:rPr>
          <w:rFonts w:ascii="Arial" w:cs="Arial" w:eastAsia="Arial" w:hAnsi="Arial"/>
          <w:sz w:val="16"/>
          <w:szCs w:val="16"/>
          <w:b w:val="1"/>
          <w:bCs w:val="1"/>
          <w:color w:val="auto"/>
        </w:rPr>
        <w:t>Restated Certificate</w:t>
      </w:r>
      <w:r>
        <w:rPr>
          <w:rFonts w:ascii="Arial" w:cs="Arial" w:eastAsia="Arial" w:hAnsi="Arial"/>
          <w:sz w:val="16"/>
          <w:szCs w:val="16"/>
          <w:color w:val="auto"/>
        </w:rPr>
        <w:t>”))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272" w:lineRule="exact"/>
        <w:rPr>
          <w:rFonts w:ascii="Arial" w:cs="Arial" w:eastAsia="Arial" w:hAnsi="Arial"/>
          <w:sz w:val="16"/>
          <w:szCs w:val="16"/>
          <w:color w:val="auto"/>
        </w:rPr>
      </w:pPr>
    </w:p>
    <w:p>
      <w:pPr>
        <w:ind w:left="780" w:hanging="344"/>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 Of the 14,411,764 shares of Preferred Stock that the Corporation has the authority to issue (i) 10,000,000 shares are hereby designated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 (ii) 4,411,764 shares are hereby designated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92" w:lineRule="exact"/>
        <w:rPr>
          <w:sz w:val="20"/>
          <w:szCs w:val="20"/>
          <w:color w:val="auto"/>
        </w:rPr>
      </w:pPr>
    </w:p>
    <w:p>
      <w:pPr>
        <w:ind w:firstLine="987"/>
        <w:spacing w:after="0" w:line="286" w:lineRule="auto"/>
        <w:tabs>
          <w:tab w:leader="none" w:pos="1306"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Preferred</w:t>
      </w:r>
    </w:p>
    <w:p>
      <w:pPr>
        <w:sectPr>
          <w:pgSz w:w="11900" w:h="16838" w:orient="portrait"/>
          <w:cols w:equalWidth="0" w:num="1">
            <w:col w:w="10980"/>
          </w:cols>
          <w:pgMar w:left="440" w:top="274" w:right="479" w:bottom="1440" w:gutter="0" w:footer="0" w:header="0"/>
        </w:sectPr>
      </w:pPr>
    </w:p>
    <w:bookmarkStart w:id="248" w:name="page249"/>
    <w:bookmarkEnd w:id="248"/>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$3.00 per share, subject to appropriate adjustment in the event of any stock dividend, stock split, combination or other similar recapitalization with respect to the Series A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$17.00 per share, subject to appropriate adjustment in the event of any stock dividend, stock split, combination or other similar recapitalization with respect to the Series B Preferred Stock. The applicable “</w:t>
      </w: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the Series A Original Issue Price in the case of the Series A Preferred Stock and the Series B Original Issue Price in the case of the Series B Preferred Stock.</w:t>
      </w:r>
    </w:p>
    <w:p>
      <w:pPr>
        <w:spacing w:after="0" w:line="272" w:lineRule="exact"/>
        <w:rPr>
          <w:sz w:val="20"/>
          <w:szCs w:val="20"/>
          <w:color w:val="auto"/>
        </w:rPr>
      </w:pPr>
    </w:p>
    <w:p>
      <w:pPr>
        <w:ind w:left="1300" w:hanging="313"/>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Preferential Payments to Holders of Series B Preferred Stock</w:t>
      </w:r>
      <w:r>
        <w:rPr>
          <w:rFonts w:ascii="Arial" w:cs="Arial" w:eastAsia="Arial" w:hAnsi="Arial"/>
          <w:sz w:val="17"/>
          <w:szCs w:val="17"/>
          <w:color w:val="auto"/>
        </w:rPr>
        <w:t xml:space="preserve">. In the event of any voluntary or involuntary liquidation, dissolution or winding up of the Corporation, the holders of shares of Series B Preferred Stock then outstanding shall be entitled to be paid out of the assets of the Corporation available for distribution to its stockholders and in the event of a Deemed Liquidation Event (as defined below), the holders of shares of Series B Preferred Stock then outstanding shall be entitled to be paid out of the consideration payable to stockholders in such Deemed Liquidation Event or out of the Available Proceeds (as defined below), as applicable, before any payment shall be made to the holders of Series A Preferred Stock or Common Stock by reason of their ownership thereof, an amount per share equal to the greater of (i) the Series B Original Issue Price, plus any dividends declared but unpaid on each share of Series B Preferred Stock, and (ii) such amount per share as would have been payable had all shares of Series B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B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4" w:lineRule="exact"/>
        <w:rPr>
          <w:sz w:val="20"/>
          <w:szCs w:val="20"/>
          <w:color w:val="auto"/>
        </w:rPr>
      </w:pPr>
    </w:p>
    <w:p>
      <w:pPr>
        <w:ind w:right="80" w:firstLine="1432"/>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Preferential Payments to Holders of Series A Preferred Stock</w:t>
      </w:r>
      <w:r>
        <w:rPr>
          <w:rFonts w:ascii="Arial" w:cs="Arial" w:eastAsia="Arial" w:hAnsi="Arial"/>
          <w:sz w:val="17"/>
          <w:szCs w:val="17"/>
          <w:color w:val="auto"/>
        </w:rPr>
        <w:t xml:space="preserve">. In the event of any voluntary or involuntary liquidation, dissolution or winding up of the Corporation, after payment in full of all preferential amounts required to be paid to the holders of Series B Preferred Stock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holders of shares of Series A Preferred Stock then outstanding shall be entitled to be paid out of the assets of the Corporation available for distribution to its stockholders and in the event of a Deemed Liquidation Event, the holders of shares of Series A Preferred Stock then outstanding shall be entitled to be paid out of the consideration payable to stockholders in such Deemed Liquidation Event or out of the Available Proceeds, as applicable, before any payment shall be made to the holders of Common Stock by reason of their ownership thereof, an amount per share equal to the greater of (i) the Series A Original Issue Price, plus any dividends declared but unpaid on each share of Series A Preferred Stock, and (ii) such amount per share as would have been payable had all shares of Series A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the liquidation, dissolution, winding up</w:t>
      </w:r>
    </w:p>
    <w:p>
      <w:pPr>
        <w:sectPr>
          <w:pgSz w:w="11900" w:h="16838" w:orient="portrait"/>
          <w:cols w:equalWidth="0" w:num="1">
            <w:col w:w="10960"/>
          </w:cols>
          <w:pgMar w:left="440" w:top="274" w:right="499" w:bottom="1440" w:gutter="0" w:footer="0" w:header="0"/>
        </w:sectPr>
      </w:pPr>
    </w:p>
    <w:bookmarkStart w:id="249" w:name="page250"/>
    <w:bookmarkEnd w:id="249"/>
    <w:p>
      <w:pPr>
        <w:ind w:left="4"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Deemed Liquidation Event (the amount payable pursuant to this sentence is hereinafter referred to as the “</w:t>
      </w:r>
      <w:r>
        <w:rPr>
          <w:rFonts w:ascii="Arial" w:cs="Arial" w:eastAsia="Arial" w:hAnsi="Arial"/>
          <w:sz w:val="18"/>
          <w:szCs w:val="18"/>
          <w:b w:val="1"/>
          <w:bCs w:val="1"/>
          <w:color w:val="auto"/>
        </w:rPr>
        <w:t>Series A Liquidation Amount</w:t>
      </w:r>
      <w:r>
        <w:rPr>
          <w:rFonts w:ascii="Arial" w:cs="Arial" w:eastAsia="Arial" w:hAnsi="Arial"/>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left="4" w:right="100" w:firstLine="1432"/>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xml:space="preserve">. In the event of any voluntary or involuntary liquidation, dissolution or winding up of the Corporation, after the payment in full of all Series B Liquidation Amounts required to be paid to the holders of shares of Series B Preferred Stock and all Series A Liquidation Amounts required to be paid to the holders of shares of Series A Preferred Stock, the remaining assets of the Corporation available for distribution to its stockholders or, in the case of a Deemed Liquidation Event, the consideration not payable to the holders of shares of Preferred Stock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or the remaining Available Proceeds, as the case may be, shall be distributed among the holders of shares of Common Stock, pro rata based on the number of shares held by each such holder.</w:t>
      </w:r>
    </w:p>
    <w:p>
      <w:pPr>
        <w:spacing w:after="0" w:line="286" w:lineRule="exact"/>
        <w:rPr>
          <w:sz w:val="20"/>
          <w:szCs w:val="20"/>
          <w:color w:val="auto"/>
        </w:rPr>
      </w:pPr>
    </w:p>
    <w:p>
      <w:pPr>
        <w:ind w:left="1424"/>
        <w:spacing w:after="0"/>
        <w:tabs>
          <w:tab w:leader="none" w:pos="18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Deemed Liquidation Events.</w:t>
      </w:r>
    </w:p>
    <w:p>
      <w:pPr>
        <w:spacing w:after="0" w:line="113" w:lineRule="exact"/>
        <w:rPr>
          <w:sz w:val="20"/>
          <w:szCs w:val="20"/>
          <w:color w:val="auto"/>
        </w:rPr>
      </w:pPr>
    </w:p>
    <w:p>
      <w:pPr>
        <w:ind w:left="4" w:right="20" w:firstLine="1983"/>
        <w:spacing w:after="0" w:line="293"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(i) the holders of at least a majority of the outstanding shares of Preferred Stock, voting together as a single class on an as-converted basis (the “</w:t>
      </w:r>
      <w:r>
        <w:rPr>
          <w:rFonts w:ascii="Arial" w:cs="Arial" w:eastAsia="Arial" w:hAnsi="Arial"/>
          <w:sz w:val="16"/>
          <w:szCs w:val="16"/>
          <w:b w:val="1"/>
          <w:bCs w:val="1"/>
          <w:color w:val="auto"/>
        </w:rPr>
        <w:t>Requisite Holders</w:t>
      </w:r>
      <w:r>
        <w:rPr>
          <w:rFonts w:ascii="Arial" w:cs="Arial" w:eastAsia="Arial" w:hAnsi="Arial"/>
          <w:sz w:val="16"/>
          <w:szCs w:val="16"/>
          <w:color w:val="auto"/>
        </w:rPr>
        <w:t>”), and</w:t>
      </w:r>
    </w:p>
    <w:p>
      <w:pPr>
        <w:spacing w:after="0" w:line="1" w:lineRule="exact"/>
        <w:rPr>
          <w:sz w:val="20"/>
          <w:szCs w:val="20"/>
          <w:color w:val="auto"/>
        </w:rPr>
      </w:pPr>
    </w:p>
    <w:p>
      <w:pPr>
        <w:ind w:left="4" w:hanging="4"/>
        <w:spacing w:after="0" w:line="290" w:lineRule="auto"/>
        <w:tabs>
          <w:tab w:leader="none" w:pos="26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at least a majority of the outstanding shares of Series B Preferred Stock, voting as a separate class (the “</w:t>
      </w:r>
      <w:r>
        <w:rPr>
          <w:rFonts w:ascii="Arial" w:cs="Arial" w:eastAsia="Arial" w:hAnsi="Arial"/>
          <w:sz w:val="17"/>
          <w:szCs w:val="17"/>
          <w:b w:val="1"/>
          <w:bCs w:val="1"/>
          <w:color w:val="auto"/>
        </w:rPr>
        <w:t>Requisite Series B Holders</w:t>
      </w:r>
      <w:r>
        <w:rPr>
          <w:rFonts w:ascii="Arial" w:cs="Arial" w:eastAsia="Arial" w:hAnsi="Arial"/>
          <w:sz w:val="17"/>
          <w:szCs w:val="17"/>
          <w:color w:val="auto"/>
        </w:rPr>
        <w:t>”), elect otherwise by written notice sent to the Corporation at least fifteen (15) days prior to the effective date of any such event:</w:t>
      </w:r>
    </w:p>
    <w:p>
      <w:pPr>
        <w:spacing w:after="0" w:line="188" w:lineRule="exact"/>
        <w:rPr>
          <w:rFonts w:ascii="Arial" w:cs="Arial" w:eastAsia="Arial" w:hAnsi="Arial"/>
          <w:sz w:val="17"/>
          <w:szCs w:val="17"/>
          <w:color w:val="auto"/>
        </w:rPr>
      </w:pPr>
    </w:p>
    <w:p>
      <w:pPr>
        <w:ind w:left="2844" w:hanging="428"/>
        <w:spacing w:after="0"/>
        <w:tabs>
          <w:tab w:leader="none" w:pos="28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4" w:hanging="542"/>
        <w:spacing w:after="0"/>
        <w:tabs>
          <w:tab w:leader="none" w:pos="340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4" w:right="20" w:hanging="542"/>
        <w:spacing w:after="0" w:line="277" w:lineRule="auto"/>
        <w:tabs>
          <w:tab w:leader="none" w:pos="3404"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ind w:left="4" w:right="180"/>
        <w:spacing w:after="0" w:line="257" w:lineRule="auto"/>
        <w:rPr>
          <w:sz w:val="20"/>
          <w:szCs w:val="20"/>
          <w:color w:val="auto"/>
        </w:rPr>
      </w:pPr>
      <w:r>
        <w:rPr>
          <w:rFonts w:ascii="Arial" w:cs="Arial" w:eastAsia="Arial" w:hAnsi="Arial"/>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8" w:lineRule="exact"/>
        <w:rPr>
          <w:sz w:val="20"/>
          <w:szCs w:val="20"/>
          <w:color w:val="auto"/>
        </w:rPr>
      </w:pPr>
    </w:p>
    <w:p>
      <w:pPr>
        <w:ind w:left="4" w:right="500" w:firstLine="2419"/>
        <w:spacing w:after="0" w:line="342" w:lineRule="auto"/>
        <w:tabs>
          <w:tab w:leader="none" w:pos="281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(1) the sale, lease, transfer, exclusive license or other disposition, in a single transaction or series of related transactions, by the Corporation or any subsidiary of the Corporation of all or substantially all the business or assets of the Corporation</w:t>
      </w:r>
    </w:p>
    <w:p>
      <w:pPr>
        <w:sectPr>
          <w:pgSz w:w="11900" w:h="16838" w:orient="portrait"/>
          <w:cols w:equalWidth="0" w:num="1">
            <w:col w:w="11004"/>
          </w:cols>
          <w:pgMar w:left="436" w:top="270" w:right="459" w:bottom="1440" w:gutter="0" w:footer="0" w:header="0"/>
        </w:sectPr>
      </w:pPr>
    </w:p>
    <w:bookmarkStart w:id="250" w:name="page251"/>
    <w:bookmarkEnd w:id="2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295"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17" w:lineRule="exact"/>
        <w:rPr>
          <w:sz w:val="20"/>
          <w:szCs w:val="20"/>
          <w:color w:val="auto"/>
        </w:rPr>
      </w:pPr>
    </w:p>
    <w:p>
      <w:pPr>
        <w:jc w:val="both"/>
        <w:ind w:right="60" w:firstLine="2419"/>
        <w:spacing w:after="0" w:line="259" w:lineRule="auto"/>
        <w:tabs>
          <w:tab w:leader="none" w:pos="2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Section 2.4.1(a)(i)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2419"/>
        <w:spacing w:after="0" w:line="284" w:lineRule="auto"/>
        <w:tabs>
          <w:tab w:leader="none" w:pos="281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Section 2.4.1(a)(ii)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day after the Deemed Liquidation Event advising such holders of their right (and the requirements to be met to secure such right) pursuant to the terms of the following clause (ii)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xml:space="preserve">) day after such Deemed Liquidation Event, to redeem all outstanding shares of Preferred Stock at a price per share equal to the Series B Liquidation Amount or Series A Liquidation amount, as applicable. Notwithstanding the foregoing, in the event of a redemption pursuant to the preceding sentence, if the Available Proceeds are not sufficient to redeem all outstanding shares of Preferred Stock, the Corporation shall redeem each holder’s shares of Preferred Stock in accordance with the liquidation preferences set forth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to the fullest extent of such Available Proceeds, and shall redeem the remaining shares in accordance with the liquidation preferences set forth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Section 2.4.2(b)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On or before the applicable redemption date, each holder of shares of Preferred Stock to be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by the Corporation, and thereupon the Available Proceeds allocable to such shares shall be payable to the</w:t>
      </w:r>
    </w:p>
    <w:p>
      <w:pPr>
        <w:sectPr>
          <w:pgSz w:w="11900" w:h="16838" w:orient="portrait"/>
          <w:cols w:equalWidth="0" w:num="1">
            <w:col w:w="10960"/>
          </w:cols>
          <w:pgMar w:left="440" w:top="274" w:right="499" w:bottom="1440" w:gutter="0" w:footer="0" w:header="0"/>
        </w:sectPr>
      </w:pPr>
    </w:p>
    <w:bookmarkStart w:id="251" w:name="page252"/>
    <w:bookmarkEnd w:id="251"/>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order of the person whose name appears on such certificate or certificates as the owner thereof. If on the applicable redemption date the Available Proceeds payable upon redemption of the shares of Preferred Stock to be redeemed on such date is paid or tendered for payment or deposited with an independent payment agent so as to be available therefor in a timely manner, then notwithstanding that any certificates evidencing any of the shares of Preferred Stock so redeemed shall not have been surrendered, all rights with respect to such shares shall forthwith after the redemption date terminate, except only the right of the holders to receive their allocable share of the Available Proceeds without interest upon surrender of any such certificate or certificates therefor.</w:t>
      </w:r>
    </w:p>
    <w:p>
      <w:pPr>
        <w:spacing w:after="0" w:line="192" w:lineRule="exact"/>
        <w:rPr>
          <w:sz w:val="20"/>
          <w:szCs w:val="20"/>
          <w:color w:val="auto"/>
        </w:rPr>
      </w:pPr>
    </w:p>
    <w:p>
      <w:pPr>
        <w:jc w:val="both"/>
        <w:ind w:right="160" w:firstLine="1983"/>
        <w:spacing w:after="0" w:line="259"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w:t>
      </w:r>
    </w:p>
    <w:p>
      <w:pPr>
        <w:spacing w:after="0" w:line="187" w:lineRule="exact"/>
        <w:rPr>
          <w:sz w:val="20"/>
          <w:szCs w:val="20"/>
          <w:color w:val="auto"/>
        </w:rPr>
      </w:pPr>
    </w:p>
    <w:p>
      <w:pPr>
        <w:ind w:right="40" w:firstLine="1983"/>
        <w:spacing w:after="0" w:line="253"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Allocation of Escrow and Contingent Consideration</w:t>
      </w:r>
      <w:r>
        <w:rPr>
          <w:rFonts w:ascii="Arial" w:cs="Arial" w:eastAsia="Arial" w:hAnsi="Arial"/>
          <w:sz w:val="18"/>
          <w:szCs w:val="18"/>
          <w:color w:val="auto"/>
        </w:rPr>
        <w:t xml:space="preserve">. In the event of a Deemed Liquidation Event pursuant to </w:t>
      </w:r>
      <w:r>
        <w:rPr>
          <w:rFonts w:ascii="Arial" w:cs="Arial" w:eastAsia="Arial" w:hAnsi="Arial"/>
          <w:sz w:val="18"/>
          <w:szCs w:val="18"/>
          <w:u w:val="single" w:color="auto"/>
          <w:color w:val="auto"/>
        </w:rPr>
        <w:t>Section 2.4.1(a)(i)</w:t>
      </w:r>
      <w:r>
        <w:rPr>
          <w:rFonts w:ascii="Arial" w:cs="Arial" w:eastAsia="Arial" w:hAnsi="Arial"/>
          <w:sz w:val="18"/>
          <w:szCs w:val="18"/>
          <w:color w:val="auto"/>
        </w:rPr>
        <w:t>, if any portion of the consideration payable to the stockholders of the Corporation is payable only upon satisfaction of contingencies (the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the Merger Agreement shall provide that (a) the portion of such consideration that is not Additional Consideration (such portion, the “</w:t>
      </w:r>
      <w:r>
        <w:rPr>
          <w:rFonts w:ascii="Arial" w:cs="Arial" w:eastAsia="Arial" w:hAnsi="Arial"/>
          <w:sz w:val="18"/>
          <w:szCs w:val="18"/>
          <w:b w:val="1"/>
          <w:bCs w:val="1"/>
          <w:color w:val="auto"/>
        </w:rPr>
        <w:t>Initial Consideration</w:t>
      </w:r>
      <w:r>
        <w:rPr>
          <w:rFonts w:ascii="Arial" w:cs="Arial" w:eastAsia="Arial" w:hAnsi="Arial"/>
          <w:sz w:val="18"/>
          <w:szCs w:val="18"/>
          <w:color w:val="auto"/>
        </w:rPr>
        <w:t xml:space="preserve">”) shall be allocated among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after taking into account the previous payment of the Initial Consideration as part of the same transaction. For the purposes of this </w:t>
      </w:r>
      <w:r>
        <w:rPr>
          <w:rFonts w:ascii="Arial" w:cs="Arial" w:eastAsia="Arial" w:hAnsi="Arial"/>
          <w:sz w:val="18"/>
          <w:szCs w:val="18"/>
          <w:u w:val="single" w:color="auto"/>
          <w:color w:val="auto"/>
        </w:rPr>
        <w:t>Section 2.4.4</w:t>
      </w:r>
      <w:r>
        <w:rPr>
          <w:rFonts w:ascii="Arial" w:cs="Arial" w:eastAsia="Arial" w:hAnsi="Arial"/>
          <w:sz w:val="18"/>
          <w:szCs w:val="18"/>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302" w:lineRule="exact"/>
        <w:rPr>
          <w:sz w:val="20"/>
          <w:szCs w:val="20"/>
          <w:color w:val="auto"/>
        </w:rPr>
      </w:pPr>
    </w:p>
    <w:p>
      <w:pPr>
        <w:ind w:left="1300" w:hanging="313"/>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Restated Certificate, holders of Preferred Stock shall vote together with the holders of Common Stock as a single class and on an as-converted to Common Stock basis.</w:t>
      </w:r>
    </w:p>
    <w:p>
      <w:pPr>
        <w:spacing w:after="0" w:line="192"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holders of record of the shares of Series A Preferred Stock, voting exclusively and as a separate class, shall be entitled to elect two (2) directors of the Corporation (the “</w:t>
      </w:r>
      <w:r>
        <w:rPr>
          <w:rFonts w:ascii="Arial" w:cs="Arial" w:eastAsia="Arial" w:hAnsi="Arial"/>
          <w:sz w:val="18"/>
          <w:szCs w:val="18"/>
          <w:b w:val="1"/>
          <w:bCs w:val="1"/>
          <w:color w:val="auto"/>
        </w:rPr>
        <w:t>Series A Directors</w:t>
      </w:r>
      <w:r>
        <w:rPr>
          <w:rFonts w:ascii="Arial" w:cs="Arial" w:eastAsia="Arial" w:hAnsi="Arial"/>
          <w:sz w:val="18"/>
          <w:szCs w:val="18"/>
          <w:color w:val="auto"/>
        </w:rPr>
        <w:t>”); the holders of record of the shares of Preferred Stock and the holders of record of the shares of Common Stock, each voting as a separate</w:t>
      </w:r>
    </w:p>
    <w:p>
      <w:pPr>
        <w:sectPr>
          <w:pgSz w:w="11900" w:h="16838" w:orient="portrait"/>
          <w:cols w:equalWidth="0" w:num="1">
            <w:col w:w="11000"/>
          </w:cols>
          <w:pgMar w:left="440" w:top="274" w:right="459" w:bottom="1440" w:gutter="0" w:footer="0" w:header="0"/>
        </w:sectPr>
      </w:pPr>
    </w:p>
    <w:bookmarkStart w:id="252" w:name="page253"/>
    <w:bookmarkEnd w:id="252"/>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class (i.e. the majority of each of the outstanding Preferred Stock, voting together as a single class on an as-converted basis, and the outstanding Common Stock is required for the election of such director), shall be entitled to jointly elect one (1) director of the Corporation (the “</w:t>
      </w:r>
      <w:r>
        <w:rPr>
          <w:rFonts w:ascii="Arial" w:cs="Arial" w:eastAsia="Arial" w:hAnsi="Arial"/>
          <w:sz w:val="17"/>
          <w:szCs w:val="17"/>
          <w:b w:val="1"/>
          <w:bCs w:val="1"/>
          <w:color w:val="auto"/>
        </w:rPr>
        <w:t>Joint Director</w:t>
      </w:r>
      <w:r>
        <w:rPr>
          <w:rFonts w:ascii="Arial" w:cs="Arial" w:eastAsia="Arial" w:hAnsi="Arial"/>
          <w:sz w:val="17"/>
          <w:szCs w:val="17"/>
          <w:color w:val="auto"/>
        </w:rPr>
        <w:t xml:space="preserve">”); the holders of record of the shares of Common Stock, exclusively and as a separate class, shall be entitled to elect one (1) 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or Common Stock, as the case may be, fail to elect a sufficient number of directors to fill all directorships for which they are entitled to elect directors, voting exclusively and as a separate class (or if the holders of the shares of Preferred Stock and the holders of the shares of Common Stock, each voting as a separate class, fail to elect the Joint Director), pursuant to the first sentence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then any directorship not so filled shall remain vacant until such time as the holders of the Series A Preferred Stock or Common Stock (or, in the case of the Joint Director, each of the holders of the Preferred Stock and the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88" w:lineRule="exact"/>
        <w:rPr>
          <w:sz w:val="20"/>
          <w:szCs w:val="20"/>
          <w:color w:val="auto"/>
        </w:rPr>
      </w:pPr>
    </w:p>
    <w:p>
      <w:pPr>
        <w:ind w:right="20" w:firstLine="1432"/>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shares of Preferred Stock are outstanding, the Corporation shall not, either directly or indirectly by amendment, merger, consolidation or otherwise, do any of the following without (in addition to any other vote required by law or this Restated Certificate)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initio</w:t>
      </w:r>
      <w:r>
        <w:rPr>
          <w:rFonts w:ascii="Arial" w:cs="Arial" w:eastAsia="Arial" w:hAnsi="Arial"/>
          <w:sz w:val="18"/>
          <w:szCs w:val="18"/>
          <w:color w:val="auto"/>
        </w:rPr>
        <w:t>, and of no force or effect.</w:t>
      </w:r>
    </w:p>
    <w:p>
      <w:pPr>
        <w:spacing w:after="0" w:line="188" w:lineRule="exact"/>
        <w:rPr>
          <w:sz w:val="20"/>
          <w:szCs w:val="20"/>
          <w:color w:val="auto"/>
        </w:rPr>
      </w:pPr>
    </w:p>
    <w:p>
      <w:pPr>
        <w:ind w:right="220" w:firstLine="1983"/>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Deemed Liquidation Event, or consent to any of the foregoing;</w:t>
      </w:r>
    </w:p>
    <w:p>
      <w:pPr>
        <w:spacing w:after="0" w:line="166" w:lineRule="exact"/>
        <w:rPr>
          <w:sz w:val="20"/>
          <w:szCs w:val="20"/>
          <w:color w:val="auto"/>
        </w:rPr>
      </w:pPr>
    </w:p>
    <w:p>
      <w:pPr>
        <w:ind w:right="340" w:firstLine="1983"/>
        <w:spacing w:after="0" w:line="282" w:lineRule="auto"/>
        <w:rPr>
          <w:sz w:val="20"/>
          <w:szCs w:val="20"/>
          <w:color w:val="auto"/>
        </w:rPr>
      </w:pPr>
      <w:r>
        <w:rPr>
          <w:rFonts w:ascii="Arial" w:cs="Arial" w:eastAsia="Arial" w:hAnsi="Arial"/>
          <w:sz w:val="18"/>
          <w:szCs w:val="18"/>
          <w:color w:val="auto"/>
        </w:rPr>
        <w:t>3.3.2 amend, alter or repeal any provision of this Restated Certificate or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 in a manner adverse to the Preferred Stock;</w:t>
      </w:r>
    </w:p>
    <w:p>
      <w:pPr>
        <w:spacing w:after="0" w:line="166"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3.3.3 create, or authorize the creation of, or issue or obligate itself to issue shares of, any additional class or series of capital stock unless the same ranks junior to all series of Preferred Stock with respect to the distribution of assets on the liquidation, dissolution or winding up of the Corporation, the payment of dividends and rights of redemption, or increase the</w:t>
      </w:r>
    </w:p>
    <w:p>
      <w:pPr>
        <w:sectPr>
          <w:pgSz w:w="11900" w:h="16838" w:orient="portrait"/>
          <w:cols w:equalWidth="0" w:num="1">
            <w:col w:w="11020"/>
          </w:cols>
          <w:pgMar w:left="440" w:top="274" w:right="439" w:bottom="1440" w:gutter="0" w:footer="0" w:header="0"/>
        </w:sectPr>
      </w:pPr>
    </w:p>
    <w:bookmarkStart w:id="253" w:name="page254"/>
    <w:bookmarkEnd w:id="253"/>
    <w:p>
      <w:pPr>
        <w:jc w:val="both"/>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authorized number of shares of Preferred Stock or increase the authorized number of shares of any additional class or series of capital stock of the Corporation unless the same ranks junior to all series of Preferred Stock with respect to the distribution of assets on the liquidation, dissolution or winding up of the Corporation, the payment of dividends and rights of redemption;</w:t>
      </w:r>
    </w:p>
    <w:p>
      <w:pPr>
        <w:spacing w:after="0" w:line="184"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3.3.4 (i) reclassify, alter or amend any existing security of the Corporation that is pari passu with any series Preferred Stock in respect of the distribution of assets on the liquidation, dissolution or winding up of the Corporation, the payment of dividends or rights of redemption, if such reclassification, alteration or amendment would render such other security senior to such series of Preferred Stock in respect of any such right, preference, or privilege or (ii) reclassify, alter or amend any existing security of the Corporation that is junior to any series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such series of Preferred Stock in respect of any such right, preference or privilege;</w:t>
      </w:r>
    </w:p>
    <w:p>
      <w:pPr>
        <w:spacing w:after="0" w:line="195" w:lineRule="exact"/>
        <w:rPr>
          <w:sz w:val="20"/>
          <w:szCs w:val="20"/>
          <w:color w:val="auto"/>
        </w:rPr>
      </w:pPr>
    </w:p>
    <w:p>
      <w:pPr>
        <w:ind w:firstLine="1983"/>
        <w:spacing w:after="0" w:line="255"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2" w:lineRule="exact"/>
        <w:rPr>
          <w:sz w:val="20"/>
          <w:szCs w:val="20"/>
          <w:color w:val="auto"/>
        </w:rPr>
      </w:pPr>
    </w:p>
    <w:p>
      <w:pPr>
        <w:ind w:right="60" w:firstLine="1983"/>
        <w:spacing w:after="0" w:line="257" w:lineRule="auto"/>
        <w:rPr>
          <w:sz w:val="20"/>
          <w:szCs w:val="20"/>
          <w:color w:val="auto"/>
        </w:rPr>
      </w:pPr>
      <w:r>
        <w:rPr>
          <w:rFonts w:ascii="Arial" w:cs="Arial" w:eastAsia="Arial" w:hAnsi="Arial"/>
          <w:sz w:val="18"/>
          <w:szCs w:val="18"/>
          <w:color w:val="auto"/>
        </w:rPr>
        <w:t>3.3.6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88"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increase or decrease the authorized number of directors constituting the Board of Directors.</w:t>
      </w:r>
    </w:p>
    <w:p>
      <w:pPr>
        <w:spacing w:after="0" w:line="225" w:lineRule="exact"/>
        <w:rPr>
          <w:sz w:val="20"/>
          <w:szCs w:val="20"/>
          <w:color w:val="auto"/>
        </w:rPr>
      </w:pPr>
    </w:p>
    <w:p>
      <w:pPr>
        <w:ind w:right="20" w:firstLine="1432"/>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xml:space="preserve">. At any time when shares of Series B Preferred Stock are outstanding, the Corporation shall not, either directly or indirectly by amendment, merger, consolidation or otherwise, do any of the following without (in addition to any other vote required by law or this Restated Certificate) the written consent or affirmative vote of the Requisite Series B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88"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amend, alter, repeal or waive any provision of this Restated Certificate or Bylaws in a manner adverse to the Series 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11"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increase the authorized number of shares of Series B Preferred Stock;</w:t>
      </w:r>
    </w:p>
    <w:p>
      <w:pPr>
        <w:sectPr>
          <w:pgSz w:w="11900" w:h="16838" w:orient="portrait"/>
          <w:cols w:equalWidth="0" w:num="1">
            <w:col w:w="11000"/>
          </w:cols>
          <w:pgMar w:left="440" w:top="274" w:right="459" w:bottom="1440" w:gutter="0" w:footer="0" w:header="0"/>
        </w:sectPr>
      </w:pPr>
    </w:p>
    <w:bookmarkStart w:id="254" w:name="page255"/>
    <w:bookmarkEnd w:id="254"/>
    <w:p>
      <w:pPr>
        <w:ind w:firstLine="198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3.4.3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2" w:lineRule="exact"/>
        <w:rPr>
          <w:sz w:val="20"/>
          <w:szCs w:val="20"/>
          <w:color w:val="auto"/>
        </w:rPr>
      </w:pPr>
    </w:p>
    <w:p>
      <w:pPr>
        <w:ind w:right="20" w:firstLine="1983"/>
        <w:spacing w:after="0" w:line="254" w:lineRule="auto"/>
        <w:rPr>
          <w:sz w:val="20"/>
          <w:szCs w:val="20"/>
          <w:color w:val="auto"/>
        </w:rPr>
      </w:pPr>
      <w:r>
        <w:rPr>
          <w:rFonts w:ascii="Arial" w:cs="Arial" w:eastAsia="Arial" w:hAnsi="Arial"/>
          <w:sz w:val="18"/>
          <w:szCs w:val="18"/>
          <w:color w:val="auto"/>
        </w:rPr>
        <w:t>3.4.4 (i) reclassify, alter or amend any existing security of the Corporation that is pari passu with the Series B Preferred Stock in respect of the distribution of assets on the liquidation, dissolution or winding up of the Corporation, the payment of dividends or rights of redemption, if such reclassification, alteration or amendment would render such other security senior to the Series B Preferred Stock in respect of any such right, preference, or privilege or (ii) reclassify, alter or amend any existing security of the Corporation that is junior to the Series B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B Preferred Stock in respect of any such right, preference or privilege; or</w:t>
      </w:r>
    </w:p>
    <w:p>
      <w:pPr>
        <w:spacing w:after="0" w:line="195" w:lineRule="exact"/>
        <w:rPr>
          <w:sz w:val="20"/>
          <w:szCs w:val="20"/>
          <w:color w:val="auto"/>
        </w:rPr>
      </w:pPr>
    </w:p>
    <w:p>
      <w:pPr>
        <w:ind w:right="100" w:firstLine="1983"/>
        <w:spacing w:after="0" w:line="277" w:lineRule="auto"/>
        <w:rPr>
          <w:sz w:val="20"/>
          <w:szCs w:val="20"/>
          <w:color w:val="auto"/>
        </w:rPr>
      </w:pPr>
      <w:r>
        <w:rPr>
          <w:rFonts w:ascii="Arial" w:cs="Arial" w:eastAsia="Arial" w:hAnsi="Arial"/>
          <w:sz w:val="18"/>
          <w:szCs w:val="18"/>
          <w:color w:val="auto"/>
        </w:rPr>
        <w:t>3.4.5 consummate a Deemed Liquidation Event in which the per share proceeds to the holders of Series B Preferred Stock are less than the Series B Original Issue Price in respect of such shares of Series B Preferred Stock.</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Optional Conversion</w:t>
      </w:r>
      <w:r>
        <w:rPr>
          <w:rFonts w:ascii="Arial" w:cs="Arial" w:eastAsia="Arial" w:hAnsi="Arial"/>
          <w:sz w:val="16"/>
          <w:szCs w:val="16"/>
          <w:color w:val="auto"/>
        </w:rPr>
        <w:t>. The holders of the Preferred Stock shall have conversion rights as follows (the “</w:t>
      </w:r>
      <w:r>
        <w:rPr>
          <w:rFonts w:ascii="Arial" w:cs="Arial" w:eastAsia="Arial" w:hAnsi="Arial"/>
          <w:sz w:val="16"/>
          <w:szCs w:val="16"/>
          <w:b w:val="1"/>
          <w:bCs w:val="1"/>
          <w:color w:val="auto"/>
        </w:rPr>
        <w:t>Conversion Rights</w:t>
      </w:r>
      <w:r>
        <w:rPr>
          <w:rFonts w:ascii="Arial" w:cs="Arial" w:eastAsia="Arial" w:hAnsi="Arial"/>
          <w:sz w:val="16"/>
          <w:szCs w:val="16"/>
          <w:color w:val="auto"/>
        </w:rPr>
        <w:t>”):</w:t>
      </w:r>
    </w:p>
    <w:p>
      <w:pPr>
        <w:spacing w:after="0" w:line="337"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firstLine="1983"/>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$3.00. Such initial Series A Conversion Price, and the rate at which shares of Series A Preferred Stock may be converted into shares of Common Stock, shall be subject to adjustment as provided below. The “</w:t>
      </w:r>
      <w:r>
        <w:rPr>
          <w:rFonts w:ascii="Arial" w:cs="Arial" w:eastAsia="Arial" w:hAnsi="Arial"/>
          <w:sz w:val="16"/>
          <w:szCs w:val="16"/>
          <w:b w:val="1"/>
          <w:b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color w:val="auto"/>
        </w:rPr>
        <w:t>B Conversion Price</w:t>
      </w:r>
      <w:r>
        <w:rPr>
          <w:rFonts w:ascii="Arial" w:cs="Arial" w:eastAsia="Arial" w:hAnsi="Arial"/>
          <w:sz w:val="16"/>
          <w:szCs w:val="16"/>
          <w:color w:val="auto"/>
        </w:rPr>
        <w:t>” shall initially be equal to $17.00. Such initial Series B Conversion Price, and the rate at which shares of Series B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may be converted into shares of Common Stock, shall be subject to adjustment as provided below. The applicable “</w:t>
      </w:r>
      <w:r>
        <w:rPr>
          <w:rFonts w:ascii="Arial" w:cs="Arial" w:eastAsia="Arial" w:hAnsi="Arial"/>
          <w:sz w:val="16"/>
          <w:szCs w:val="16"/>
          <w:b w:val="1"/>
          <w:bCs w:val="1"/>
          <w:color w:val="auto"/>
        </w:rPr>
        <w:t>Conversion Price</w:t>
      </w:r>
      <w:r>
        <w:rPr>
          <w:rFonts w:ascii="Arial" w:cs="Arial" w:eastAsia="Arial" w:hAnsi="Arial"/>
          <w:sz w:val="16"/>
          <w:szCs w:val="16"/>
          <w:color w:val="auto"/>
        </w:rPr>
        <w:t>” shall mean the Series A Conversion Price in the case of the Series A Preferred Stock and the Series B Conversion Price in the case of the Series B Preferred Stock.</w:t>
      </w:r>
    </w:p>
    <w:p>
      <w:pPr>
        <w:spacing w:after="0" w:line="165"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ectPr>
          <w:pgSz w:w="11900" w:h="16838" w:orient="portrait"/>
          <w:cols w:equalWidth="0" w:num="1">
            <w:col w:w="11000"/>
          </w:cols>
          <w:pgMar w:left="440" w:top="274" w:right="459" w:bottom="1440" w:gutter="0" w:footer="0" w:header="0"/>
        </w:sectPr>
      </w:pPr>
    </w:p>
    <w:bookmarkStart w:id="255" w:name="page256"/>
    <w:bookmarkEnd w:id="255"/>
    <w:p>
      <w:pPr>
        <w:ind w:firstLine="1432"/>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4"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right="20" w:firstLine="198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(or notice of issuance if such shares are uncertificated)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69" w:lineRule="exact"/>
        <w:rPr>
          <w:sz w:val="20"/>
          <w:szCs w:val="20"/>
          <w:color w:val="auto"/>
        </w:rPr>
      </w:pPr>
    </w:p>
    <w:p>
      <w:pPr>
        <w:jc w:val="both"/>
        <w:ind w:firstLine="1983"/>
        <w:spacing w:after="0" w:line="27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shares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w:t>
      </w:r>
    </w:p>
    <w:p>
      <w:pPr>
        <w:sectPr>
          <w:pgSz w:w="11900" w:h="16838" w:orient="portrait"/>
          <w:cols w:equalWidth="0" w:num="1">
            <w:col w:w="11000"/>
          </w:cols>
          <w:pgMar w:left="440" w:top="274" w:right="459" w:bottom="1440" w:gutter="0" w:footer="0" w:header="0"/>
        </w:sectPr>
      </w:pPr>
    </w:p>
    <w:bookmarkStart w:id="256" w:name="page257"/>
    <w:bookmarkEnd w:id="25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4" w:lineRule="exact"/>
        <w:rPr>
          <w:sz w:val="20"/>
          <w:szCs w:val="20"/>
          <w:color w:val="auto"/>
        </w:rPr>
      </w:pPr>
    </w:p>
    <w:p>
      <w:pPr>
        <w:ind w:right="80" w:firstLine="1983"/>
        <w:spacing w:after="0" w:line="254"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5" w:lineRule="exact"/>
        <w:rPr>
          <w:sz w:val="20"/>
          <w:szCs w:val="20"/>
          <w:color w:val="auto"/>
        </w:rPr>
      </w:pPr>
    </w:p>
    <w:p>
      <w:pPr>
        <w:ind w:right="140" w:firstLine="1983"/>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24" w:lineRule="exact"/>
        <w:rPr>
          <w:sz w:val="20"/>
          <w:szCs w:val="20"/>
          <w:color w:val="auto"/>
        </w:rPr>
      </w:pPr>
    </w:p>
    <w:p>
      <w:pPr>
        <w:ind w:right="6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300"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117" w:lineRule="exact"/>
        <w:rPr>
          <w:sz w:val="20"/>
          <w:szCs w:val="20"/>
          <w:color w:val="auto"/>
        </w:rPr>
      </w:pPr>
    </w:p>
    <w:p>
      <w:pPr>
        <w:ind w:left="1980"/>
        <w:spacing w:after="0"/>
        <w:tabs>
          <w:tab w:leader="none" w:pos="250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2420"/>
        <w:spacing w:after="0"/>
        <w:tabs>
          <w:tab w:leader="none" w:pos="27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Convertible Securities.</w:t>
      </w:r>
    </w:p>
    <w:p>
      <w:pPr>
        <w:spacing w:after="0" w:line="207" w:lineRule="exact"/>
        <w:rPr>
          <w:sz w:val="20"/>
          <w:szCs w:val="20"/>
          <w:color w:val="auto"/>
        </w:rPr>
      </w:pPr>
    </w:p>
    <w:p>
      <w:pPr>
        <w:ind w:left="2800" w:hanging="381"/>
        <w:spacing w:after="0"/>
        <w:tabs>
          <w:tab w:leader="none" w:pos="2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B Original Issue Date</w:t>
      </w:r>
      <w:r>
        <w:rPr>
          <w:rFonts w:ascii="Arial" w:cs="Arial" w:eastAsia="Arial" w:hAnsi="Arial"/>
          <w:sz w:val="17"/>
          <w:szCs w:val="17"/>
          <w:color w:val="auto"/>
        </w:rPr>
        <w:t>” shall mean the date on which the first share of Series B Preferred Stock was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ectPr>
          <w:pgSz w:w="11900" w:h="16838" w:orient="portrait"/>
          <w:cols w:equalWidth="0" w:num="1">
            <w:col w:w="11000"/>
          </w:cols>
          <w:pgMar w:left="440" w:top="274" w:right="459" w:bottom="1440" w:gutter="0" w:footer="0" w:header="0"/>
        </w:sectPr>
      </w:pPr>
    </w:p>
    <w:bookmarkStart w:id="257" w:name="page258"/>
    <w:bookmarkEnd w:id="257"/>
    <w:p>
      <w:pPr>
        <w:ind w:right="600" w:firstLine="2419"/>
        <w:spacing w:after="0" w:line="282" w:lineRule="auto"/>
        <w:tabs>
          <w:tab w:leader="none" w:pos="28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right="220" w:firstLine="2419"/>
        <w:spacing w:after="0" w:line="261" w:lineRule="auto"/>
        <w:tabs>
          <w:tab w:leader="none" w:pos="281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xml:space="preserve">” shall mean all shares of Common Stock issued (or,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400" w:right="480" w:hanging="542"/>
        <w:spacing w:after="0" w:line="277" w:lineRule="auto"/>
        <w:tabs>
          <w:tab w:leader="none" w:pos="3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75" w:lineRule="exact"/>
        <w:rPr>
          <w:rFonts w:ascii="Arial" w:cs="Arial" w:eastAsia="Arial" w:hAnsi="Arial"/>
          <w:sz w:val="18"/>
          <w:szCs w:val="18"/>
          <w:color w:val="auto"/>
        </w:rPr>
      </w:pPr>
    </w:p>
    <w:p>
      <w:pPr>
        <w:jc w:val="both"/>
        <w:ind w:left="3400" w:right="140" w:hanging="542"/>
        <w:spacing w:after="0" w:line="342" w:lineRule="auto"/>
        <w:tabs>
          <w:tab w:leader="none" w:pos="34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b w:val="1"/>
          <w:bCs w:val="1"/>
          <w:color w:val="auto"/>
        </w:rPr>
        <w:t>;</w:t>
      </w:r>
    </w:p>
    <w:p>
      <w:pPr>
        <w:spacing w:after="0" w:line="29" w:lineRule="exact"/>
        <w:rPr>
          <w:rFonts w:ascii="Arial" w:cs="Arial" w:eastAsia="Arial" w:hAnsi="Arial"/>
          <w:sz w:val="16"/>
          <w:szCs w:val="16"/>
          <w:color w:val="auto"/>
        </w:rPr>
      </w:pPr>
    </w:p>
    <w:p>
      <w:pPr>
        <w:ind w:left="3400" w:right="160" w:hanging="542"/>
        <w:spacing w:after="0" w:line="257" w:lineRule="auto"/>
        <w:tabs>
          <w:tab w:leader="none" w:pos="34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Common Stock, including Options therefor (subject to appropriate adjustment in the event of any stock dividend, stock split, combination or other similar recapitalization affecting such shares), issued or issuable to employees or directors of, or consultants or advisors to, the Corporation or any of its subsidiaries, pursuant to the terms of any plan, agreement or arrangement approved by the Board of Directors; or</w:t>
      </w:r>
    </w:p>
    <w:p>
      <w:pPr>
        <w:spacing w:after="0" w:line="93" w:lineRule="exact"/>
        <w:rPr>
          <w:rFonts w:ascii="Arial" w:cs="Arial" w:eastAsia="Arial" w:hAnsi="Arial"/>
          <w:sz w:val="18"/>
          <w:szCs w:val="18"/>
          <w:color w:val="auto"/>
        </w:rPr>
      </w:pPr>
    </w:p>
    <w:p>
      <w:pPr>
        <w:ind w:left="3400" w:right="20" w:hanging="542"/>
        <w:spacing w:after="0" w:line="311" w:lineRule="auto"/>
        <w:tabs>
          <w:tab w:leader="none" w:pos="34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49" w:lineRule="exact"/>
        <w:rPr>
          <w:sz w:val="20"/>
          <w:szCs w:val="20"/>
          <w:color w:val="auto"/>
        </w:rPr>
      </w:pPr>
    </w:p>
    <w:p>
      <w:pPr>
        <w:ind w:firstLine="1983"/>
        <w:spacing w:after="0" w:line="259"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in the applicable Conversion Price for a series of Preferred Stock shall be made as the result of the issuance or deemed issuance of Additional Shares of Common Stock if the Corporation receives written notice from the holders of a majority of the outstanding shares of such series of Preferred Stock agreeing that no such adjustment shall be made as the result of the issuance or deemed issuance of such Additional Shares of Common Stock.</w:t>
      </w:r>
    </w:p>
    <w:p>
      <w:pPr>
        <w:sectPr>
          <w:pgSz w:w="11900" w:h="16838" w:orient="portrait"/>
          <w:cols w:equalWidth="0" w:num="1">
            <w:col w:w="10980"/>
          </w:cols>
          <w:pgMar w:left="440" w:top="270" w:right="479" w:bottom="1440" w:gutter="0" w:footer="0" w:header="0"/>
        </w:sectPr>
      </w:pPr>
    </w:p>
    <w:bookmarkStart w:id="258" w:name="page259"/>
    <w:bookmarkEnd w:id="258"/>
    <w:p>
      <w:pPr>
        <w:ind w:left="98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7" w:lineRule="exact"/>
        <w:rPr>
          <w:sz w:val="20"/>
          <w:szCs w:val="20"/>
          <w:color w:val="auto"/>
        </w:rPr>
      </w:pPr>
    </w:p>
    <w:p>
      <w:pPr>
        <w:ind w:left="-1000" w:right="40" w:firstLine="2419"/>
        <w:spacing w:after="0" w:line="254" w:lineRule="auto"/>
        <w:tabs>
          <w:tab w:leader="none" w:pos="18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left="-1000" w:firstLine="2419"/>
        <w:spacing w:after="0" w:line="286" w:lineRule="auto"/>
        <w:tabs>
          <w:tab w:leader="none" w:pos="181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left="-1000" w:right="20" w:firstLine="2419"/>
        <w:spacing w:after="0" w:line="271" w:lineRule="auto"/>
        <w:tabs>
          <w:tab w:leader="none" w:pos="180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Section 4.4.5</w:t>
      </w:r>
      <w:r>
        <w:rPr>
          <w:rFonts w:ascii="Arial" w:cs="Arial" w:eastAsia="Arial" w:hAnsi="Arial"/>
          <w:sz w:val="17"/>
          <w:szCs w:val="17"/>
          <w:color w:val="auto"/>
        </w:rPr>
        <w:t>) of the Additional Shares of Common Stock subject thereto was equal to or greater than the applicable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w:t>
      </w:r>
    </w:p>
    <w:p>
      <w:pPr>
        <w:sectPr>
          <w:pgSz w:w="11900" w:h="16838" w:orient="portrait"/>
          <w:cols w:equalWidth="0" w:num="1">
            <w:col w:w="10000"/>
          </w:cols>
          <w:pgMar w:left="1440" w:top="274" w:right="459" w:bottom="1440" w:gutter="0" w:footer="0" w:header="0"/>
        </w:sectPr>
      </w:pPr>
    </w:p>
    <w:bookmarkStart w:id="259" w:name="page260"/>
    <w:bookmarkEnd w:id="259"/>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8"/>
          <w:szCs w:val="18"/>
          <w:u w:val="single" w:color="auto"/>
          <w:color w:val="auto"/>
        </w:rPr>
        <w:t>Section 4.4.3(a)</w:t>
      </w:r>
      <w:r>
        <w:rPr>
          <w:rFonts w:ascii="Arial" w:cs="Arial" w:eastAsia="Arial" w:hAnsi="Arial"/>
          <w:sz w:val="18"/>
          <w:szCs w:val="18"/>
          <w:color w:val="auto"/>
        </w:rPr>
        <w:t xml:space="preserve"> shall be deemed to have been issued effective upon such increase or decrease becoming effective.</w:t>
      </w:r>
    </w:p>
    <w:p>
      <w:pPr>
        <w:spacing w:after="0" w:line="184" w:lineRule="exact"/>
        <w:rPr>
          <w:sz w:val="20"/>
          <w:szCs w:val="20"/>
          <w:color w:val="auto"/>
        </w:rPr>
      </w:pPr>
    </w:p>
    <w:p>
      <w:pPr>
        <w:ind w:right="380" w:firstLine="2419"/>
        <w:spacing w:after="0" w:line="279" w:lineRule="auto"/>
        <w:tabs>
          <w:tab w:leader="none" w:pos="281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the applicable Conversion Price shall be readjusted to such applicable Conversion Price as would have obtained had such Option or Convertible Security (or portion thereof) never been issued.</w:t>
      </w:r>
    </w:p>
    <w:p>
      <w:pPr>
        <w:spacing w:after="0" w:line="171" w:lineRule="exact"/>
        <w:rPr>
          <w:rFonts w:ascii="Arial" w:cs="Arial" w:eastAsia="Arial" w:hAnsi="Arial"/>
          <w:sz w:val="17"/>
          <w:szCs w:val="17"/>
          <w:color w:val="auto"/>
        </w:rPr>
      </w:pPr>
    </w:p>
    <w:p>
      <w:pPr>
        <w:ind w:firstLine="2419"/>
        <w:spacing w:after="0" w:line="287" w:lineRule="auto"/>
        <w:tabs>
          <w:tab w:leader="none" w:pos="280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2" w:lineRule="exact"/>
        <w:rPr>
          <w:sz w:val="20"/>
          <w:szCs w:val="20"/>
          <w:color w:val="auto"/>
        </w:rPr>
      </w:pPr>
    </w:p>
    <w:p>
      <w:pPr>
        <w:ind w:firstLine="1983"/>
        <w:spacing w:after="0" w:line="296"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Conversion Price Upon Issuance of Additional Shares of Common Stock</w:t>
      </w:r>
      <w:r>
        <w:rPr>
          <w:rFonts w:ascii="Arial" w:cs="Arial" w:eastAsia="Arial" w:hAnsi="Arial"/>
          <w:sz w:val="16"/>
          <w:szCs w:val="16"/>
          <w:color w:val="auto"/>
        </w:rPr>
        <w:t xml:space="preserve">. In the event the Corporation shall at any time or from time to time after the Series B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Section 4.4.3</w:t>
      </w:r>
      <w:r>
        <w:rPr>
          <w:rFonts w:ascii="Arial" w:cs="Arial" w:eastAsia="Arial" w:hAnsi="Arial"/>
          <w:sz w:val="16"/>
          <w:szCs w:val="16"/>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3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100" w:firstLine="2419"/>
        <w:spacing w:after="0" w:line="277" w:lineRule="auto"/>
        <w:tabs>
          <w:tab w:leader="none" w:pos="28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540" w:firstLine="2419"/>
        <w:spacing w:after="0" w:line="277" w:lineRule="auto"/>
        <w:tabs>
          <w:tab w:leader="none" w:pos="28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immediately prior to such issuance or deemed issuance of Additional Shares of Common Stock;</w:t>
      </w:r>
    </w:p>
    <w:p>
      <w:pPr>
        <w:sectPr>
          <w:pgSz w:w="11900" w:h="16838" w:orient="portrait"/>
          <w:cols w:equalWidth="0" w:num="1">
            <w:col w:w="10960"/>
          </w:cols>
          <w:pgMar w:left="440" w:top="274" w:right="499" w:bottom="1440" w:gutter="0" w:footer="0" w:header="0"/>
        </w:sectPr>
      </w:pPr>
    </w:p>
    <w:bookmarkStart w:id="260" w:name="page261"/>
    <w:bookmarkEnd w:id="260"/>
    <w:p>
      <w:pPr>
        <w:ind w:right="20" w:firstLine="2419"/>
        <w:spacing w:after="0" w:line="279" w:lineRule="auto"/>
        <w:tabs>
          <w:tab w:leader="none" w:pos="2803"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jc w:val="both"/>
        <w:ind w:right="20" w:firstLine="2419"/>
        <w:spacing w:after="0" w:line="275" w:lineRule="auto"/>
        <w:tabs>
          <w:tab w:leader="none" w:pos="281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800" w:hanging="381"/>
        <w:spacing w:after="0"/>
        <w:tabs>
          <w:tab w:leader="none" w:pos="2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16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2800" w:hanging="381"/>
        <w:spacing w:after="0"/>
        <w:tabs>
          <w:tab w:leader="none" w:pos="28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right="120" w:hanging="542"/>
        <w:spacing w:after="0" w:line="277" w:lineRule="auto"/>
        <w:tabs>
          <w:tab w:leader="none" w:pos="34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00" w:right="60" w:hanging="542"/>
        <w:spacing w:after="0" w:line="277" w:lineRule="auto"/>
        <w:tabs>
          <w:tab w:leader="none" w:pos="34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and</w:t>
      </w:r>
    </w:p>
    <w:p>
      <w:pPr>
        <w:spacing w:after="0" w:line="75" w:lineRule="exact"/>
        <w:rPr>
          <w:rFonts w:ascii="Arial" w:cs="Arial" w:eastAsia="Arial" w:hAnsi="Arial"/>
          <w:sz w:val="18"/>
          <w:szCs w:val="18"/>
          <w:color w:val="auto"/>
        </w:rPr>
      </w:pPr>
    </w:p>
    <w:p>
      <w:pPr>
        <w:ind w:left="3400" w:hanging="542"/>
        <w:spacing w:after="0" w:line="259" w:lineRule="auto"/>
        <w:tabs>
          <w:tab w:leader="none" w:pos="34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86" w:lineRule="exact"/>
        <w:rPr>
          <w:rFonts w:ascii="Arial" w:cs="Arial" w:eastAsia="Arial" w:hAnsi="Arial"/>
          <w:sz w:val="18"/>
          <w:szCs w:val="18"/>
          <w:color w:val="auto"/>
        </w:rPr>
      </w:pPr>
    </w:p>
    <w:p>
      <w:pPr>
        <w:ind w:right="140" w:firstLine="2419"/>
        <w:spacing w:after="0" w:line="263" w:lineRule="auto"/>
        <w:tabs>
          <w:tab w:leader="none" w:pos="281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relating to Options and Convertible Securities, shall be determined by dividing:</w:t>
      </w:r>
    </w:p>
    <w:p>
      <w:pPr>
        <w:spacing w:after="0" w:line="89" w:lineRule="exact"/>
        <w:rPr>
          <w:rFonts w:ascii="Arial" w:cs="Arial" w:eastAsia="Arial" w:hAnsi="Arial"/>
          <w:sz w:val="18"/>
          <w:szCs w:val="18"/>
          <w:color w:val="auto"/>
        </w:rPr>
      </w:pPr>
    </w:p>
    <w:p>
      <w:pPr>
        <w:ind w:left="3400" w:right="80" w:hanging="542"/>
        <w:spacing w:after="0" w:line="277" w:lineRule="auto"/>
        <w:tabs>
          <w:tab w:leader="none" w:pos="34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w:t>
      </w:r>
    </w:p>
    <w:p>
      <w:pPr>
        <w:sectPr>
          <w:pgSz w:w="11900" w:h="16838" w:orient="portrait"/>
          <w:cols w:equalWidth="0" w:num="1">
            <w:col w:w="10980"/>
          </w:cols>
          <w:pgMar w:left="440" w:top="274" w:right="479" w:bottom="1440" w:gutter="0" w:footer="0" w:header="0"/>
        </w:sectPr>
      </w:pPr>
    </w:p>
    <w:bookmarkStart w:id="261" w:name="page262"/>
    <w:bookmarkEnd w:id="261"/>
    <w:p>
      <w:pPr>
        <w:ind w:left="340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8" w:lineRule="exact"/>
        <w:rPr>
          <w:sz w:val="20"/>
          <w:szCs w:val="20"/>
          <w:color w:val="auto"/>
        </w:rPr>
      </w:pPr>
    </w:p>
    <w:p>
      <w:pPr>
        <w:ind w:left="3400" w:right="40" w:hanging="542"/>
        <w:spacing w:after="0" w:line="275" w:lineRule="auto"/>
        <w:tabs>
          <w:tab w:leader="none" w:pos="34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6" w:lineRule="exact"/>
        <w:rPr>
          <w:sz w:val="20"/>
          <w:szCs w:val="20"/>
          <w:color w:val="auto"/>
        </w:rPr>
      </w:pPr>
    </w:p>
    <w:p>
      <w:pPr>
        <w:ind w:firstLine="1983"/>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firstLine="143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B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ectPr>
          <w:pgSz w:w="11900" w:h="16838" w:orient="portrait"/>
          <w:cols w:equalWidth="0" w:num="1">
            <w:col w:w="11000"/>
          </w:cols>
          <w:pgMar w:left="440" w:top="274" w:right="459" w:bottom="1440" w:gutter="0" w:footer="0" w:header="0"/>
        </w:sectPr>
      </w:pPr>
    </w:p>
    <w:bookmarkStart w:id="262" w:name="page263"/>
    <w:bookmarkEnd w:id="262"/>
    <w:p>
      <w:pPr>
        <w:ind w:left="4" w:firstLine="1432"/>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76" w:lineRule="exact"/>
        <w:rPr>
          <w:sz w:val="20"/>
          <w:szCs w:val="20"/>
          <w:color w:val="auto"/>
        </w:rPr>
      </w:pPr>
    </w:p>
    <w:p>
      <w:pPr>
        <w:ind w:left="4" w:right="40" w:firstLine="1979"/>
        <w:spacing w:after="0" w:line="277" w:lineRule="auto"/>
        <w:tabs>
          <w:tab w:leader="none" w:pos="23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left="4" w:right="140" w:firstLine="1979"/>
        <w:spacing w:after="0" w:line="263" w:lineRule="auto"/>
        <w:tabs>
          <w:tab w:leader="none" w:pos="237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left="4" w:right="80" w:hanging="4"/>
        <w:spacing w:after="0" w:line="255" w:lineRule="auto"/>
        <w:tabs>
          <w:tab w:leader="none" w:pos="2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0"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left="4" w:right="40" w:firstLine="1432"/>
        <w:spacing w:after="0" w:line="27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then, following any such reorganization, recapitalization, reclassification, consolidation or merger, each share of Preferred Stock shall</w:t>
      </w:r>
    </w:p>
    <w:p>
      <w:pPr>
        <w:sectPr>
          <w:pgSz w:w="11900" w:h="16838" w:orient="portrait"/>
          <w:cols w:equalWidth="0" w:num="1">
            <w:col w:w="11004"/>
          </w:cols>
          <w:pgMar w:left="436" w:top="274" w:right="459" w:bottom="1440" w:gutter="0" w:footer="0" w:header="0"/>
        </w:sectPr>
      </w:pPr>
    </w:p>
    <w:bookmarkStart w:id="263" w:name="page264"/>
    <w:bookmarkEnd w:id="263"/>
    <w:p>
      <w:pPr>
        <w:ind w:left="4"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with respect to the rights and interests thereafter of the holders of the Preferred Stock, to the end that the provisions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192" w:lineRule="exact"/>
        <w:rPr>
          <w:sz w:val="20"/>
          <w:szCs w:val="20"/>
          <w:color w:val="auto"/>
        </w:rPr>
      </w:pPr>
    </w:p>
    <w:p>
      <w:pPr>
        <w:ind w:left="4" w:firstLine="1432"/>
        <w:spacing w:after="0" w:line="29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applicable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65" w:lineRule="exact"/>
        <w:rPr>
          <w:sz w:val="20"/>
          <w:szCs w:val="20"/>
          <w:color w:val="auto"/>
        </w:rPr>
      </w:pPr>
    </w:p>
    <w:p>
      <w:pPr>
        <w:ind w:left="1424"/>
        <w:spacing w:after="0"/>
        <w:tabs>
          <w:tab w:leader="none" w:pos="1904"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ind w:left="4" w:right="60" w:firstLine="1979"/>
        <w:spacing w:after="0" w:line="311" w:lineRule="auto"/>
        <w:tabs>
          <w:tab w:leader="none" w:pos="236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364" w:hanging="381"/>
        <w:spacing w:after="0"/>
        <w:tabs>
          <w:tab w:leader="none" w:pos="236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left="2364" w:hanging="381"/>
        <w:spacing w:after="0"/>
        <w:tabs>
          <w:tab w:leader="none" w:pos="236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60" w:hanging="4"/>
        <w:spacing w:after="0" w:line="271" w:lineRule="auto"/>
        <w:tabs>
          <w:tab w:leader="none" w:pos="21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w:t>
      </w:r>
    </w:p>
    <w:p>
      <w:pPr>
        <w:sectPr>
          <w:pgSz w:w="11900" w:h="16838" w:orient="portrait"/>
          <w:cols w:equalWidth="0" w:num="1">
            <w:col w:w="11004"/>
          </w:cols>
          <w:pgMar w:left="436" w:top="274" w:right="459" w:bottom="1440" w:gutter="0" w:footer="0" w:header="0"/>
        </w:sectPr>
      </w:pPr>
    </w:p>
    <w:bookmarkStart w:id="264" w:name="page265"/>
    <w:bookmarkEnd w:id="264"/>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254" w:lineRule="exact"/>
        <w:rPr>
          <w:sz w:val="20"/>
          <w:szCs w:val="20"/>
          <w:color w:val="auto"/>
        </w:rPr>
      </w:pPr>
    </w:p>
    <w:p>
      <w:pPr>
        <w:ind w:left="1300" w:hanging="313"/>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right="40" w:firstLine="1432"/>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Trigger Events</w:t>
      </w:r>
      <w:r>
        <w:rPr>
          <w:rFonts w:ascii="Arial" w:cs="Arial" w:eastAsia="Arial" w:hAnsi="Arial"/>
          <w:sz w:val="17"/>
          <w:szCs w:val="17"/>
          <w:color w:val="auto"/>
        </w:rPr>
        <w:t>. Upon either (a) the closing of the sale of shares of Common Stock to the public at a price per share of at least $17.00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to the Corporation and in connection with such offering the Common Stock is listed for trading on the Nasdaq Stock Market’s National Market, the New York Stock Exchange or another exchange or marketplace approved by the Board of Directors, including the approval of at least one of the Series A Directors or (b) the date and time, or the occurrence of an event, specified by vote or written consent of (i) the Requisite Holders and (ii) the Requisite Series B Holders (the time of such closing or the date and time specified or the time of the event specified in such vote or written consent is referred to herein as the “</w:t>
      </w:r>
      <w:r>
        <w:rPr>
          <w:rFonts w:ascii="Arial" w:cs="Arial" w:eastAsia="Arial" w:hAnsi="Arial"/>
          <w:sz w:val="17"/>
          <w:szCs w:val="17"/>
          <w:b w:val="1"/>
          <w:bCs w:val="1"/>
          <w:color w:val="auto"/>
        </w:rPr>
        <w:t>Mandatory Conversion Time</w:t>
      </w:r>
      <w:r>
        <w:rPr>
          <w:rFonts w:ascii="Arial" w:cs="Arial" w:eastAsia="Arial" w:hAnsi="Arial"/>
          <w:sz w:val="17"/>
          <w:szCs w:val="17"/>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(ii) such shares may not be reissued by the Corporation.</w:t>
      </w:r>
    </w:p>
    <w:p>
      <w:pPr>
        <w:spacing w:after="0" w:line="18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w:t>
      </w:r>
    </w:p>
    <w:p>
      <w:pPr>
        <w:sectPr>
          <w:pgSz w:w="11900" w:h="16838" w:orient="portrait"/>
          <w:cols w:equalWidth="0" w:num="1">
            <w:col w:w="11000"/>
          </w:cols>
          <w:pgMar w:left="440" w:top="274" w:right="459" w:bottom="1440" w:gutter="0" w:footer="0" w:header="0"/>
        </w:sectPr>
      </w:pPr>
    </w:p>
    <w:bookmarkStart w:id="265" w:name="page266"/>
    <w:bookmarkEnd w:id="265"/>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46" w:lineRule="exact"/>
        <w:rPr>
          <w:sz w:val="20"/>
          <w:szCs w:val="20"/>
          <w:color w:val="auto"/>
        </w:rPr>
      </w:pPr>
    </w:p>
    <w:p>
      <w:pPr>
        <w:ind w:right="100" w:firstLine="987"/>
        <w:spacing w:after="0" w:line="311" w:lineRule="auto"/>
        <w:tabs>
          <w:tab w:leader="none" w:pos="130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8" w:lineRule="exact"/>
        <w:rPr>
          <w:rFonts w:ascii="Arial" w:cs="Arial" w:eastAsia="Arial" w:hAnsi="Arial"/>
          <w:sz w:val="16"/>
          <w:szCs w:val="16"/>
          <w:color w:val="auto"/>
        </w:rPr>
      </w:pPr>
    </w:p>
    <w:p>
      <w:pPr>
        <w:jc w:val="both"/>
        <w:ind w:right="200" w:firstLine="987"/>
        <w:spacing w:after="0" w:line="263" w:lineRule="auto"/>
        <w:tabs>
          <w:tab w:leader="none" w:pos="130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Except as otherwise provided herein, any of the rights, powers, preferences and other terms of the Preferred Stock set forth herein may be waived on behalf of all holders of Preferred Stock by the affirmative written consent or vote of the holders of at least a majority of the shares of Preferred Stock then outstanding, voting together as a single class on an as-converted basis.</w:t>
      </w:r>
    </w:p>
    <w:p>
      <w:pPr>
        <w:spacing w:after="0" w:line="183" w:lineRule="exact"/>
        <w:rPr>
          <w:rFonts w:ascii="Arial" w:cs="Arial" w:eastAsia="Arial" w:hAnsi="Arial"/>
          <w:sz w:val="18"/>
          <w:szCs w:val="18"/>
          <w:color w:val="auto"/>
        </w:rPr>
      </w:pPr>
    </w:p>
    <w:p>
      <w:pPr>
        <w:ind w:right="80" w:firstLine="987"/>
        <w:spacing w:after="0" w:line="311" w:lineRule="auto"/>
        <w:tabs>
          <w:tab w:leader="none" w:pos="130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400" w:firstLine="440"/>
        <w:spacing w:after="0" w:line="347" w:lineRule="auto"/>
        <w:rPr>
          <w:sz w:val="20"/>
          <w:szCs w:val="20"/>
          <w:color w:val="auto"/>
        </w:rPr>
      </w:pPr>
      <w:r>
        <w:rPr>
          <w:rFonts w:ascii="Arial" w:cs="Arial" w:eastAsia="Arial" w:hAnsi="Arial"/>
          <w:sz w:val="16"/>
          <w:szCs w:val="16"/>
          <w:b w:val="1"/>
          <w:bCs w:val="1"/>
          <w:color w:val="auto"/>
        </w:rPr>
        <w:t xml:space="preserve">FIFTH: </w:t>
      </w:r>
      <w:r>
        <w:rPr>
          <w:rFonts w:ascii="Arial" w:cs="Arial" w:eastAsia="Arial" w:hAnsi="Arial"/>
          <w:sz w:val="16"/>
          <w:szCs w:val="16"/>
          <w:color w:val="auto"/>
        </w:rPr>
        <w:t>Subject to any additional vote required by this Restated Certificate or the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w:t>
      </w:r>
    </w:p>
    <w:p>
      <w:pPr>
        <w:spacing w:after="0" w:line="116"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SIXTH: </w:t>
      </w:r>
      <w:r>
        <w:rPr>
          <w:rFonts w:ascii="Arial" w:cs="Arial" w:eastAsia="Arial" w:hAnsi="Arial"/>
          <w:sz w:val="16"/>
          <w:szCs w:val="16"/>
          <w:color w:val="auto"/>
        </w:rPr>
        <w:t>Subject to any additional vote required by this Restated Certificate, the number of directors of the Corporation shall be determined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set forth in the Bylaws. Each director shall be entitled to one vote on each matter presented to the Board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the holders of Series A Preferred Stock are entitled to elect any Series A Directors, the affirmative vote of at least one Series A Director shall be required for the authorization by the Board of Directors of any of the matters set forth in Section 5.4 of the Amended and Restated Investors’ Rights Agreement, dated as of July 2, 2020, by and among the Corporation and the other parties thereto, as such agreement may be amended from time to time.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may provide. The books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be kept outside the State of Delaware at such place or places as may be designated from time to time by the Board of Directors or in the Bylaws.</w:t>
      </w:r>
    </w:p>
    <w:p>
      <w:pPr>
        <w:spacing w:after="0" w:line="176"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ectPr>
          <w:pgSz w:w="11900" w:h="16838" w:orient="portrait"/>
          <w:cols w:equalWidth="0" w:num="1">
            <w:col w:w="10960"/>
          </w:cols>
          <w:pgMar w:left="440" w:top="274" w:right="499" w:bottom="1440" w:gutter="0" w:footer="0" w:header="0"/>
        </w:sectPr>
      </w:pPr>
    </w:p>
    <w:bookmarkStart w:id="266" w:name="page267"/>
    <w:bookmarkEnd w:id="266"/>
    <w:p>
      <w:pPr>
        <w:jc w:val="both"/>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The following indemnification provisions shall apply to the persons enumerated below.</w:t>
      </w:r>
    </w:p>
    <w:p>
      <w:pPr>
        <w:spacing w:after="0" w:line="229" w:lineRule="exact"/>
        <w:rPr>
          <w:sz w:val="20"/>
          <w:szCs w:val="20"/>
          <w:color w:val="auto"/>
        </w:rPr>
      </w:pPr>
    </w:p>
    <w:p>
      <w:pPr>
        <w:ind w:right="140" w:firstLine="436"/>
        <w:spacing w:after="0" w:line="288" w:lineRule="auto"/>
        <w:tabs>
          <w:tab w:leader="none" w:pos="755"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rFonts w:ascii="Arial" w:cs="Arial" w:eastAsia="Arial" w:hAnsi="Arial"/>
          <w:sz w:val="16"/>
          <w:szCs w:val="16"/>
          <w:color w:val="auto"/>
        </w:rPr>
      </w:pPr>
    </w:p>
    <w:p>
      <w:pPr>
        <w:ind w:firstLine="436"/>
        <w:spacing w:after="0" w:line="257" w:lineRule="auto"/>
        <w:tabs>
          <w:tab w:leader="none" w:pos="7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87" w:lineRule="exact"/>
        <w:rPr>
          <w:rFonts w:ascii="Arial" w:cs="Arial" w:eastAsia="Arial" w:hAnsi="Arial"/>
          <w:sz w:val="18"/>
          <w:szCs w:val="18"/>
          <w:color w:val="auto"/>
        </w:rPr>
      </w:pPr>
    </w:p>
    <w:p>
      <w:pPr>
        <w:ind w:firstLine="436"/>
        <w:spacing w:after="0" w:line="257" w:lineRule="auto"/>
        <w:tabs>
          <w:tab w:leader="none" w:pos="7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7" w:lineRule="exact"/>
        <w:rPr>
          <w:rFonts w:ascii="Arial" w:cs="Arial" w:eastAsia="Arial" w:hAnsi="Arial"/>
          <w:sz w:val="18"/>
          <w:szCs w:val="18"/>
          <w:color w:val="auto"/>
        </w:rPr>
      </w:pPr>
    </w:p>
    <w:p>
      <w:pPr>
        <w:ind w:right="180" w:firstLine="436"/>
        <w:spacing w:after="0" w:line="263" w:lineRule="auto"/>
        <w:tabs>
          <w:tab w:leader="none" w:pos="75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w:t>
      </w:r>
    </w:p>
    <w:p>
      <w:pPr>
        <w:sectPr>
          <w:pgSz w:w="11900" w:h="16838" w:orient="portrait"/>
          <w:cols w:equalWidth="0" w:num="1">
            <w:col w:w="10980"/>
          </w:cols>
          <w:pgMar w:left="440" w:top="274" w:right="479" w:bottom="1440" w:gutter="0" w:footer="0" w:header="0"/>
        </w:sectPr>
      </w:pPr>
    </w:p>
    <w:bookmarkStart w:id="267" w:name="page268"/>
    <w:bookmarkEnd w:id="267"/>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93" w:lineRule="exact"/>
        <w:rPr>
          <w:sz w:val="20"/>
          <w:szCs w:val="20"/>
          <w:color w:val="auto"/>
        </w:rPr>
      </w:pPr>
    </w:p>
    <w:p>
      <w:pPr>
        <w:ind w:right="180" w:firstLine="436"/>
        <w:spacing w:after="0" w:line="263" w:lineRule="auto"/>
        <w:tabs>
          <w:tab w:leader="none" w:pos="7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3" w:lineRule="exact"/>
        <w:rPr>
          <w:rFonts w:ascii="Arial" w:cs="Arial" w:eastAsia="Arial" w:hAnsi="Arial"/>
          <w:sz w:val="18"/>
          <w:szCs w:val="18"/>
          <w:color w:val="auto"/>
        </w:rPr>
      </w:pPr>
    </w:p>
    <w:p>
      <w:pPr>
        <w:ind w:right="120" w:firstLine="436"/>
        <w:spacing w:after="0" w:line="263" w:lineRule="auto"/>
        <w:tabs>
          <w:tab w:leader="none" w:pos="7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Tenth shall not be exclusive of any other rights which such person may have or hereafter acquire under any statute, provision of this Restated Certificate, the Bylaws, or any agreement, or pursuant to any vote of stockholders or disinterested directors or otherwise.</w:t>
      </w:r>
    </w:p>
    <w:p>
      <w:pPr>
        <w:spacing w:after="0" w:line="183" w:lineRule="exact"/>
        <w:rPr>
          <w:rFonts w:ascii="Arial" w:cs="Arial" w:eastAsia="Arial" w:hAnsi="Arial"/>
          <w:sz w:val="18"/>
          <w:szCs w:val="18"/>
          <w:color w:val="auto"/>
        </w:rPr>
      </w:pPr>
    </w:p>
    <w:p>
      <w:pPr>
        <w:ind w:right="40" w:firstLine="436"/>
        <w:spacing w:after="0" w:line="259" w:lineRule="auto"/>
        <w:tabs>
          <w:tab w:leader="none" w:pos="7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ind w:right="20" w:firstLine="436"/>
        <w:spacing w:after="0" w:line="257" w:lineRule="auto"/>
        <w:tabs>
          <w:tab w:leader="none" w:pos="7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7" w:lineRule="exact"/>
        <w:rPr>
          <w:rFonts w:ascii="Arial" w:cs="Arial" w:eastAsia="Arial" w:hAnsi="Arial"/>
          <w:sz w:val="18"/>
          <w:szCs w:val="18"/>
          <w:color w:val="auto"/>
        </w:rPr>
      </w:pPr>
    </w:p>
    <w:p>
      <w:pPr>
        <w:ind w:right="340" w:firstLine="436"/>
        <w:spacing w:after="0" w:line="286" w:lineRule="auto"/>
        <w:tabs>
          <w:tab w:leader="none" w:pos="755"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61"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w:t>
      </w:r>
    </w:p>
    <w:p>
      <w:pPr>
        <w:sectPr>
          <w:pgSz w:w="11900" w:h="16838" w:orient="portrait"/>
          <w:cols w:equalWidth="0" w:num="1">
            <w:col w:w="10980"/>
          </w:cols>
          <w:pgMar w:left="440" w:top="274" w:right="479" w:bottom="1440" w:gutter="0" w:footer="0" w:header="0"/>
        </w:sectPr>
      </w:pPr>
    </w:p>
    <w:bookmarkStart w:id="268" w:name="page269"/>
    <w:bookmarkEnd w:id="268"/>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clauses (i) and (ii) are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holders of at least a majority of the shares of Preferred Stock then outstanding, voting together as a single class on an as-converted basis, will be required to amend or repeal, or to adopt any provisions inconsistent with this Article Eleventh.</w:t>
      </w:r>
    </w:p>
    <w:p>
      <w:pPr>
        <w:spacing w:after="0" w:line="18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80" w:hanging="4"/>
        <w:spacing w:after="0" w:line="251" w:lineRule="auto"/>
        <w:tabs>
          <w:tab w:leader="none" w:pos="2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7"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4" w:right="220" w:firstLine="987"/>
        <w:spacing w:after="0" w:line="277" w:lineRule="auto"/>
        <w:tabs>
          <w:tab w:leader="none" w:pos="1307"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left="4" w:right="400" w:firstLine="987"/>
        <w:spacing w:after="0" w:line="277" w:lineRule="auto"/>
        <w:tabs>
          <w:tab w:leader="none" w:pos="1307"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That this Restated Certificate, which restates and integrates and further amends the provisions of this Corporation’s Certificate of Incorporation, has been duly adopted in accordance with Sections 242 and 245 of the General Corporation Law.</w:t>
      </w:r>
    </w:p>
    <w:p>
      <w:pPr>
        <w:sectPr>
          <w:pgSz w:w="11900" w:h="16838" w:orient="portrait"/>
          <w:cols w:equalWidth="0" w:num="1">
            <w:col w:w="11004"/>
          </w:cols>
          <w:pgMar w:left="436" w:top="270" w:right="459" w:bottom="1440" w:gutter="0" w:footer="0" w:header="0"/>
        </w:sectPr>
      </w:pPr>
    </w:p>
    <w:bookmarkStart w:id="269" w:name="page270"/>
    <w:bookmarkEnd w:id="26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w:t>
      </w:r>
      <w:r>
        <w:rPr>
          <w:rFonts w:ascii="Arial" w:cs="Arial" w:eastAsia="Arial" w:hAnsi="Arial"/>
          <w:sz w:val="15"/>
          <w:szCs w:val="15"/>
          <w:color w:val="auto"/>
        </w:rPr>
        <w:t>nd</w:t>
      </w:r>
      <w:r>
        <w:rPr>
          <w:rFonts w:ascii="Arial" w:cs="Arial" w:eastAsia="Arial" w:hAnsi="Arial"/>
          <w:sz w:val="18"/>
          <w:szCs w:val="18"/>
          <w:color w:val="auto"/>
        </w:rPr>
        <w:t xml:space="preserve"> day of July, 2020.</w:t>
      </w:r>
    </w:p>
    <w:p>
      <w:pPr>
        <w:spacing w:after="0" w:line="19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 Session 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460"/>
          </w:cols>
          <w:pgMar w:left="440" w:top="270" w:right="999" w:bottom="1440" w:gutter="0" w:footer="0" w:header="0"/>
        </w:sectPr>
      </w:pPr>
    </w:p>
    <w:bookmarkStart w:id="270" w:name="page271"/>
    <w:bookmarkEnd w:id="270"/>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 OF</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TAYSHA GENE THERAPIES, INC.</w:t>
      </w:r>
    </w:p>
    <w:p>
      <w:pPr>
        <w:spacing w:after="0" w:line="21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Taysha Gene Therapies, Inc., a corporation organized and existing under and by virtue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 hereby certifies that:</w:t>
      </w:r>
    </w:p>
    <w:p>
      <w:pPr>
        <w:spacing w:after="0" w:line="166" w:lineRule="exact"/>
        <w:rPr>
          <w:sz w:val="20"/>
          <w:szCs w:val="20"/>
          <w:color w:val="auto"/>
        </w:rPr>
      </w:pPr>
    </w:p>
    <w:p>
      <w:pPr>
        <w:ind w:left="4" w:right="220" w:hanging="4"/>
        <w:spacing w:after="0" w:line="282" w:lineRule="auto"/>
        <w:tabs>
          <w:tab w:leader="none" w:pos="3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name of the corporation is Taysha Gene Therapies, Inc. (the “</w:t>
      </w:r>
      <w:r>
        <w:rPr>
          <w:rFonts w:ascii="Arial" w:cs="Arial" w:eastAsia="Arial" w:hAnsi="Arial"/>
          <w:sz w:val="18"/>
          <w:szCs w:val="18"/>
          <w:b w:val="1"/>
          <w:bCs w:val="1"/>
          <w:color w:val="auto"/>
        </w:rPr>
        <w:t>Corporation</w:t>
      </w:r>
      <w:r>
        <w:rPr>
          <w:rFonts w:ascii="Arial" w:cs="Arial" w:eastAsia="Arial" w:hAnsi="Arial"/>
          <w:sz w:val="18"/>
          <w:szCs w:val="18"/>
          <w:color w:val="auto"/>
        </w:rPr>
        <w:t>”), and that this Corporation was originally incorporated in Texas pursuant to the Texas Business Organization Code.</w:t>
      </w:r>
    </w:p>
    <w:p>
      <w:pPr>
        <w:spacing w:after="0" w:line="165" w:lineRule="exact"/>
        <w:rPr>
          <w:rFonts w:ascii="Arial" w:cs="Arial" w:eastAsia="Arial" w:hAnsi="Arial"/>
          <w:sz w:val="18"/>
          <w:szCs w:val="18"/>
          <w:color w:val="auto"/>
        </w:rPr>
      </w:pPr>
    </w:p>
    <w:p>
      <w:pPr>
        <w:ind w:left="4" w:right="120" w:hanging="4"/>
        <w:spacing w:after="0" w:line="277" w:lineRule="auto"/>
        <w:tabs>
          <w:tab w:leader="none" w:pos="3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Corporation was subsequently converted into a corporation incorporated under the General Corporation Law on February 13, 2020 under the name Taysha Gene Therapies, Inc.</w:t>
      </w:r>
    </w:p>
    <w:p>
      <w:pPr>
        <w:spacing w:after="0" w:line="170" w:lineRule="exact"/>
        <w:rPr>
          <w:rFonts w:ascii="Arial" w:cs="Arial" w:eastAsia="Arial" w:hAnsi="Arial"/>
          <w:sz w:val="18"/>
          <w:szCs w:val="18"/>
          <w:color w:val="auto"/>
        </w:rPr>
      </w:pPr>
    </w:p>
    <w:p>
      <w:pPr>
        <w:ind w:left="4" w:right="420" w:hanging="4"/>
        <w:spacing w:after="0" w:line="277" w:lineRule="auto"/>
        <w:tabs>
          <w:tab w:leader="none" w:pos="3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Board of Directors of the Corporation, acting in accordance with the provisions of Sections 141 and 242 of the General Corporation Law, adopted resolutions amending the certificate of incorporation as follows: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first paragraph of Article is amended and restated to read in its entirety as follows:</w:t>
      </w:r>
    </w:p>
    <w:p>
      <w:pPr>
        <w:spacing w:after="0" w:line="113" w:lineRule="exact"/>
        <w:rPr>
          <w:sz w:val="20"/>
          <w:szCs w:val="20"/>
          <w:color w:val="auto"/>
        </w:rPr>
      </w:pPr>
    </w:p>
    <w:p>
      <w:pPr>
        <w:jc w:val="both"/>
        <w:ind w:left="444"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w:t>
      </w:r>
      <w:r>
        <w:rPr>
          <w:rFonts w:ascii="Arial" w:cs="Arial" w:eastAsia="Arial" w:hAnsi="Arial"/>
          <w:sz w:val="18"/>
          <w:szCs w:val="18"/>
          <w:color w:val="auto"/>
        </w:rPr>
        <w:t>: The total number of shares of all classes of stock which the Corporation shall have authority to issue is (i) 30,000,000 shares of Common Stock, $0.00001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15,647,052 shares of Preferred Stock, $0.00001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first paragraph of Section B of Article FOURTH is amended and restated to read in its entirety as follows:</w:t>
      </w:r>
    </w:p>
    <w:p>
      <w:pPr>
        <w:spacing w:after="0" w:line="333" w:lineRule="exact"/>
        <w:rPr>
          <w:sz w:val="20"/>
          <w:szCs w:val="20"/>
          <w:color w:val="auto"/>
        </w:rPr>
      </w:pPr>
    </w:p>
    <w:p>
      <w:pPr>
        <w:ind w:left="444"/>
        <w:spacing w:after="0"/>
        <w:tabs>
          <w:tab w:leader="none" w:pos="84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PREFERRED STOCK</w:t>
      </w:r>
    </w:p>
    <w:p>
      <w:pPr>
        <w:spacing w:after="0" w:line="117" w:lineRule="exact"/>
        <w:rPr>
          <w:sz w:val="20"/>
          <w:szCs w:val="20"/>
          <w:color w:val="auto"/>
        </w:rPr>
      </w:pPr>
    </w:p>
    <w:p>
      <w:pPr>
        <w:ind w:left="444" w:right="40"/>
        <w:spacing w:after="0" w:line="273" w:lineRule="auto"/>
        <w:rPr>
          <w:sz w:val="20"/>
          <w:szCs w:val="20"/>
          <w:color w:val="auto"/>
        </w:rPr>
      </w:pPr>
      <w:r>
        <w:rPr>
          <w:rFonts w:ascii="Arial" w:cs="Arial" w:eastAsia="Arial" w:hAnsi="Arial"/>
          <w:sz w:val="17"/>
          <w:szCs w:val="17"/>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 Of the 15,647,052 shares of Preferred Stock that the Corporation has the authority to issue (i) 10,000,000 shares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and (ii) 5,647,052 shares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78" w:lineRule="exact"/>
        <w:rPr>
          <w:sz w:val="20"/>
          <w:szCs w:val="20"/>
          <w:color w:val="auto"/>
        </w:rPr>
      </w:pPr>
    </w:p>
    <w:p>
      <w:pPr>
        <w:ind w:left="4" w:hanging="4"/>
        <w:spacing w:after="0" w:line="277" w:lineRule="auto"/>
        <w:tabs>
          <w:tab w:leader="none" w:pos="31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Certificate of Amendment was duly adopted by the stockholders of the Corporation in accordance with the provisions of Sections 228 and 242 of the General Corporation Law.</w:t>
      </w:r>
    </w:p>
    <w:p>
      <w:pPr>
        <w:spacing w:after="0" w:line="17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44"/>
          </w:cols>
          <w:pgMar w:left="436" w:top="270" w:right="51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Corporation has caused this Certificate of Amendment to be signed by a duly authorized officer as of July 28, 2020.</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AYSHA</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HERAPIES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R.A. Session II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480"/>
          </w:cols>
          <w:pgMar w:left="880" w:top="270" w:right="5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104"/>
        <w:spacing w:after="0"/>
        <w:rPr>
          <w:sz w:val="20"/>
          <w:szCs w:val="20"/>
          <w:color w:val="auto"/>
        </w:rPr>
      </w:pPr>
      <w:r>
        <w:rPr>
          <w:rFonts w:ascii="Arial" w:cs="Arial" w:eastAsia="Arial" w:hAnsi="Arial"/>
          <w:sz w:val="18"/>
          <w:szCs w:val="18"/>
          <w:b w:val="1"/>
          <w:bCs w:val="1"/>
          <w:color w:val="auto"/>
        </w:rPr>
        <w:t>TAYSHA GENE THERAPIES, INC.</w:t>
      </w:r>
    </w:p>
    <w:p>
      <w:pPr>
        <w:spacing w:after="0" w:line="9"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MARCH 4, 2020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All meetings of stockholders shall be held at such place (if any) within or without the State of Delaware as may be determined from time to time by the Board of Directors or, if not determined by the Board of Directors, by the Chairman of the Board, the President, or the Chief Executive Officer; provided that the Board of Directors may, in its sole discretion, determine that any meeting of stockholders shall not be held at any place but shall be held solely by means of remote communication in accordance with Section 1.12.</w:t>
      </w:r>
    </w:p>
    <w:p>
      <w:pPr>
        <w:spacing w:after="0" w:line="171" w:lineRule="exact"/>
        <w:rPr>
          <w:sz w:val="20"/>
          <w:szCs w:val="20"/>
          <w:color w:val="auto"/>
        </w:rPr>
      </w:pPr>
    </w:p>
    <w:p>
      <w:pPr>
        <w:jc w:val="both"/>
        <w:ind w:left="4" w:right="480" w:firstLine="440"/>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for the election of directors and for the transaction of such other business as may properly be brought before the meeting shall be held on a date to be fixed by the Board of Directors at a time and place to be fixed by the Board of Directors and stated in the notice of the meeting.</w:t>
      </w:r>
    </w:p>
    <w:p>
      <w:pPr>
        <w:spacing w:after="0" w:line="184"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stockholders may be called at any time by the Board of Directors, the Chairman of the Board, the Chief Executive Officer, or the President or the holders of record of not less than 10% of all shares entitled to cast votes at the meeting, for any purpose or purposes prescribed in the notice of the meeting and shall be held at such place, on such date and at such time as the Board of Directors may fix. Business transacted at any special meeting of stockholders shall be confined to the purpose or purposes stated in the notice of meeting.</w:t>
      </w:r>
    </w:p>
    <w:p>
      <w:pPr>
        <w:spacing w:after="0" w:line="26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Notice of Meetings</w:t>
      </w:r>
      <w:r>
        <w:rPr>
          <w:rFonts w:ascii="Arial" w:cs="Arial" w:eastAsia="Arial" w:hAnsi="Arial"/>
          <w:sz w:val="16"/>
          <w:szCs w:val="16"/>
          <w:color w:val="auto"/>
        </w:rPr>
        <w:t>.</w:t>
      </w:r>
    </w:p>
    <w:p>
      <w:pPr>
        <w:spacing w:after="0" w:line="117" w:lineRule="exact"/>
        <w:rPr>
          <w:sz w:val="20"/>
          <w:szCs w:val="20"/>
          <w:color w:val="auto"/>
        </w:rPr>
      </w:pPr>
    </w:p>
    <w:p>
      <w:pPr>
        <w:ind w:left="1364" w:hanging="373"/>
        <w:spacing w:after="0"/>
        <w:tabs>
          <w:tab w:leader="none" w:pos="136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Written notice of each meeting of stockholders, whether annual or special, shall be given not less than ten (10) nor more than sixty</w:t>
      </w:r>
    </w:p>
    <w:p>
      <w:pPr>
        <w:spacing w:after="0" w:line="46" w:lineRule="exact"/>
        <w:rPr>
          <w:rFonts w:ascii="Arial" w:cs="Arial" w:eastAsia="Arial" w:hAnsi="Arial"/>
          <w:sz w:val="16"/>
          <w:szCs w:val="16"/>
          <w:color w:val="auto"/>
        </w:rPr>
      </w:pPr>
    </w:p>
    <w:p>
      <w:pPr>
        <w:ind w:left="4" w:right="20" w:hanging="4"/>
        <w:spacing w:after="0" w:line="268" w:lineRule="auto"/>
        <w:tabs>
          <w:tab w:leader="none" w:pos="34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days before the date on which the meeting is to be held, to each stockholder entitled to vote at such meeting as of the record date fixed by the Board of Directors for determining the stockholders entitled to notice of the meeting, except as otherwise provided herein or as required by law (meaning here and hereafter, as required from time to time by the Delaware General Corporation Law or the Certificate of Incorporation of the corporation). The notice of any meeting shall state the place, if any, date and hour of the meeting, and the means of remote communication,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his address as it appears on the records of the corporation. If mailed, notice is given when deposited in the United States mail, postage prepaid, directed to the stockholder at his address as it appears on the records of the corporation.</w:t>
      </w:r>
    </w:p>
    <w:p>
      <w:pPr>
        <w:spacing w:after="0" w:line="183" w:lineRule="exact"/>
        <w:rPr>
          <w:rFonts w:ascii="Arial" w:cs="Arial" w:eastAsia="Arial" w:hAnsi="Arial"/>
          <w:sz w:val="17"/>
          <w:szCs w:val="17"/>
          <w:color w:val="auto"/>
        </w:rPr>
      </w:pPr>
    </w:p>
    <w:p>
      <w:pPr>
        <w:ind w:left="4" w:right="160" w:firstLine="987"/>
        <w:spacing w:after="0" w:line="342" w:lineRule="auto"/>
        <w:tabs>
          <w:tab w:leader="none" w:pos="138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Notice to stockholders may be given by personal delivery, mail, or, with the consent of the stockholder entitled to receive notice, by facsimile or other means of electronic transmission. If mailed, such notice shall be delivered by postage prepaid envelope directed to each</w:t>
      </w:r>
    </w:p>
    <w:p>
      <w:pPr>
        <w:sectPr>
          <w:pgSz w:w="11900" w:h="16838" w:orient="portrait"/>
          <w:cols w:equalWidth="0" w:num="1">
            <w:col w:w="11024"/>
          </w:cols>
          <w:pgMar w:left="436" w:top="121" w:right="439" w:bottom="1440" w:gutter="0" w:footer="0" w:header="0"/>
        </w:sectPr>
      </w:pPr>
    </w:p>
    <w:bookmarkStart w:id="273" w:name="page274"/>
    <w:bookmarkEnd w:id="273"/>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at such stockholder’s address as it appears in the records of the corporation and shall be deemed given when deposited in the United States mail. Notice given by electronic transmission pursuant to this subsection shall be deemed given: (1) if by facsimile telecommunication, when directed to a facsimile telecommunication number at which the stockholder has consented to receive notice; (2) if by electronic mail, when directed to an electronic mail address at which the stockholder has consented to receive notice; (3) if by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personal delivery, by mail, or by a form of electronic transmission shall, in the absence of fraud, be prima facie evidence of the facts stated therein.</w:t>
      </w:r>
    </w:p>
    <w:p>
      <w:pPr>
        <w:spacing w:after="0" w:line="178" w:lineRule="exact"/>
        <w:rPr>
          <w:sz w:val="20"/>
          <w:szCs w:val="20"/>
          <w:color w:val="auto"/>
        </w:rPr>
      </w:pPr>
    </w:p>
    <w:p>
      <w:pPr>
        <w:ind w:right="160" w:firstLine="987"/>
        <w:spacing w:after="0" w:line="259" w:lineRule="auto"/>
        <w:tabs>
          <w:tab w:leader="none" w:pos="137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Notice of any meeting of stockholders need not be given to any stockholder if waived by such stockholder either in a writing signed by such stockholder or by electronic transmission, whether such waiver is given before or after such meeting is held. If such a waiver is given by electronic transmission, the electronic transmission must either set forth or be submitted with information from which it can be determined that the electronic transmission was authorized by the stockholder.</w:t>
      </w:r>
    </w:p>
    <w:p>
      <w:pPr>
        <w:spacing w:after="0" w:line="18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at least ten (10) days before each meeting of stockholders, a complete list of the stockholders entitled to vote at the meeting, arranged in alphabetical order for each class of stock, and showing the mailing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(10) days prior to the meeting, in the manner provided by law. If the meeting is held at a place, the list shall be produced and kept at the time and place of the meeting during the whole time of the meeting, and may be examined by any stockholder who is present. This list shall determine the identity of the stockholders entitled to vote at any meeting and the number of shares held by each of them.</w:t>
      </w:r>
    </w:p>
    <w:p>
      <w:pPr>
        <w:spacing w:after="0" w:line="19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provided by law or these Bylaws, the holders of a majority of the shares of the capital stock of the corporation entitled to vote at the meeting, present in person or represented by proxy, shall constitute a quorum for the transaction of business. Where a separate class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Adjournments</w:t>
      </w:r>
      <w:r>
        <w:rPr>
          <w:rFonts w:ascii="Arial" w:cs="Arial" w:eastAsia="Arial" w:hAnsi="Arial"/>
          <w:sz w:val="17"/>
          <w:szCs w:val="17"/>
          <w:color w:val="auto"/>
        </w:rPr>
        <w:t>. Any meeting of stockholders may be adjourned to any other time and to any other place at which a meeting of stockholders may be held under these Bylaws by the Chairman of the meeting or, in the absence of such person, by any officer entitled to preside at or to act as Secretary of such meeting, or by the holders of a majority of the shares of stock present or represented at the meeting and entitled to vote, although less than a quorum. When a meeting is adjourned to another place, date or time, written notice need not be given of the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provided, however, that if the date of any adjourned meeting is more than thirty (30) days after the date for which the meeting was originally noticed, or if a new record date is fixed for determining the stockholders entitled to vote at the adjourned meeting in accordance with Section 4.5, written notice of the place, if any, date and time of the adjourned meeting and the means of remote communication, if any, by which stockholders and proxy holders may be deemed to be present in person and vote at such adjourned meeting, shall be given in conformity herewith. At the adjourned meeting, the corporation may transact any business which might have been transacted at the original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4" w:name="page275"/>
    <w:bookmarkEnd w:id="274"/>
    <w:p>
      <w:pPr>
        <w:ind w:right="1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 </w:t>
      </w:r>
      <w:r>
        <w:rPr>
          <w:rFonts w:ascii="Arial" w:cs="Arial" w:eastAsia="Arial" w:hAnsi="Arial"/>
          <w:sz w:val="16"/>
          <w:szCs w:val="16"/>
          <w:u w:val="single" w:color="auto"/>
          <w:color w:val="auto"/>
        </w:rPr>
        <w:t>Voting and Proxies</w:t>
      </w:r>
      <w:r>
        <w:rPr>
          <w:rFonts w:ascii="Arial" w:cs="Arial" w:eastAsia="Arial" w:hAnsi="Arial"/>
          <w:sz w:val="16"/>
          <w:szCs w:val="16"/>
          <w:color w:val="auto"/>
        </w:rPr>
        <w:t>. Each stockholder shall have one vote for each share of stock entitled to vote held of record by such stockholder and a proportionate vote for each fractional share so held, unless otherwise provided by law or in the Certificate of Incorporation. Each stockholder of record entitled to vote at a meeting of stockholders may vote in person or may authorize any other person or persons to vote or act for such stockholder by a written proxy executed by the stockholder or the stockholder’s authorized agent or by an electronic transmission permitted by law and delivered to the Secretary of the corporation. No stockholder may authorize more than one proxy for his shares. Any copy, facsimile transmission or other reliable reproduction of the writing or electronic transmission created pursuant to this section may be substituted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electronic transmission.</w:t>
      </w:r>
    </w:p>
    <w:p>
      <w:pPr>
        <w:spacing w:after="0" w:line="27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Action at Meeting</w:t>
      </w:r>
      <w:r>
        <w:rPr>
          <w:rFonts w:ascii="Arial" w:cs="Arial" w:eastAsia="Arial" w:hAnsi="Arial"/>
          <w:sz w:val="16"/>
          <w:szCs w:val="16"/>
          <w:color w:val="auto"/>
        </w:rPr>
        <w:t>.</w:t>
      </w:r>
    </w:p>
    <w:p>
      <w:pPr>
        <w:spacing w:after="0" w:line="117" w:lineRule="exact"/>
        <w:rPr>
          <w:sz w:val="20"/>
          <w:szCs w:val="20"/>
          <w:color w:val="auto"/>
        </w:rPr>
      </w:pPr>
    </w:p>
    <w:p>
      <w:pPr>
        <w:ind w:right="820" w:firstLine="987"/>
        <w:spacing w:after="0" w:line="277" w:lineRule="auto"/>
        <w:tabs>
          <w:tab w:leader="none" w:pos="136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meeting of stockholders for the election of one or more directors at which a quorum is present, the election shall be determined by a plurality of the votes cast by the stockholders entitled to vote at the election.</w:t>
      </w:r>
    </w:p>
    <w:p>
      <w:pPr>
        <w:spacing w:after="0" w:line="170" w:lineRule="exact"/>
        <w:rPr>
          <w:rFonts w:ascii="Arial" w:cs="Arial" w:eastAsia="Arial" w:hAnsi="Arial"/>
          <w:sz w:val="18"/>
          <w:szCs w:val="18"/>
          <w:color w:val="auto"/>
        </w:rPr>
      </w:pPr>
    </w:p>
    <w:p>
      <w:pPr>
        <w:ind w:right="80" w:firstLine="987"/>
        <w:spacing w:after="0" w:line="301" w:lineRule="auto"/>
        <w:tabs>
          <w:tab w:leader="none" w:pos="137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All other matters shall be determined by a majority in voting power of the shares present in person or represented by proxy and entitled to vote on the matter (or if there are two or more classes of stock entitled to vote as separate classes, then in the case of each such class, a majority of the shares of each such class present in person or represented by proxy and entitled to vote on the matter shall decide such matter), provided that a quorum is present, except when a different vote is required by express provision of law, the Certificate of Incorporation or these Bylaws.</w:t>
      </w:r>
    </w:p>
    <w:p>
      <w:pPr>
        <w:spacing w:after="0" w:line="157" w:lineRule="exact"/>
        <w:rPr>
          <w:rFonts w:ascii="Arial" w:cs="Arial" w:eastAsia="Arial" w:hAnsi="Arial"/>
          <w:sz w:val="16"/>
          <w:szCs w:val="16"/>
          <w:color w:val="auto"/>
        </w:rPr>
      </w:pPr>
    </w:p>
    <w:p>
      <w:pPr>
        <w:ind w:firstLine="987"/>
        <w:spacing w:after="0" w:line="290" w:lineRule="auto"/>
        <w:tabs>
          <w:tab w:leader="none" w:pos="136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All voting, including on the election of directors, but excepting where otherwise required by law, may be by a voice vote; provided, however, that upon demand therefor by a stockholder entitled to vote or the stockholder’s proxy, a vote by ballot shall be taken. Each ballot shall state the name of the stockholder or proxy voting and such other information as may be required under the procedures established for the meeting. The corporation may, and to the extent required by law, shall, in advance of any meeting of stockholders, appoint one or more inspectors to act at the meeting and make a written report thereof. The corporation may designate one or more persons as an alternate inspector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to faithfully execute the duties of inspector with strict impartiality and according to the best of his ability.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5" w:name="page276"/>
    <w:bookmarkEnd w:id="275"/>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1.10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At every meeting of the stockholders, the Chairman of the Board, or, in his absence, the Chief Executive Officer, or the President, or, in his absence, such other person as may be appointed by the Board of Directors, shall act as chairman. The Secretary of the corporation or a person designated by the chairman of the meeting shall act as secretary of the meeting. Unless otherwise approved by the chairman of the meeting, attendance at the stockholders’ meeting is restricted to stockholders of record, persons authorized in accordance with Section 1.8 of these Bylaws to act by proxy, and officers of the corporation.</w:t>
      </w:r>
    </w:p>
    <w:p>
      <w:pPr>
        <w:spacing w:after="0" w:line="18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chairman of the meeting shall call the meeting to order, establish the agenda, and conduct the business of the meeting in accordance therewith or, at the chairman’s discretion, the business of the meeting may be conducted otherwise in accordance with the wishes of the stockholders in attendance. The date and time of the opening and closing of the polls for each matter upon which the stockholders will vote at the meeting shall be announced at the meeting.</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Stockholder Action Without Meeting</w:t>
      </w:r>
      <w:r>
        <w:rPr>
          <w:rFonts w:ascii="Arial" w:cs="Arial" w:eastAsia="Arial" w:hAnsi="Arial"/>
          <w:sz w:val="18"/>
          <w:szCs w:val="18"/>
          <w:color w:val="auto"/>
        </w:rPr>
        <w:t>.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w:t>
      </w:r>
    </w:p>
    <w:p>
      <w:pPr>
        <w:spacing w:after="0" w:line="19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An electronic transmission consenting to an action to be taken and transmitted by a stockholder, or by a proxy holder or other person authorized to act for a stockholder, shall be deemed to be written, signed and dated for the purpose of this Section 1.11, provided that such electronic transmission sets forth or is delivered with information from which the corporation can determine (a) that the electronic transmission was transmitted by the stockholder or by a person authorized to act for the stockholder and (b) the date on which such stockholder or authorized person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books in which proceedings of meetings of stockholders are recorded.</w:t>
      </w:r>
    </w:p>
    <w:p>
      <w:pPr>
        <w:spacing w:after="0" w:line="16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Meetings by Remote Communication</w:t>
      </w:r>
      <w:r>
        <w:rPr>
          <w:rFonts w:ascii="Arial" w:cs="Arial" w:eastAsia="Arial" w:hAnsi="Arial"/>
          <w:sz w:val="17"/>
          <w:szCs w:val="17"/>
          <w:color w:val="auto"/>
        </w:rPr>
        <w:t>. If authorized by the Board of Directors, and subject to such guidelines and procedures as the Board of Directors may adopt, stockholders and proxy holders not physically present at a meeting of stockholders may, by means of remote communication, participate in the meeting and be deemed present in person and vote at the meeting,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to vote on matters submitted to the stockholders, including an opportunity to read or hear the proceedings of the meeting substantially concurrently with such proceedings, and (c) if any stockholder or proxy holder votes or takes other action at the meeting by means of remote communication, a record of such vote or other action shall be maintained by the corporation.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on the Board of Directors, the remaining directors, except as otherwise provided by law, may exercise the powers of the full Board of Directors until the vacancy is filled.</w:t>
      </w:r>
    </w:p>
    <w:p>
      <w:pPr>
        <w:spacing w:after="0" w:line="187"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Number and Term of Office</w:t>
      </w:r>
      <w:r>
        <w:rPr>
          <w:rFonts w:ascii="Arial" w:cs="Arial" w:eastAsia="Arial" w:hAnsi="Arial"/>
          <w:sz w:val="16"/>
          <w:szCs w:val="16"/>
          <w:color w:val="auto"/>
        </w:rPr>
        <w:t>. Subject to the rights of the holders of any series of preferred stock to elect directors under specified circumstances, the number of directors shall initially be five (5) and, thereafter,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for adoption). All directors shall hold office until the next annual meeting of stockholders and until their respective successors are elected, except in the case of the death, resignation or removal of any director.</w:t>
      </w:r>
    </w:p>
    <w:p>
      <w:pPr>
        <w:spacing w:after="0" w:line="16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or other cause (other than removal from office by a vote of the stockholders) may be filled only by a majority vote of the directors then in office, though less than a quorum, by the sole remaining director, or, to the extent required by the Certificate of Incorporation or if there are no directors, by the stockholders, and directors so chosen shall hold office for a term expiring at the next annual meeting of stockholders. No decrease in the number of authorized directors shall shorten the term of any incumbent director.</w:t>
      </w:r>
    </w:p>
    <w:p>
      <w:pPr>
        <w:spacing w:after="0" w:line="174"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by delivering notice in writing or by electronic transmission to the Chief Executive Officer</w:t>
      </w:r>
      <w:r>
        <w:rPr>
          <w:rFonts w:ascii="Arial" w:cs="Arial" w:eastAsia="Arial" w:hAnsi="Arial"/>
          <w:sz w:val="18"/>
          <w:szCs w:val="18"/>
          <w:b w:val="1"/>
          <w:bCs w:val="1"/>
          <w:color w:val="auto"/>
        </w:rPr>
        <w:t>,</w:t>
      </w:r>
      <w:r>
        <w:rPr>
          <w:rFonts w:ascii="Arial" w:cs="Arial" w:eastAsia="Arial" w:hAnsi="Arial"/>
          <w:sz w:val="18"/>
          <w:szCs w:val="18"/>
          <w:color w:val="auto"/>
        </w:rPr>
        <w:t xml:space="preserve"> President, Chairman of the Board or Secretary. Such resignation shall be effective upon receipt unless it is specified to be effective at some other time or upon the happening of some other event.</w:t>
      </w:r>
    </w:p>
    <w:p>
      <w:pPr>
        <w:spacing w:after="0" w:line="18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the holders of any series of preferred stock then outstanding, any directors, or the entire Board of Directors, may be removed from office at any time, with or without cause, by the affirmative vote of the holders of a majority of the voting power of all of the outstanding shares of capital stock entitled to vote generally in the election of directors, voting together as a single class. Vacancies in the Board of Directors resulting from such removal may be filled by a majority of the directors then in office, though less than a quorum, by the sole remaining director, or by the stockholders at the next annual meeting or at a special meeting called in accordance with Section 1.3 above. Directors so chosen shall hold office until the next annual meeting of stockholders.</w:t>
      </w:r>
    </w:p>
    <w:p>
      <w:pPr>
        <w:spacing w:after="0" w:line="19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77" w:name="page278"/>
    <w:bookmarkEnd w:id="277"/>
    <w:p>
      <w:pPr>
        <w:ind w:left="4" w:right="1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Chairman of the Board, the Chief Executive Officer</w:t>
      </w:r>
      <w:r>
        <w:rPr>
          <w:rFonts w:ascii="Arial" w:cs="Arial" w:eastAsia="Arial" w:hAnsi="Arial"/>
          <w:sz w:val="18"/>
          <w:szCs w:val="18"/>
          <w:b w:val="1"/>
          <w:bCs w:val="1"/>
          <w:color w:val="auto"/>
        </w:rPr>
        <w:t>,</w:t>
      </w:r>
      <w:r>
        <w:rPr>
          <w:rFonts w:ascii="Arial" w:cs="Arial" w:eastAsia="Arial" w:hAnsi="Arial"/>
          <w:sz w:val="18"/>
          <w:szCs w:val="18"/>
          <w:color w:val="auto"/>
        </w:rPr>
        <w:t xml:space="preserve"> the President or two or more directors and may be held at any time and place, within or without the State of Delaware.</w:t>
      </w:r>
    </w:p>
    <w:p>
      <w:pPr>
        <w:spacing w:after="0" w:line="166"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any special meeting of directors shall be given to each director by whom it is not waived by the Secretary or by the officer or one of the directors calling the meeting. Notice shall be duly given to each director by whom it is not waived by (a) giving notice to such director in person or by telephone, electronic transmission or voice message system at least 24 hours in advance of the meeting,</w:t>
      </w:r>
    </w:p>
    <w:p>
      <w:pPr>
        <w:spacing w:after="0" w:line="2" w:lineRule="exact"/>
        <w:rPr>
          <w:sz w:val="20"/>
          <w:szCs w:val="20"/>
          <w:color w:val="auto"/>
        </w:rPr>
      </w:pPr>
    </w:p>
    <w:p>
      <w:pPr>
        <w:ind w:left="4" w:right="40" w:hanging="4"/>
        <w:spacing w:after="0" w:line="253" w:lineRule="auto"/>
        <w:tabs>
          <w:tab w:leader="none" w:pos="25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sending a facsimile to his last known facsimile number, or delivering written notice by hand to his last known business or home address, at least 24 hours in advance of the meeting, or (c) mailing written notice to his last known business or home address at least three (3) days in advance of the meeting. A notice or waiver of notice of a meeting of the Board of Directors need not specify the purposes of the meeting. Unless otherwise indicated in the notice thereof, any and all business may be transacted at a special meeting.</w:t>
      </w:r>
    </w:p>
    <w:p>
      <w:pPr>
        <w:spacing w:after="0" w:line="193"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Participation in Meetings by Telephone Conference Calls or Other Methods of Communication</w:t>
      </w:r>
      <w:r>
        <w:rPr>
          <w:rFonts w:ascii="Arial" w:cs="Arial" w:eastAsia="Arial" w:hAnsi="Arial"/>
          <w:sz w:val="18"/>
          <w:szCs w:val="18"/>
          <w:color w:val="auto"/>
        </w:rPr>
        <w:t>. Directors or any members of any committee designated by the directors may participate in a meeting of the Board of Directors or such committee by means of conference telephone or other communications equipment by means of which all persons participating in the meeting can hear each other, and participation by such means shall constitute presence in person at such meeting.</w:t>
      </w:r>
    </w:p>
    <w:p>
      <w:pPr>
        <w:spacing w:after="0" w:line="187"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total number of authorized directors shall constitute a quorum at any meeting of the Board of Directors. In the absence of a quorum at any such meeting, a majority of the directors present may adjourn the meeting from time to time without further notice other than announcement at the meeting, until a quorum shall be present. Interested directors may be counted in determining the presence of a quorum at a meeting of the Board of Directors or at a meeting of a committee which authorizes a particular contract or transaction.</w:t>
      </w:r>
    </w:p>
    <w:p>
      <w:pPr>
        <w:spacing w:after="0" w:line="157"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at any meeting of the Board of Directors or of any committee of the Board of Directors may be taken without a meeting if all members of the Board of Directors or committee, as the case may be, consent to the action in writing or by electronic transmission, and the writings or electronic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designate one or more committees, each committee to consist of one or more of the directors of the corporation, with such lawfully delegated powers and duties as it therefor confers, to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Delaware General Corporation Law, shall have and may exercise all the powers and authority of the Board of Directors in the management of the business and affairs of the corporation and may authorize the seal of the corporation to be affixed to all papers which</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78" w:name="page279"/>
    <w:bookmarkEnd w:id="278"/>
    <w:p>
      <w:pPr>
        <w:ind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such rules, its business shall be conducted as nearly as possible in the same manner as is provided in these Bylaws for the Board of Directors.</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Nomination of Director Candidates</w:t>
      </w:r>
      <w:r>
        <w:rPr>
          <w:rFonts w:ascii="Arial" w:cs="Arial" w:eastAsia="Arial" w:hAnsi="Arial"/>
          <w:sz w:val="18"/>
          <w:szCs w:val="18"/>
          <w:color w:val="auto"/>
        </w:rPr>
        <w:t>. Subject to the rights of holders of any class or series of preferred stock then outstanding, nominations for the election of Directors may be made by (a) the Board of Directors or a duly authorized committee thereof or (b) any stockholder entitled to vote in the election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consist of a Chief Executive Officer, a President, a Secretary, a Treasurer, a Chief Financial Officer and such other officers with such other titles as the Board of Directors shall determine, including, at the discretion of the Board of Directors, a Chairman of the Board and one or more Vice Presidents and Assistant Secretaries. The Board of Directors may appoint such other officers as it may deem appropriate.</w:t>
      </w:r>
    </w:p>
    <w:p>
      <w:pPr>
        <w:spacing w:after="0" w:line="18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Election</w:t>
      </w:r>
      <w:r>
        <w:rPr>
          <w:rFonts w:ascii="Arial" w:cs="Arial" w:eastAsia="Arial" w:hAnsi="Arial"/>
          <w:sz w:val="16"/>
          <w:szCs w:val="16"/>
          <w:color w:val="auto"/>
        </w:rPr>
        <w:t>. Officers shall be elected annually by the Board of Directors at its first meeting following the annual meeting of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Officers may be appointed by the Board of Directors at any other meeting.</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Any two or more offices may be held by the same person.</w:t>
      </w:r>
    </w:p>
    <w:p>
      <w:pPr>
        <w:spacing w:after="0" w:line="22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law, by the Certificate of Incorporation or by these Bylaws, each officer shall hold office until his successor is elected and qualified, unless a different term is specified in the vote appointing the officer, or until his earlier death, resignation or removal.</w:t>
      </w:r>
    </w:p>
    <w:p>
      <w:pPr>
        <w:spacing w:after="0" w:line="124"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officer may resign by delivering his written resignation to the corporation at its principal office or to the President or Secretary. Such resignation shall be effective upon receipt unless it is specified to be effective at some other time or upon the happening of some other event. Any officer elected by the Board of Directors may be removed at any time, with or without cause, by the Board of Directors.</w:t>
      </w:r>
    </w:p>
    <w:p>
      <w:pPr>
        <w:spacing w:after="0" w:line="14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Board of Directors may appoint a Chairman of the Board. If the Board of Directors appoints a Chairman of the Board, he shall perform such duties and possess such powers as are assigned to the Chairman by the Board of Directors and these Bylaws. Unless otherwise provided by the Board of Directors, he shall preside at all meetings of the Board of Directors.</w:t>
      </w:r>
    </w:p>
    <w:p>
      <w:pPr>
        <w:spacing w:after="0" w:line="16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of the corporation shall, subject to the direction of the Board of Directors, have general supervision, direction and control of the business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9" w:name="page280"/>
    <w:bookmarkEnd w:id="27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officers of the corporation. He shall preside at all meetings of the stockholders and, in the absence or nonexistence of a Chairman of the Board, at all meetings of the Board of Directors. He shall have the general powers and duties of management usually vested in the chief executive officer of a corporation, including general supervision, direction and control of the business and supervision of other officers of the corporation, and shall have such other powers and duties as may be prescribed by the Board of Directors or these Bylaws.</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President</w:t>
      </w:r>
      <w:r>
        <w:rPr>
          <w:rFonts w:ascii="Arial" w:cs="Arial" w:eastAsia="Arial" w:hAnsi="Arial"/>
          <w:sz w:val="18"/>
          <w:szCs w:val="18"/>
          <w:color w:val="auto"/>
        </w:rPr>
        <w:t>. Subject to the direction of the Board of Directors and such supervisory powers as may be given by these Bylaws or the Board of Directors to the Chairman of the Board or the Chief Executive Officer, if such titles be held by other officers, the President shall have general supervision, direction and control of the business and supervision of other officers of the corporation. Unless otherwise designated by the Board of Directors, the President shall be the Chief Executive Officer of the corporation. The President shall have such other powers and duties as may be prescribed by the Board of Directors or these Bylaws. He shall have power to sign stock certificates, contracts and other instruments of the corporation which are authorized and shall have general supervision and direction of all of the other officers, employees and agents of the corporation, other than the Chairman of the Board and the Chief Executive Officer.</w:t>
      </w:r>
    </w:p>
    <w:p>
      <w:pPr>
        <w:spacing w:after="0" w:line="191"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Vice Presidents</w:t>
      </w:r>
      <w:r>
        <w:rPr>
          <w:rFonts w:ascii="Arial" w:cs="Arial" w:eastAsia="Arial" w:hAnsi="Arial"/>
          <w:sz w:val="16"/>
          <w:szCs w:val="16"/>
          <w:color w:val="auto"/>
        </w:rPr>
        <w:t>. Any Vice President shall perform such duties and possess such powers as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the Chief Executive Officer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5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Secretary and Assistant Secretaries</w:t>
      </w:r>
      <w:r>
        <w:rPr>
          <w:rFonts w:ascii="Arial" w:cs="Arial" w:eastAsia="Arial" w:hAnsi="Arial"/>
          <w:sz w:val="18"/>
          <w:szCs w:val="18"/>
          <w:color w:val="auto"/>
        </w:rPr>
        <w:t>. The Secretary shall perform such duties and shall have such powers as the Board of Directors or the President may from time to time prescribe. In addition, the Secretary shall perform such duties and have such powers as are set forth in these Bylaws and as are incident to the office of the Secretary, including, without limitation, the duty and power to give notices of all meetings of stockholders and special meetings of the Board of Directors, to keep a record of the proceedings of all meetings of stockholders and the Board of Directors, to maintain a stock ledger and prepare lists of stockholders and their addresses as required, to be custodian of corporate records and the corporate seal and to affix and attest to the same on documents.</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 Assistant Secretary shall perform such duties and possess such powers as the Board of Directors, the Chief Executive Officer,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the absence of the Secretary or any Assistant Secretary at any meeting of stockholders or directors, the person presiding at the meeting shall designate a temporary secretary to keep a record of the meeting.</w:t>
      </w:r>
    </w:p>
    <w:p>
      <w:pPr>
        <w:spacing w:after="0" w:line="170" w:lineRule="exact"/>
        <w:rPr>
          <w:sz w:val="20"/>
          <w:szCs w:val="20"/>
          <w:color w:val="auto"/>
        </w:rPr>
      </w:pPr>
    </w:p>
    <w:p>
      <w:pPr>
        <w:ind w:right="380" w:firstLine="440"/>
        <w:spacing w:after="0" w:line="301"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perform such duties and have such powers as are incident to the office of treasurer, including without limitation, the duty and power to keep and be responsible for all funds and securities of the corporation, to maintain the financial records of the corporation, to deposit funds of the corporation in depositories as authorized, to disburse such funds as authorized, to make proper accounts of such funds, and to render as required by the Board of Directors accounts of all such transactions and of the financial condition of the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80" w:name="page281"/>
    <w:bookmarkEnd w:id="280"/>
    <w:p>
      <w:pPr>
        <w:jc w:val="both"/>
        <w:ind w:right="3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3.12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perform such duties and shall have such powers as may from time to time be assigned to the Chief Financial Officer by the Board of Directors</w:t>
      </w:r>
      <w:r>
        <w:rPr>
          <w:rFonts w:ascii="Arial" w:cs="Arial" w:eastAsia="Arial" w:hAnsi="Arial"/>
          <w:sz w:val="18"/>
          <w:szCs w:val="18"/>
          <w:b w:val="1"/>
          <w:bCs w:val="1"/>
          <w:color w:val="auto"/>
        </w:rPr>
        <w:t>,</w:t>
      </w:r>
      <w:r>
        <w:rPr>
          <w:rFonts w:ascii="Arial" w:cs="Arial" w:eastAsia="Arial" w:hAnsi="Arial"/>
          <w:sz w:val="18"/>
          <w:szCs w:val="18"/>
          <w:color w:val="auto"/>
        </w:rPr>
        <w:t xml:space="preserve"> the Chief Executive Officer or the President. Unless otherwise designated by the Board of Directors, the Chief Financial Officer shall be the Treasurer of the corporation.</w:t>
      </w:r>
    </w:p>
    <w:p>
      <w:pPr>
        <w:spacing w:after="0" w:line="184" w:lineRule="exact"/>
        <w:rPr>
          <w:sz w:val="20"/>
          <w:szCs w:val="20"/>
          <w:color w:val="auto"/>
        </w:rPr>
      </w:pPr>
    </w:p>
    <w:p>
      <w:pPr>
        <w:jc w:val="both"/>
        <w:ind w:right="340" w:firstLine="440"/>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Salaries</w:t>
      </w:r>
      <w:r>
        <w:rPr>
          <w:rFonts w:ascii="Arial" w:cs="Arial" w:eastAsia="Arial" w:hAnsi="Arial"/>
          <w:sz w:val="18"/>
          <w:szCs w:val="18"/>
          <w:color w:val="auto"/>
        </w:rPr>
        <w:t>. Officers of the corporation shall be entitled to such salaries, compensation or reimbursement as shall be fixed or allowed from time to time by the Board of Directors.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provisions of the Certificate of Incorporation, the whole or any part of any unissued balance of the authorized capital stock of the corporation or the whole or any part of any unissued balance of the 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Every holder of stock of the corporation shall be entitled to have a certificate, in such form as may be prescribed by law and by the Board of Directors, certifying the number and class of shares of stock owned by such stockholder in the corporation. Each such certificate shall be signed by, or in the name of, the corporation by any two (2) authorized officers of the corporation. Any or all of the signatures on the certificate may be a facsimile.</w:t>
      </w:r>
    </w:p>
    <w:p>
      <w:pPr>
        <w:spacing w:after="0" w:line="187"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Each certificate for shares of stock which are subject to any restriction on transfer pursuant to the Certificate of Incorporation, the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9"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Transfers</w:t>
      </w:r>
      <w:r>
        <w:rPr>
          <w:rFonts w:ascii="Arial" w:cs="Arial" w:eastAsia="Arial" w:hAnsi="Arial"/>
          <w:sz w:val="16"/>
          <w:szCs w:val="16"/>
          <w:color w:val="auto"/>
        </w:rPr>
        <w:t>.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authenticity of signature as the corporation or its transfer agent may reasonably require. Except as may be otherwise required by law, the Certificate of Incorporation or the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in place of any previously issued certificate alleged to have been lost, stolen, or destroyed, upon such terms and conditions as the Board of Directors may prescribe, including the presentation of reasonable evidence of such loss, theft or destruction and the giving of such indemnity as the Board of Directors may require for the protection of the corporation or any transfer agent or registrar.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1" w:name="page282"/>
    <w:bookmarkEnd w:id="281"/>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4.5 </w:t>
      </w:r>
      <w:r>
        <w:rPr>
          <w:rFonts w:ascii="Arial" w:cs="Arial" w:eastAsia="Arial" w:hAnsi="Arial"/>
          <w:sz w:val="17"/>
          <w:szCs w:val="17"/>
          <w:u w:val="single" w:color="auto"/>
          <w:color w:val="auto"/>
        </w:rPr>
        <w:t>Record Date</w:t>
      </w:r>
      <w:r>
        <w:rPr>
          <w:rFonts w:ascii="Arial" w:cs="Arial" w:eastAsia="Arial" w:hAnsi="Arial"/>
          <w:sz w:val="17"/>
          <w:szCs w:val="17"/>
          <w:color w:val="auto"/>
        </w:rPr>
        <w:t>. The Board of Directors may fix in advance a record date for the determination of the stockholders entitled to notice of and to vote at any meeting of stockholders or to express consent to corporate action in writing without a meeting, or entitled to receive payment of any dividend or other distribution or allotment of any rights in respect of any change, concession or exchange of stock, or for the purpose of any other lawful action. Such record date shall not precede the date on which the resolution fixing the record date is adopted and shall not be more than 60 nor less than 10 days before the date of such meeting, nor more than 60 days prior to any other action to which such record date relates.</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If no record date is fixed by the Board of Directors, the record date for determining the stockholders entitled to notice of and to vote at a meeting of stockholders shall be the close of business on the day before the date on which notice is given, or, if notice is waived, the close of business on the day before the date on which the meeting is held. If no record date is fixed by the Board of Directors, the record date for determining stockholders entitled to express consent to corporate action in writing without a meeting when no prior action by the Board of Directors is necessary, shall be the date on which the first written consent is expressed. The record date for determining stockholders for any other purpose shall be the close of business on the day on which the Board of Directors adopts the resolution relating to such purpose.</w:t>
      </w:r>
    </w:p>
    <w:p>
      <w:pPr>
        <w:spacing w:after="0" w:line="178"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A determination of stockholders of record entitled to notice of and to vote at a meeting of stockholders shall apply to any adjournment of the meeting; provided, however, that the Board of Directors may fix a new record date for the adjourned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as fixed by the Board of Directors.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be in such form as shall be approved by the Board of Directors.</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whatsoever is required to be given by law, by the Certificate of Incorporation or by these Bylaws, a waiver of such notice either in writing signed by the person entitled to such notice or such person’s duly authorized attorney, or by electronic transmission or any other method permitted under the Delaware General Corporation Law, whether before, at or after the time stated in such waiver, or the appearance of such person or persons at such meeting in person or by proxy, shall be deemed equivalent to such notice. Neither the business nor the purpose of any meeting need be specified in such a waiver. Attendance at any meeting shall constitute waiver of notice except attendance for the sole purpose of objecting to the timeliness or manner of notice.</w:t>
      </w:r>
    </w:p>
    <w:p>
      <w:pPr>
        <w:spacing w:after="0" w:line="192"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Actions with Respect to Securities of Other Corporations</w:t>
      </w:r>
      <w:r>
        <w:rPr>
          <w:rFonts w:ascii="Arial" w:cs="Arial" w:eastAsia="Arial" w:hAnsi="Arial"/>
          <w:sz w:val="18"/>
          <w:szCs w:val="18"/>
          <w:color w:val="auto"/>
        </w:rPr>
        <w:t>. Except as the Board of Directors may otherwise designate, the Chief Executive Officer or President or any officer of the corporation authorized by the Chief Executive Officer or President shall have the power to vote and otherwise act on behalf of the corporation, in person or by proxy, and may waive notice of, and act as, or appoint any person or persons to act as, proxy or attorney-in-fact to this corporation (with or without power of substitution) at any meeting of stockholders or shareholders (or with respect to any action of stockholders) of any other corporation or organization, the securities of which may be held by this corporation and otherwise to exercise any and all rights and powers that this corporation may possess by reason of this corporation’s ownership of securities in such other corporation or other organization.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82" w:name="page283"/>
    <w:bookmarkEnd w:id="282"/>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8"/>
          <w:szCs w:val="18"/>
          <w:u w:val="single" w:color="auto"/>
          <w:color w:val="auto"/>
        </w:rPr>
        <w:t>Evidence of Authority</w:t>
      </w:r>
      <w:r>
        <w:rPr>
          <w:rFonts w:ascii="Arial" w:cs="Arial" w:eastAsia="Arial" w:hAnsi="Arial"/>
          <w:sz w:val="18"/>
          <w:szCs w:val="18"/>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Severability</w:t>
      </w:r>
      <w:r>
        <w:rPr>
          <w:rFonts w:ascii="Arial" w:cs="Arial" w:eastAsia="Arial" w:hAnsi="Arial"/>
          <w:sz w:val="18"/>
          <w:szCs w:val="18"/>
          <w:color w:val="auto"/>
        </w:rPr>
        <w:t>.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Pronouns</w:t>
      </w:r>
      <w:r>
        <w:rPr>
          <w:rFonts w:ascii="Arial" w:cs="Arial" w:eastAsia="Arial" w:hAnsi="Arial"/>
          <w:sz w:val="18"/>
          <w:szCs w:val="18"/>
          <w:color w:val="auto"/>
        </w:rPr>
        <w:t>. All pronouns used in these Bylaws shall be deemed to refer to the masculine, feminine or neuter, singular or plural, as the identity of the person or persons may require.</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specifically provided herein or required by law, all notices required to be given to any stockholder, director, officer, employee or agent of the corporation shall be in writing and may in every instance be effectively given by hand delivery to the recipient thereof, by depositing such notice in the mails, postage paid, or by sending such notice by commercial courier service, or by facsimile or other electronic transmission, provided that notice to stockholders by electronic transmission shall be given in the manner provided in Section 232 of the Delaware General Corporation Law. Any such notice shall be addressed to such stockholder, director, officer, employee or agent at his last known address as the same appears on the books of the corporation. The time when such notice shall be deemed to be given shall be the time such notice is received by such stockholder, director, officer, employee or agent, or by any person accepting such notice on behalf of such person, if delivered by hand, facsimile, other electronic transmission or commercial courier service, or the time such notice is dispatched, if delivered through the mails.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spacing w:after="0" w:line="18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each member of any committee designated by the Board of Directors, and each officer of the corporation shall, in the performance of his duties, be fully protected in relying in good faith upon the books of account or other records of the corporation, as provided by law, including reports made to the corporation by any of its officers, by an independent certified public accountant, or by an appraiser selected with reasonable care.</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Time Periods</w:t>
      </w:r>
      <w:r>
        <w:rPr>
          <w:rFonts w:ascii="Arial" w:cs="Arial" w:eastAsia="Arial" w:hAnsi="Arial"/>
          <w:sz w:val="18"/>
          <w:szCs w:val="18"/>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83" w:name="page284"/>
    <w:bookmarkEnd w:id="283"/>
    <w:p>
      <w:pPr>
        <w:ind w:right="4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5.12 </w:t>
      </w:r>
      <w:r>
        <w:rPr>
          <w:rFonts w:ascii="Arial" w:cs="Arial" w:eastAsia="Arial" w:hAnsi="Arial"/>
          <w:sz w:val="18"/>
          <w:szCs w:val="18"/>
          <w:u w:val="single" w:color="auto"/>
          <w:color w:val="auto"/>
        </w:rPr>
        <w:t>Facsimile Signatures</w:t>
      </w:r>
      <w:r>
        <w:rPr>
          <w:rFonts w:ascii="Arial" w:cs="Arial" w:eastAsia="Arial" w:hAnsi="Arial"/>
          <w:sz w:val="18"/>
          <w:szCs w:val="18"/>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Forum for Certain Actions</w:t>
      </w:r>
      <w:r>
        <w:rPr>
          <w:rFonts w:ascii="Arial" w:cs="Arial" w:eastAsia="Arial" w:hAnsi="Arial"/>
          <w:sz w:val="18"/>
          <w:szCs w:val="18"/>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Delaware General Corporation Law or the corporation’s Certificate of Incorporation or Bylaws, or (iv) any action asserting a claim against the corporation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Section 5.13.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By the Board of Directors</w:t>
      </w:r>
      <w:r>
        <w:rPr>
          <w:rFonts w:ascii="Arial" w:cs="Arial" w:eastAsia="Arial" w:hAnsi="Arial"/>
          <w:sz w:val="18"/>
          <w:szCs w:val="18"/>
          <w:color w:val="auto"/>
        </w:rPr>
        <w:t>. Except as otherwise set forth in these Bylaws, these Bylaws may be altered, amended or repealed or new Bylaws may be adopted by the affirmative vote of a majority of the directors present at any regular or special meeting of the Board of Directors at which a quorum is present.</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By the Stockholders</w:t>
      </w:r>
      <w:r>
        <w:rPr>
          <w:rFonts w:ascii="Arial" w:cs="Arial" w:eastAsia="Arial" w:hAnsi="Arial"/>
          <w:sz w:val="18"/>
          <w:szCs w:val="18"/>
          <w:color w:val="auto"/>
        </w:rPr>
        <w:t>. Except as otherwise set forth in these Bylaws, these Bylaws may be altered, amended or repealed or new Bylaws may be adopted by the affirmative vote of the holders of at least a majority of the voting power of all of the shares of capital stock of the corporation issued and outstanding and entitled to vote generally in any election of directors, voting together as a single class. Such vote may be held at any annual meeting of stockholders, or at any special meeting of stockholders provided that notice of such alteration, amendment, repeal or adoption of new Bylaws shall have been stated in the notice of such special meeting.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11"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Each person who was or is made a party or is threatened to be made a party to or is involved in any action, suit or proceeding, whether civil, criminal, administrative or investigative (“proceeding”), by reason of the fact that he or a person of whom he is the legal representative, is or was a director or officer of the corporation or is or was serving at the request of the corporation as a director or officer of another corporation, or as a controlling person of a partnership, joint venture, trust or other enterprise, including service with respect to employee benefit plans, whether the basis of such proceeding is alleged action in an official capacity as a director or officer, or in any other capacity while serving as a director or officer,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reasonably incurred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84" w:name="page285"/>
    <w:bookmarkEnd w:id="284"/>
    <w:p>
      <w:pPr>
        <w:jc w:val="both"/>
        <w:ind w:left="4" w:right="3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suffered by such person in connection therewith and such indemnification shall continue as to a person who has ceased to be a director or officer and shall inure to the benefit of his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provided in Section 7.2 of this Article VII, the corporation shall indemnify any such person seeking indemnity in connection with a proceeding (or part thereof) initiated by such person only if</w:t>
      </w:r>
    </w:p>
    <w:p>
      <w:pPr>
        <w:spacing w:after="0" w:line="2" w:lineRule="exact"/>
        <w:rPr>
          <w:sz w:val="20"/>
          <w:szCs w:val="20"/>
          <w:color w:val="auto"/>
        </w:rPr>
      </w:pPr>
    </w:p>
    <w:p>
      <w:pPr>
        <w:ind w:left="4" w:hanging="4"/>
        <w:spacing w:after="0" w:line="286" w:lineRule="auto"/>
        <w:tabs>
          <w:tab w:leader="none" w:pos="24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such indemnification is expressly required to be made by law, (b) the proceeding (or part thereof) was authorized by the Board of Directors of the corporation, (c) such indemnification is provided by the corporation, in its sole discretion, pursuant to the powers vested in the corporation under the Delaware General Corporation Law, or (d) the proceeding (or part thereof) is brought to establish or enforce a right to indemnification or advancement under an indemnity agreement or any other statute or law or otherwise as required under Section 145 of the Delaware General Corporation Law. The rights hereunder shall be contract rights and shall include the right to be paid expenses incurred in defending any such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payment of such expenses incurred by a director or officer of the corporation in his capacity as a director or officer (and not in any other capacity in which service was or is tendered by such person while a director or officer, including, without limitation, service to an employee benefit plan) in advance of the final disposition of such proceeding, shall be made only upon delivery to the corporation of an undertaking, by or on behalf of such director or officer, to repay all amounts so advanced if it should be determined ultimately by final judicial decision from which there is no further right to appeal that such director or officer is not entitled to be indemnified under this section or otherwise.</w:t>
      </w:r>
    </w:p>
    <w:p>
      <w:pPr>
        <w:spacing w:after="0" w:line="16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Right of Claimant to Bring Suit</w:t>
      </w:r>
      <w:r>
        <w:rPr>
          <w:rFonts w:ascii="Arial" w:cs="Arial" w:eastAsia="Arial" w:hAnsi="Arial"/>
          <w:sz w:val="16"/>
          <w:szCs w:val="16"/>
          <w:color w:val="auto"/>
        </w:rPr>
        <w:t>. If a claim under Section 7.1 is not paid in full by the corporation within sixty (60) days after a written claim has been received by the corporation, or 20 days in the case of a claim for advancement of expenses,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has been tendered to this corporation) that the claimant has not met the standards of conduct which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Delaware General Corporation Law.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shall be on the corporation.</w:t>
      </w:r>
    </w:p>
    <w:p>
      <w:pPr>
        <w:spacing w:after="0" w:line="176"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to the extent authorized from time to time by the Board of Directors, grant rights to indemnification, and to the advancement of related expenses, to any employee or agent of the corporation to the fullest extent of the provisions of this Article VII with respect to the indemnification of and advancement of expenses to directors and officers of the corporation.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85" w:name="page286"/>
    <w:bookmarkEnd w:id="285"/>
    <w:p>
      <w:pPr>
        <w:jc w:val="both"/>
        <w:ind w:right="4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in this Article VII shall not be exclusive of any other right which such persons may have or hereafter acquire under any statute, provision of the Certificate of Incorporation, Bylaw, agreement, vote of stockholders or disinterested directors or otherwise.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Indemnification Contracts</w:t>
      </w:r>
      <w:r>
        <w:rPr>
          <w:rFonts w:ascii="Arial" w:cs="Arial" w:eastAsia="Arial" w:hAnsi="Arial"/>
          <w:sz w:val="18"/>
          <w:szCs w:val="18"/>
          <w:color w:val="auto"/>
        </w:rPr>
        <w:t>. The Board of Directors is authorized to enter into a contract with any director, officer, employee or agent of the corporation, or any person serving at the request of the corporation as a director, officer, employee or agent of another corporation, partnership, joint venture, trust or other enterprise, including employee benefit plans, providing for indemnification rights equivalent to or, if the Board of Directors so determines, greater than, those provided for in this Article VII.</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87"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Effect of Amendment</w:t>
      </w:r>
      <w:r>
        <w:rPr>
          <w:rFonts w:ascii="Arial" w:cs="Arial" w:eastAsia="Arial" w:hAnsi="Arial"/>
          <w:sz w:val="17"/>
          <w:szCs w:val="17"/>
          <w:color w:val="auto"/>
        </w:rPr>
        <w:t>. Any amendment, repeal or modification of any provision of this Article VII shall not adversely affect any right or protection of an indemnitee or his successor in respect of any act or omission occurring prior to such amendment, repeal or modification.</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440" w:top="274" w:right="59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BY SECRETARY OF ADOPTION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AMENDED AND RESTATED 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undersigned hereby certifies that he is the duly elected, qualified and acting Secretary of Taysha Gene Therapies, Inc., a Delaware corporation (the “Corporation”), and that the foregoing Amended and Restated Bylaws were adopted as the Bylaws of the Corporation as of the date first written above by the Board of Directors of the Corporation (the “Board”).</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That the foregoing Bylaws constitute the Amended and Restated Bylaws of the Corporation duly adopted and approved by written consent of the Board in lieu of a meeting.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I have hereunder subscribed my name as of the date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 Session II, Secretary</w:t>
      </w:r>
    </w:p>
    <w:p>
      <w:pPr>
        <w:sectPr>
          <w:pgSz w:w="11900" w:h="16838" w:orient="portrait"/>
          <w:cols w:equalWidth="0" w:num="1">
            <w:col w:w="10980"/>
          </w:cols>
          <w:pgMar w:left="440" w:top="270" w:right="479" w:bottom="1440" w:gutter="0" w:footer="0" w:header="0"/>
        </w:sectPr>
      </w:pPr>
    </w:p>
    <w:bookmarkStart w:id="287" w:name="page288"/>
    <w:bookmarkEnd w:id="287"/>
    <w:p>
      <w:pPr>
        <w:ind w:left="101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Taysha Gene Therapies, Inc. has determined such information (i) is not material and (ii) would be competitively harmful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w:t>
      </w:r>
      <w:r>
        <w:rPr>
          <w:rFonts w:ascii="Arial" w:cs="Arial" w:eastAsia="Arial" w:hAnsi="Arial"/>
          <w:sz w:val="15"/>
          <w:szCs w:val="15"/>
          <w:color w:val="auto"/>
        </w:rPr>
        <w:t>nd</w:t>
      </w:r>
      <w:r>
        <w:rPr>
          <w:rFonts w:ascii="Arial" w:cs="Arial" w:eastAsia="Arial" w:hAnsi="Arial"/>
          <w:sz w:val="18"/>
          <w:szCs w:val="18"/>
          <w:color w:val="auto"/>
        </w:rPr>
        <w:t xml:space="preserve"> day of July, 2020, by and among Taysha Gene Therapies,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each of the stockholders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each of whom is referred to herein as a “</w:t>
      </w:r>
      <w:r>
        <w:rPr>
          <w:rFonts w:ascii="Arial" w:cs="Arial" w:eastAsia="Arial" w:hAnsi="Arial"/>
          <w:sz w:val="18"/>
          <w:szCs w:val="18"/>
          <w:b w:val="1"/>
          <w:bCs w:val="1"/>
          <w:color w:val="auto"/>
        </w:rPr>
        <w:t>Key</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and any Additional Purchaser (as defined in the Purchase Agreement) that becomes a party to this Agreement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6.9</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Key Holders and certain of the Investors (the “</w:t>
      </w:r>
      <w:r>
        <w:rPr>
          <w:rFonts w:ascii="Arial" w:cs="Arial" w:eastAsia="Arial" w:hAnsi="Arial"/>
          <w:sz w:val="16"/>
          <w:szCs w:val="16"/>
          <w:b w:val="1"/>
          <w:bCs w:val="1"/>
          <w:color w:val="auto"/>
        </w:rPr>
        <w:t>Existing Investors</w:t>
      </w:r>
      <w:r>
        <w:rPr>
          <w:rFonts w:ascii="Arial" w:cs="Arial" w:eastAsia="Arial" w:hAnsi="Arial"/>
          <w:sz w:val="16"/>
          <w:szCs w:val="16"/>
          <w:color w:val="auto"/>
        </w:rPr>
        <w:t>”) hold shares of the Company’s Series A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and/or shares of Common Stock and possess registration rights, information rights, rights of first offer, and other rights pursuant to that certain Investors’ Rights Agreement dated as of March 4, 2020, by and among the Company and such Existing Investors (the “</w:t>
      </w:r>
      <w:r>
        <w:rPr>
          <w:rFonts w:ascii="Arial" w:cs="Arial" w:eastAsia="Arial" w:hAnsi="Arial"/>
          <w:sz w:val="16"/>
          <w:szCs w:val="16"/>
          <w:b w:val="1"/>
          <w:bCs w:val="1"/>
          <w:color w:val="auto"/>
        </w:rPr>
        <w:t>Prior Agreement</w:t>
      </w:r>
      <w:r>
        <w:rPr>
          <w:rFonts w:ascii="Arial" w:cs="Arial" w:eastAsia="Arial" w:hAnsi="Arial"/>
          <w:sz w:val="16"/>
          <w:szCs w:val="16"/>
          <w:color w:val="auto"/>
        </w:rPr>
        <w:t>”);</w:t>
      </w:r>
    </w:p>
    <w:p>
      <w:pPr>
        <w:spacing w:after="0" w:line="14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and Key Holders are holders of at least a majority of the Registrable Securities of the Company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Agreement), and desire to amend and restate the Prior Agreement in its entirety and to accept the rights created pursuant to this Agreement in lieu of the rights granted to them under the Prior Agreement; and</w:t>
      </w:r>
    </w:p>
    <w:p>
      <w:pPr>
        <w:spacing w:after="0" w:line="176"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B Preferred Stock Purchase Agreement of even date herewith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and the Existing Investors and Key Holders holding at least a majority of the Registrable Securities, and the Company.</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Key Holders and the Existing Investors hereby agree that the Prior Agreement shall be amended and restated,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hereby agree as follows:</w:t>
      </w:r>
    </w:p>
    <w:p>
      <w:pPr>
        <w:spacing w:after="0" w:line="16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221" w:lineRule="exact"/>
        <w:rPr>
          <w:sz w:val="20"/>
          <w:szCs w:val="20"/>
          <w:color w:val="auto"/>
        </w:rPr>
      </w:pPr>
    </w:p>
    <w:p>
      <w:pPr>
        <w:ind w:right="160" w:firstLine="991"/>
        <w:spacing w:after="0" w:line="272"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means (i) with respect to any specified Person, any other Person who, directly or indirectly, controls, is controlled by, or is under common control with such Person, including without limitation any general partner, managing member, manager, officer or director of such Person or any venture capital fund or other investment fund now or hereafter existing that is controlled by one or more general partners or managing members of, or shares the same management company or investment adviser with, such Person, and (ii) with respect to any specified Person that is a partnership, limited partnership, corporation or limited liability company, any Person that is a partner, general partner, limited partner, shareholder or member thereof. For purposes of this definition, one or more Persons will be deemed to be under common control if they have granted to one of such Persons (whether by agreement, granting of a power-of-attorney, or otherwise) the ability to exercise all rights, receive all notices, and take any action under this Agreement.</w:t>
      </w:r>
    </w:p>
    <w:p>
      <w:pPr>
        <w:sectPr>
          <w:pgSz w:w="11900" w:h="16838" w:orient="portrait"/>
          <w:cols w:equalWidth="0" w:num="1">
            <w:col w:w="11020"/>
          </w:cols>
          <w:pgMar w:left="440" w:top="121" w:right="439" w:bottom="1440" w:gutter="0" w:footer="0" w:header="0"/>
        </w:sectPr>
      </w:pPr>
    </w:p>
    <w:bookmarkStart w:id="288" w:name="page289"/>
    <w:bookmarkEnd w:id="288"/>
    <w:p>
      <w:pPr>
        <w:ind w:left="984"/>
        <w:spacing w:after="0"/>
        <w:tabs>
          <w:tab w:leader="none" w:pos="1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4" w:right="500" w:firstLine="991"/>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amended and/or restated from time to time.</w:t>
      </w:r>
    </w:p>
    <w:p>
      <w:pPr>
        <w:spacing w:after="0" w:line="162"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$0.00001 per share.</w:t>
      </w:r>
    </w:p>
    <w:p>
      <w:pPr>
        <w:spacing w:after="0" w:line="225" w:lineRule="exact"/>
        <w:rPr>
          <w:sz w:val="20"/>
          <w:szCs w:val="20"/>
          <w:color w:val="auto"/>
        </w:rPr>
      </w:pPr>
    </w:p>
    <w:p>
      <w:pPr>
        <w:ind w:left="4" w:right="200" w:firstLine="991"/>
        <w:spacing w:after="0" w:line="293"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Competitor</w:t>
      </w:r>
      <w:r>
        <w:rPr>
          <w:rFonts w:ascii="Arial" w:cs="Arial" w:eastAsia="Arial" w:hAnsi="Arial"/>
          <w:sz w:val="16"/>
          <w:szCs w:val="16"/>
          <w:color w:val="auto"/>
        </w:rPr>
        <w:t>” means a Person engaged, directly or indirectly (including through any partnership, limited liability company, corporation, joint venture or similar arrangement (whether now existing or formed hereafter)), in gene therapies for rare diseases, but shall not include</w:t>
      </w:r>
    </w:p>
    <w:p>
      <w:pPr>
        <w:spacing w:after="0" w:line="1" w:lineRule="exact"/>
        <w:rPr>
          <w:sz w:val="20"/>
          <w:szCs w:val="20"/>
          <w:color w:val="auto"/>
        </w:rPr>
      </w:pPr>
    </w:p>
    <w:p>
      <w:pPr>
        <w:ind w:left="4" w:right="100" w:hanging="4"/>
        <w:spacing w:after="0" w:line="302" w:lineRule="auto"/>
        <w:tabs>
          <w:tab w:leader="none" w:pos="21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PBM, (ii) any Fidelity Investor or (iii)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Competitor specifically excludes the Board of Regents of the University of Texas System (the “</w:t>
      </w:r>
      <w:r>
        <w:rPr>
          <w:rFonts w:ascii="Arial" w:cs="Arial" w:eastAsia="Arial" w:hAnsi="Arial"/>
          <w:sz w:val="16"/>
          <w:szCs w:val="16"/>
          <w:b w:val="1"/>
          <w:bCs w:val="1"/>
          <w:color w:val="auto"/>
        </w:rPr>
        <w:t>Regents</w:t>
      </w:r>
      <w:r>
        <w:rPr>
          <w:rFonts w:ascii="Arial" w:cs="Arial" w:eastAsia="Arial" w:hAnsi="Arial"/>
          <w:sz w:val="16"/>
          <w:szCs w:val="16"/>
          <w:color w:val="auto"/>
        </w:rPr>
        <w:t>”).</w:t>
      </w:r>
    </w:p>
    <w:p>
      <w:pPr>
        <w:spacing w:after="0" w:line="151"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4" w:right="120" w:firstLine="991"/>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162"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3" w:lineRule="exact"/>
        <w:rPr>
          <w:sz w:val="20"/>
          <w:szCs w:val="20"/>
          <w:color w:val="auto"/>
        </w:rPr>
      </w:pPr>
    </w:p>
    <w:p>
      <w:pPr>
        <w:ind w:left="4" w:right="200" w:firstLine="991"/>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Fidelity</w:t>
      </w:r>
      <w:r>
        <w:rPr>
          <w:rFonts w:ascii="Arial" w:cs="Arial" w:eastAsia="Arial" w:hAnsi="Arial"/>
          <w:sz w:val="18"/>
          <w:szCs w:val="18"/>
          <w:color w:val="auto"/>
        </w:rPr>
        <w:t>” means Fidelity Management &amp; Research Company and any successor or affiliated registered investment advisor to the Fidelity Investors.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89" w:name="page290"/>
    <w:bookmarkEnd w:id="289"/>
    <w:p>
      <w:pPr>
        <w:ind w:left="9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Fidelity Investors</w:t>
      </w:r>
      <w:r>
        <w:rPr>
          <w:rFonts w:ascii="Arial" w:cs="Arial" w:eastAsia="Arial" w:hAnsi="Arial"/>
          <w:sz w:val="16"/>
          <w:szCs w:val="16"/>
          <w:color w:val="auto"/>
        </w:rPr>
        <w:t>” means the Investors that are advisory or sub-advisory clients of Fidelity.</w:t>
      </w:r>
    </w:p>
    <w:p>
      <w:pPr>
        <w:spacing w:after="0" w:line="225" w:lineRule="exact"/>
        <w:rPr>
          <w:sz w:val="20"/>
          <w:szCs w:val="20"/>
          <w:color w:val="auto"/>
        </w:rPr>
      </w:pPr>
    </w:p>
    <w:p>
      <w:pPr>
        <w:ind w:right="320" w:firstLine="991"/>
        <w:spacing w:after="0" w:line="261"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FOIA Party</w:t>
      </w:r>
      <w:r>
        <w:rPr>
          <w:rFonts w:ascii="Arial" w:cs="Arial" w:eastAsia="Arial" w:hAnsi="Arial"/>
          <w:sz w:val="18"/>
          <w:szCs w:val="18"/>
          <w:color w:val="auto"/>
        </w:rPr>
        <w:t>” means a Person that, in the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8"/>
          <w:szCs w:val="18"/>
          <w:b w:val="1"/>
          <w:bCs w:val="1"/>
          <w:color w:val="auto"/>
        </w:rPr>
        <w:t>FOIA</w:t>
      </w:r>
      <w:r>
        <w:rPr>
          <w:rFonts w:ascii="Arial" w:cs="Arial" w:eastAsia="Arial" w:hAnsi="Arial"/>
          <w:sz w:val="18"/>
          <w:szCs w:val="18"/>
          <w:color w:val="auto"/>
        </w:rPr>
        <w:t>”), any state public records access law, any state or other jurisdiction’s laws similar in intent or effect to FOIA, or any other similar statutory or regulatory requirement.</w:t>
      </w:r>
    </w:p>
    <w:p>
      <w:pPr>
        <w:spacing w:after="0" w:line="180"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as in effect from time to time.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means R.A. Session II.</w:t>
      </w:r>
    </w:p>
    <w:p>
      <w:pPr>
        <w:spacing w:after="0" w:line="225"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Key Holder Registrable Securities</w:t>
      </w:r>
      <w:r>
        <w:rPr>
          <w:rFonts w:ascii="Arial" w:cs="Arial" w:eastAsia="Arial" w:hAnsi="Arial"/>
          <w:sz w:val="18"/>
          <w:szCs w:val="18"/>
          <w:color w:val="auto"/>
        </w:rPr>
        <w:t>” means (i) the 10,000,000 shares of Common Stock held by the Key Holders as of the date hereof, and (ii) any Common Stock issued as (or issuable upon the conversion or exercise of any warrant, right, or other security that is issued as) a dividend or other distribution with respect to, or in exchange for or in replacement of such shares.</w:t>
      </w:r>
    </w:p>
    <w:p>
      <w:pPr>
        <w:spacing w:after="0" w:line="176"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666,666 shares of Registrable Securities (as adjusted for any stock split, stock dividend, combination, or other recapitalization or reclassification effected after the date hereof).</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290" w:name="page291"/>
    <w:bookmarkEnd w:id="290"/>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PBM</w:t>
      </w:r>
      <w:r>
        <w:rPr>
          <w:rFonts w:ascii="Arial" w:cs="Arial" w:eastAsia="Arial" w:hAnsi="Arial"/>
          <w:sz w:val="17"/>
          <w:szCs w:val="17"/>
          <w:color w:val="auto"/>
        </w:rPr>
        <w:t>” means PBM TGT Holdings, LLC and its Affiliates.</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shares of the Company’s Series A Preferred Stock and Series B Preferred Stock.</w:t>
      </w:r>
    </w:p>
    <w:p>
      <w:pPr>
        <w:spacing w:after="0" w:line="22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Investors after the date hereof; (iii) the Key Holder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Key Holder Registrable Securities shall not be deemed Registrable Securities and the Key Holders shall not be deemed Holders for the purposes of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any other applicable Section with respect to registrations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(other than with respect to the Regents so long as the Regents are a Major Investor) and </w:t>
      </w:r>
      <w:r>
        <w:rPr>
          <w:rFonts w:ascii="Arial" w:cs="Arial" w:eastAsia="Arial" w:hAnsi="Arial"/>
          <w:sz w:val="16"/>
          <w:szCs w:val="16"/>
          <w:u w:val="single" w:color="auto"/>
          <w:color w:val="auto"/>
        </w:rPr>
        <w:t>6.6</w:t>
      </w:r>
      <w:r>
        <w:rPr>
          <w:rFonts w:ascii="Arial" w:cs="Arial" w:eastAsia="Arial" w:hAnsi="Arial"/>
          <w:sz w:val="16"/>
          <w:szCs w:val="16"/>
          <w:color w:val="auto"/>
        </w:rPr>
        <w:t xml:space="preserve"> (other than with respect to the Regents’ rights under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of this Agreement.</w:t>
      </w:r>
    </w:p>
    <w:p>
      <w:pPr>
        <w:spacing w:after="0" w:line="161"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Section 2.12(b)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91" w:name="page292"/>
    <w:bookmarkEnd w:id="291"/>
    <w:p>
      <w:pPr>
        <w:ind w:left="4" w:right="4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1.34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6" w:lineRule="exact"/>
        <w:rPr>
          <w:sz w:val="20"/>
          <w:szCs w:val="20"/>
          <w:color w:val="auto"/>
        </w:rPr>
      </w:pPr>
    </w:p>
    <w:p>
      <w:pPr>
        <w:ind w:left="4" w:right="240" w:firstLine="991"/>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that the holders of record of the Series A Preferred Stock are entitled to elect, exclusively and as a separate class, pursuant to the Certificate of Incorporation.</w:t>
      </w:r>
    </w:p>
    <w:p>
      <w:pPr>
        <w:spacing w:after="0" w:line="162" w:lineRule="exact"/>
        <w:rPr>
          <w:sz w:val="20"/>
          <w:szCs w:val="20"/>
          <w:color w:val="auto"/>
        </w:rPr>
      </w:pPr>
    </w:p>
    <w:p>
      <w:pPr>
        <w:jc w:val="center"/>
        <w:ind w:right="116"/>
        <w:spacing w:after="0"/>
        <w:tabs>
          <w:tab w:leader="none" w:pos="1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$0.00001 per share.</w:t>
      </w:r>
    </w:p>
    <w:p>
      <w:pPr>
        <w:spacing w:after="0" w:line="229" w:lineRule="exact"/>
        <w:rPr>
          <w:sz w:val="20"/>
          <w:szCs w:val="20"/>
          <w:color w:val="auto"/>
        </w:rPr>
      </w:pPr>
    </w:p>
    <w:p>
      <w:pPr>
        <w:ind w:left="444"/>
        <w:spacing w:after="0"/>
        <w:tabs>
          <w:tab w:leader="none" w:pos="74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Registration Rights</w:t>
      </w:r>
      <w:r>
        <w:rPr>
          <w:rFonts w:ascii="Arial" w:cs="Arial" w:eastAsia="Arial" w:hAnsi="Arial"/>
          <w:sz w:val="16"/>
          <w:szCs w:val="16"/>
          <w:color w:val="auto"/>
        </w:rPr>
        <w:t>. The Company covenants and agrees as follows:</w:t>
      </w:r>
    </w:p>
    <w:p>
      <w:pPr>
        <w:spacing w:after="0" w:line="333"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17" w:lineRule="exact"/>
        <w:rPr>
          <w:sz w:val="20"/>
          <w:szCs w:val="20"/>
          <w:color w:val="auto"/>
        </w:rPr>
      </w:pPr>
    </w:p>
    <w:p>
      <w:pPr>
        <w:ind w:left="1804" w:hanging="372"/>
        <w:spacing w:after="0"/>
        <w:tabs>
          <w:tab w:leader="none" w:pos="1804"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46" w:lineRule="exact"/>
        <w:rPr>
          <w:rFonts w:ascii="Arial" w:cs="Arial" w:eastAsia="Arial" w:hAnsi="Arial"/>
          <w:sz w:val="16"/>
          <w:szCs w:val="16"/>
          <w:color w:val="auto"/>
        </w:rPr>
      </w:pPr>
    </w:p>
    <w:p>
      <w:pPr>
        <w:ind w:left="4" w:right="40" w:hanging="4"/>
        <w:spacing w:after="0" w:line="268" w:lineRule="auto"/>
        <w:tabs>
          <w:tab w:leader="none" w:pos="43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a majority of the Registrable Securities then outstanding that the Company file a Form S-1 registration statement with respect to Registrable Securities, the anticipated aggregate offering price, net of Selling Expenses, of which exceeds $10 million,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p>
    <w:p>
      <w:pPr>
        <w:spacing w:after="0" w:line="183" w:lineRule="exact"/>
        <w:rPr>
          <w:rFonts w:ascii="Arial" w:cs="Arial" w:eastAsia="Arial" w:hAnsi="Arial"/>
          <w:sz w:val="17"/>
          <w:szCs w:val="17"/>
          <w:color w:val="auto"/>
        </w:rPr>
      </w:pPr>
    </w:p>
    <w:p>
      <w:pPr>
        <w:ind w:left="4" w:firstLine="1428"/>
        <w:spacing w:after="0" w:line="271" w:lineRule="auto"/>
        <w:tabs>
          <w:tab w:leader="none" w:pos="1826"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a majority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292" w:name="page293"/>
    <w:bookmarkEnd w:id="292"/>
    <w:p>
      <w:pPr>
        <w:ind w:left="4" w:right="40" w:firstLine="1428"/>
        <w:spacing w:after="0" w:line="283" w:lineRule="auto"/>
        <w:tabs>
          <w:tab w:leader="none" w:pos="1816" w:val="left"/>
        </w:tabs>
        <w:numPr>
          <w:ilvl w:val="1"/>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one hundred twenty</w:t>
      </w:r>
    </w:p>
    <w:p>
      <w:pPr>
        <w:spacing w:after="0" w:line="4" w:lineRule="exact"/>
        <w:rPr>
          <w:rFonts w:ascii="Arial" w:cs="Arial" w:eastAsia="Arial" w:hAnsi="Arial"/>
          <w:sz w:val="16"/>
          <w:szCs w:val="16"/>
          <w:color w:val="auto"/>
        </w:rPr>
      </w:pPr>
    </w:p>
    <w:p>
      <w:pPr>
        <w:ind w:left="444" w:hanging="444"/>
        <w:spacing w:after="0"/>
        <w:tabs>
          <w:tab w:leader="none" w:pos="4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day period other than an Excluded Registration.</w:t>
      </w:r>
    </w:p>
    <w:p>
      <w:pPr>
        <w:spacing w:after="0" w:line="210" w:lineRule="exact"/>
        <w:rPr>
          <w:rFonts w:ascii="Arial" w:cs="Arial" w:eastAsia="Arial" w:hAnsi="Arial"/>
          <w:sz w:val="18"/>
          <w:szCs w:val="18"/>
          <w:color w:val="auto"/>
        </w:rPr>
      </w:pPr>
    </w:p>
    <w:p>
      <w:pPr>
        <w:ind w:left="4" w:firstLine="1428"/>
        <w:spacing w:after="0" w:line="291" w:lineRule="auto"/>
        <w:tabs>
          <w:tab w:leader="none" w:pos="182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w:t>
      </w:r>
    </w:p>
    <w:p>
      <w:pPr>
        <w:ind w:left="4" w:right="20" w:hanging="4"/>
        <w:spacing w:after="0" w:line="285" w:lineRule="auto"/>
        <w:tabs>
          <w:tab w:leader="none" w:pos="43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one (1)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withdrawal is during a period the Company has deferred taking action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then the Initiating Holders may withdraw their request for registration and such registration will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w:t>
      </w:r>
    </w:p>
    <w:p>
      <w:pPr>
        <w:spacing w:after="0" w:line="169"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93" w:name="page294"/>
    <w:bookmarkEnd w:id="293"/>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26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ind w:right="20" w:firstLine="1428"/>
        <w:spacing w:after="0" w:line="286" w:lineRule="auto"/>
        <w:tabs>
          <w:tab w:leader="none" w:pos="181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Board of Directors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managing underwriter(s) advise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Key Holder Registrable Securities and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67" w:lineRule="exact"/>
        <w:rPr>
          <w:rFonts w:ascii="Arial" w:cs="Arial" w:eastAsia="Arial" w:hAnsi="Arial"/>
          <w:sz w:val="16"/>
          <w:szCs w:val="16"/>
          <w:color w:val="auto"/>
        </w:rPr>
      </w:pPr>
    </w:p>
    <w:p>
      <w:pPr>
        <w:ind w:firstLine="1428"/>
        <w:spacing w:after="0" w:line="271" w:lineRule="auto"/>
        <w:tabs>
          <w:tab w:leader="none" w:pos="182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4" w:name="page295"/>
    <w:bookmarkEnd w:id="2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(iii) notwithstanding (ii) above, any Registrable Securities which are not Key Holder Registrable Securities be excluded from such underwriting unless all Key Holder Registrable Securities are first excluded from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7" w:lineRule="exact"/>
        <w:rPr>
          <w:sz w:val="20"/>
          <w:szCs w:val="20"/>
          <w:color w:val="auto"/>
        </w:rPr>
      </w:pPr>
    </w:p>
    <w:p>
      <w:pPr>
        <w:ind w:right="180" w:firstLine="1428"/>
        <w:spacing w:after="0" w:line="263" w:lineRule="auto"/>
        <w:tabs>
          <w:tab w:leader="none" w:pos="181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100" w:firstLine="1428"/>
        <w:spacing w:after="0" w:line="273" w:lineRule="auto"/>
        <w:tabs>
          <w:tab w:leader="none" w:pos="181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77" w:lineRule="exact"/>
        <w:rPr>
          <w:rFonts w:ascii="Arial" w:cs="Arial" w:eastAsia="Arial" w:hAnsi="Arial"/>
          <w:sz w:val="17"/>
          <w:szCs w:val="17"/>
          <w:color w:val="auto"/>
        </w:rPr>
      </w:pPr>
    </w:p>
    <w:p>
      <w:pPr>
        <w:jc w:val="both"/>
        <w:ind w:right="260" w:firstLine="1428"/>
        <w:spacing w:after="0" w:line="263" w:lineRule="auto"/>
        <w:tabs>
          <w:tab w:leader="none" w:pos="182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295" w:name="page296"/>
    <w:bookmarkEnd w:id="295"/>
    <w:p>
      <w:pPr>
        <w:jc w:val="both"/>
        <w:ind w:right="220" w:firstLine="1428"/>
        <w:spacing w:after="0" w:line="342" w:lineRule="auto"/>
        <w:tabs>
          <w:tab w:leader="none" w:pos="1812"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60" w:firstLine="1428"/>
        <w:spacing w:after="0" w:line="279" w:lineRule="auto"/>
        <w:tabs>
          <w:tab w:leader="none" w:pos="182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300" w:firstLine="1428"/>
        <w:spacing w:after="0" w:line="277" w:lineRule="auto"/>
        <w:tabs>
          <w:tab w:leader="none" w:pos="18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40" w:firstLine="1428"/>
        <w:spacing w:after="0" w:line="263" w:lineRule="auto"/>
        <w:tabs>
          <w:tab w:leader="none" w:pos="17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60" w:firstLine="1428"/>
        <w:spacing w:after="0" w:line="277" w:lineRule="auto"/>
        <w:tabs>
          <w:tab w:leader="none" w:pos="182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0" w:firstLine="1428"/>
        <w:spacing w:after="0" w:line="255" w:lineRule="auto"/>
        <w:tabs>
          <w:tab w:leader="none" w:pos="182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240" w:firstLine="1428"/>
        <w:spacing w:after="0" w:line="308" w:lineRule="auto"/>
        <w:tabs>
          <w:tab w:leader="none" w:pos="178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320" w:firstLine="1428"/>
        <w:spacing w:after="0" w:line="277" w:lineRule="auto"/>
        <w:tabs>
          <w:tab w:leader="none" w:pos="178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96" w:name="page297"/>
    <w:bookmarkEnd w:id="296"/>
    <w:p>
      <w:pPr>
        <w:ind w:right="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7"/>
          <w:szCs w:val="17"/>
          <w:b w:val="1"/>
          <w:bCs w:val="1"/>
          <w:color w:val="auto"/>
        </w:rPr>
        <w:t>Selling Holder</w:t>
      </w:r>
      <w:r>
        <w:rPr>
          <w:rFonts w:ascii="Arial" w:cs="Arial" w:eastAsia="Arial" w:hAnsi="Arial"/>
          <w:sz w:val="17"/>
          <w:szCs w:val="17"/>
          <w:color w:val="auto"/>
        </w:rPr>
        <w:t xml:space="preserve"> </w:t>
      </w:r>
      <w:r>
        <w:rPr>
          <w:rFonts w:ascii="Arial" w:cs="Arial" w:eastAsia="Arial" w:hAnsi="Arial"/>
          <w:sz w:val="17"/>
          <w:szCs w:val="17"/>
          <w:b w:val="1"/>
          <w:bCs w:val="1"/>
          <w:color w:val="auto"/>
        </w:rPr>
        <w:t>Counsel</w:t>
      </w:r>
      <w:r>
        <w:rPr>
          <w:rFonts w:ascii="Arial" w:cs="Arial" w:eastAsia="Arial" w:hAnsi="Arial"/>
          <w:sz w:val="17"/>
          <w:szCs w:val="17"/>
          <w:color w:val="auto"/>
        </w:rPr>
        <w:t>”), shall be borne and paid by the Company;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for any expenses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86" w:lineRule="exact"/>
        <w:rPr>
          <w:sz w:val="20"/>
          <w:szCs w:val="20"/>
          <w:color w:val="auto"/>
        </w:rPr>
      </w:pPr>
    </w:p>
    <w:p>
      <w:pPr>
        <w:ind w:right="480" w:firstLine="991"/>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 w:firstLine="1428"/>
        <w:spacing w:after="0" w:line="290" w:lineRule="auto"/>
        <w:tabs>
          <w:tab w:leader="none" w:pos="18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97" w:name="page298"/>
    <w:bookmarkEnd w:id="297"/>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46" w:lineRule="exact"/>
        <w:rPr>
          <w:sz w:val="20"/>
          <w:szCs w:val="20"/>
          <w:color w:val="auto"/>
        </w:rPr>
      </w:pPr>
    </w:p>
    <w:p>
      <w:pPr>
        <w:ind w:right="80" w:firstLine="1428"/>
        <w:spacing w:after="0" w:line="287" w:lineRule="auto"/>
        <w:tabs>
          <w:tab w:leader="none" w:pos="181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firstLine="1428"/>
        <w:spacing w:after="0" w:line="269" w:lineRule="auto"/>
        <w:tabs>
          <w:tab w:leader="none" w:pos="181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only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1428"/>
        <w:spacing w:after="0" w:line="277" w:lineRule="auto"/>
        <w:tabs>
          <w:tab w:leader="none" w:pos="181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but it is judicially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8" w:name="page299"/>
    <w:bookmarkEnd w:id="29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w:t>
      </w:r>
      <w:r>
        <w:rPr>
          <w:rFonts w:ascii="Arial" w:cs="Arial" w:eastAsia="Arial" w:hAnsi="Arial"/>
          <w:sz w:val="17"/>
          <w:szCs w:val="17"/>
          <w:u w:val="single" w:color="auto"/>
          <w:color w:val="auto"/>
        </w:rPr>
        <w:t>Section 2.8(d)</w:t>
      </w:r>
      <w:r>
        <w:rPr>
          <w:rFonts w:ascii="Arial" w:cs="Arial" w:eastAsia="Arial" w:hAnsi="Arial"/>
          <w:sz w:val="17"/>
          <w:szCs w:val="17"/>
          <w:color w:val="auto"/>
        </w:rPr>
        <w:t xml:space="preserve">, when combined with the amounts paid or payable by such Holder pursuant to </w:t>
      </w:r>
      <w:r>
        <w:rPr>
          <w:rFonts w:ascii="Arial" w:cs="Arial" w:eastAsia="Arial" w:hAnsi="Arial"/>
          <w:sz w:val="17"/>
          <w:szCs w:val="17"/>
          <w:u w:val="single" w:color="auto"/>
          <w:color w:val="auto"/>
        </w:rPr>
        <w:t>Section 2.8(b)</w:t>
      </w:r>
      <w:r>
        <w:rPr>
          <w:rFonts w:ascii="Arial" w:cs="Arial" w:eastAsia="Arial" w:hAnsi="Arial"/>
          <w:sz w:val="17"/>
          <w:szCs w:val="17"/>
          <w:color w:val="auto"/>
        </w:rPr>
        <w:t>, exceed the proceeds from the offering received by such Holder (net of any Selling Expenses paid by such Holder), except in the case of willful misconduct or fraud by such Holder.</w:t>
      </w:r>
    </w:p>
    <w:p>
      <w:pPr>
        <w:spacing w:after="0" w:line="180" w:lineRule="exact"/>
        <w:rPr>
          <w:sz w:val="20"/>
          <w:szCs w:val="20"/>
          <w:color w:val="auto"/>
        </w:rPr>
      </w:pPr>
    </w:p>
    <w:p>
      <w:pPr>
        <w:ind w:right="40" w:firstLine="1428"/>
        <w:spacing w:after="0" w:line="263" w:lineRule="auto"/>
        <w:tabs>
          <w:tab w:leader="none" w:pos="181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the foregoing, to the extent that any provisions on indemnification and contribution contained in the underwriting agreement entered into in connection with the underwritten public offering are in conflict with the foregoing provisions, such provisions in the underwriting agreement shall control.</w:t>
      </w:r>
    </w:p>
    <w:p>
      <w:pPr>
        <w:spacing w:after="0" w:line="183" w:lineRule="exact"/>
        <w:rPr>
          <w:rFonts w:ascii="Arial" w:cs="Arial" w:eastAsia="Arial" w:hAnsi="Arial"/>
          <w:sz w:val="18"/>
          <w:szCs w:val="18"/>
          <w:color w:val="auto"/>
        </w:rPr>
      </w:pPr>
    </w:p>
    <w:p>
      <w:pPr>
        <w:ind w:right="20" w:firstLine="1428"/>
        <w:spacing w:after="0" w:line="263" w:lineRule="auto"/>
        <w:tabs>
          <w:tab w:leader="none" w:pos="17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right="200" w:firstLine="1428"/>
        <w:spacing w:after="0" w:line="277" w:lineRule="auto"/>
        <w:tabs>
          <w:tab w:leader="none" w:pos="181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300" w:firstLine="1428"/>
        <w:spacing w:after="0" w:line="342" w:lineRule="auto"/>
        <w:tabs>
          <w:tab w:leader="none" w:pos="182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99" w:name="page300"/>
    <w:bookmarkEnd w:id="299"/>
    <w:p>
      <w:pPr>
        <w:ind w:left="4" w:firstLine="1428"/>
        <w:spacing w:after="0" w:line="291" w:lineRule="auto"/>
        <w:tabs>
          <w:tab w:leader="none" w:pos="1816" w:val="left"/>
        </w:tabs>
        <w:numPr>
          <w:ilvl w:val="0"/>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6"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provide to such holder or prospective holder the right to include securities in any registration on other than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Registrable Securities acquired by any additional Investor that becomes a party to this Agreement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95"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ind w:left="4" w:right="60" w:hanging="4"/>
        <w:spacing w:after="0" w:line="269" w:lineRule="auto"/>
        <w:tabs>
          <w:tab w:leader="none" w:pos="26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above is to be settled by delivery of Common Stock or other securities, in cash, or otherwise. The foregoing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 shall apply only to the IPO, (B) shall not apply to the sale of shares acquired in the IPO or in the open market on or after the IPO, (C)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of the trust agrees to be bound in writing by the restrictions set forth herein,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transfer shall not involve a disposition for value, and (D) shall be applicable to the Holders only if all officers and directors and all stockholders individually owning more than one percent (1%) of the Company’s outstanding Common Stock (after giving effect to conversion into Common Stock of all outstanding Preferred Stock) are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300" w:name="page301"/>
    <w:bookmarkEnd w:id="30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same restrictions. The underwriters in connection with such registration are intended third-party beneficiaries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that are necessary to give further effect thereto. In the event that the Company or the managing underwriter waives or terminates any of the restrictions contained in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in a lock-up agreement with respect to the securities of any Holder, officer, director or greater than one-percent stockholder of the Company (in any such case, the “</w:t>
      </w:r>
      <w:r>
        <w:rPr>
          <w:rFonts w:ascii="Arial" w:cs="Arial" w:eastAsia="Arial" w:hAnsi="Arial"/>
          <w:sz w:val="17"/>
          <w:szCs w:val="17"/>
          <w:b w:val="1"/>
          <w:bCs w:val="1"/>
          <w:color w:val="auto"/>
        </w:rPr>
        <w:t>Released Securities</w:t>
      </w:r>
      <w:r>
        <w:rPr>
          <w:rFonts w:ascii="Arial" w:cs="Arial" w:eastAsia="Arial" w:hAnsi="Arial"/>
          <w:sz w:val="17"/>
          <w:szCs w:val="17"/>
          <w:color w:val="auto"/>
        </w:rPr>
        <w:t xml:space="preserve">”), the restrictions contained in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in any lock-up agreements executed by the Investors shall be waived or terminated, as applicable, to the same extent and with respect to the same percentage of securities of each Investor as the percentage of Released Securities represent with respect to the securities held by the applicable Holder, officer, director or greater than one-percent stockholder.</w:t>
      </w:r>
    </w:p>
    <w:p>
      <w:pPr>
        <w:spacing w:after="0" w:line="289"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7" w:lineRule="exact"/>
        <w:rPr>
          <w:sz w:val="20"/>
          <w:szCs w:val="20"/>
          <w:color w:val="auto"/>
        </w:rPr>
      </w:pPr>
    </w:p>
    <w:p>
      <w:pPr>
        <w:ind w:right="80" w:firstLine="1428"/>
        <w:spacing w:after="0" w:line="254" w:lineRule="auto"/>
        <w:tabs>
          <w:tab w:leader="none" w:pos="180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194" w:lineRule="exact"/>
        <w:rPr>
          <w:rFonts w:ascii="Arial" w:cs="Arial" w:eastAsia="Arial" w:hAnsi="Arial"/>
          <w:sz w:val="18"/>
          <w:szCs w:val="18"/>
          <w:color w:val="auto"/>
        </w:rPr>
      </w:pPr>
    </w:p>
    <w:p>
      <w:pPr>
        <w:ind w:right="400" w:firstLine="1428"/>
        <w:spacing w:after="0" w:line="259" w:lineRule="auto"/>
        <w:tabs>
          <w:tab w:leader="none" w:pos="18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notated with a legend substantially in the following form:</w:t>
      </w:r>
    </w:p>
    <w:p>
      <w:pPr>
        <w:spacing w:after="0" w:line="79"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01" w:name="page302"/>
    <w:bookmarkEnd w:id="30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67" w:lineRule="auto"/>
        <w:tabs>
          <w:tab w:leader="none" w:pos="180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in connection with a transaction in compliance with SEC Rule 144 following the IPO, each transferee agrees in writing to be subject to the terms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7"/>
          <w:szCs w:val="17"/>
          <w:u w:val="single" w:color="auto"/>
          <w:color w:val="auto"/>
        </w:rPr>
        <w:t>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88"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1800" w:hanging="372"/>
        <w:spacing w:after="0"/>
        <w:tabs>
          <w:tab w:leader="none" w:pos="1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right="40" w:firstLine="1428"/>
        <w:spacing w:after="0" w:line="277" w:lineRule="auto"/>
        <w:tabs>
          <w:tab w:leader="none" w:pos="182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time after consummation of the IPO as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1800" w:hanging="372"/>
        <w:spacing w:after="0"/>
        <w:tabs>
          <w:tab w:leader="none" w:pos="1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third (3</w:t>
      </w:r>
      <w:r>
        <w:rPr>
          <w:rFonts w:ascii="Arial" w:cs="Arial" w:eastAsia="Arial" w:hAnsi="Arial"/>
          <w:sz w:val="15"/>
          <w:szCs w:val="15"/>
          <w:color w:val="auto"/>
        </w:rPr>
        <w:t>rd</w:t>
      </w:r>
      <w:r>
        <w:rPr>
          <w:rFonts w:ascii="Arial" w:cs="Arial" w:eastAsia="Arial" w:hAnsi="Arial"/>
          <w:sz w:val="18"/>
          <w:szCs w:val="18"/>
          <w:color w:val="auto"/>
        </w:rPr>
        <w:t>) anniversary of the IPO.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02" w:name="page303"/>
    <w:bookmarkEnd w:id="302"/>
    <w:p>
      <w:pPr>
        <w:ind w:left="764" w:hanging="324"/>
        <w:spacing w:after="0"/>
        <w:tabs>
          <w:tab w:leader="none" w:pos="764"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Rights</w:t>
      </w:r>
      <w:r>
        <w:rPr>
          <w:rFonts w:ascii="Arial" w:cs="Arial" w:eastAsia="Arial" w:hAnsi="Arial"/>
          <w:sz w:val="18"/>
          <w:szCs w:val="18"/>
          <w:color w:val="auto"/>
        </w:rPr>
        <w:t>.</w:t>
      </w:r>
    </w:p>
    <w:p>
      <w:pPr>
        <w:spacing w:after="0" w:line="117"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w:t>
      </w:r>
    </w:p>
    <w:p>
      <w:pPr>
        <w:spacing w:after="0" w:line="170" w:lineRule="exact"/>
        <w:rPr>
          <w:sz w:val="20"/>
          <w:szCs w:val="20"/>
          <w:color w:val="auto"/>
        </w:rPr>
      </w:pPr>
    </w:p>
    <w:p>
      <w:pPr>
        <w:ind w:left="1804" w:hanging="372"/>
        <w:spacing w:after="0"/>
        <w:tabs>
          <w:tab w:leader="none" w:pos="180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one-hundred twenty (120) days after the end of each fiscal year of the Company</w:t>
      </w:r>
    </w:p>
    <w:p>
      <w:pPr>
        <w:spacing w:after="0" w:line="46" w:lineRule="exact"/>
        <w:rPr>
          <w:rFonts w:ascii="Arial" w:cs="Arial" w:eastAsia="Arial" w:hAnsi="Arial"/>
          <w:sz w:val="16"/>
          <w:szCs w:val="16"/>
          <w:color w:val="auto"/>
        </w:rPr>
      </w:pPr>
    </w:p>
    <w:p>
      <w:pPr>
        <w:jc w:val="both"/>
        <w:ind w:left="4" w:right="20" w:hanging="4"/>
        <w:spacing w:after="0" w:line="255" w:lineRule="auto"/>
        <w:tabs>
          <w:tab w:leader="none" w:pos="21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balance sheet as of the end of such year, (ii) statements of income and of cash flows for such year, and (iii) a statement of stockholders’ equity as of the end of such year, all such financial statements audited and certified by independent public accountants of regionally recognized standing selected by the Company;</w:t>
      </w:r>
    </w:p>
    <w:p>
      <w:pPr>
        <w:spacing w:after="0" w:line="189" w:lineRule="exact"/>
        <w:rPr>
          <w:rFonts w:ascii="Arial" w:cs="Arial" w:eastAsia="Arial" w:hAnsi="Arial"/>
          <w:sz w:val="18"/>
          <w:szCs w:val="18"/>
          <w:color w:val="auto"/>
        </w:rPr>
      </w:pPr>
    </w:p>
    <w:p>
      <w:pPr>
        <w:ind w:left="4" w:firstLine="1428"/>
        <w:spacing w:after="0" w:line="287" w:lineRule="auto"/>
        <w:tabs>
          <w:tab w:leader="none" w:pos="1826"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 contain all notes thereto that may be required in accordance with GAAP);</w:t>
      </w:r>
    </w:p>
    <w:p>
      <w:pPr>
        <w:spacing w:after="0" w:line="210" w:lineRule="exact"/>
        <w:rPr>
          <w:rFonts w:ascii="Arial" w:cs="Arial" w:eastAsia="Arial" w:hAnsi="Arial"/>
          <w:sz w:val="18"/>
          <w:szCs w:val="18"/>
          <w:color w:val="auto"/>
        </w:rPr>
      </w:pPr>
    </w:p>
    <w:p>
      <w:pPr>
        <w:ind w:left="4" w:right="120" w:firstLine="1428"/>
        <w:spacing w:after="0" w:line="293" w:lineRule="auto"/>
        <w:tabs>
          <w:tab w:leader="none" w:pos="181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Holders to calculate their respective percentage equity ownership in the Company, and certified by the controller of the Company as being true, complete, and correct;</w:t>
      </w:r>
    </w:p>
    <w:p>
      <w:pPr>
        <w:spacing w:after="0" w:line="164" w:lineRule="exact"/>
        <w:rPr>
          <w:rFonts w:ascii="Arial" w:cs="Arial" w:eastAsia="Arial" w:hAnsi="Arial"/>
          <w:sz w:val="16"/>
          <w:szCs w:val="16"/>
          <w:color w:val="auto"/>
        </w:rPr>
      </w:pPr>
    </w:p>
    <w:p>
      <w:pPr>
        <w:ind w:left="4" w:right="140" w:firstLine="1428"/>
        <w:spacing w:after="0" w:line="259" w:lineRule="auto"/>
        <w:tabs>
          <w:tab w:leader="none" w:pos="182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86" w:lineRule="exact"/>
        <w:rPr>
          <w:rFonts w:ascii="Arial" w:cs="Arial" w:eastAsia="Arial" w:hAnsi="Arial"/>
          <w:sz w:val="18"/>
          <w:szCs w:val="18"/>
          <w:color w:val="auto"/>
        </w:rPr>
      </w:pPr>
    </w:p>
    <w:p>
      <w:pPr>
        <w:ind w:left="4" w:right="180" w:firstLine="1428"/>
        <w:spacing w:after="0" w:line="257" w:lineRule="auto"/>
        <w:tabs>
          <w:tab w:leader="none" w:pos="181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303" w:name="page304"/>
    <w:bookmarkEnd w:id="303"/>
    <w:p>
      <w:pPr>
        <w:ind w:right="2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5" w:lineRule="exact"/>
        <w:rPr>
          <w:sz w:val="20"/>
          <w:szCs w:val="20"/>
          <w:color w:val="auto"/>
        </w:rPr>
      </w:pPr>
    </w:p>
    <w:p>
      <w:pPr>
        <w:ind w:right="140" w:firstLine="991"/>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Termination of Information Rights</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the covenants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terminate upon a Deemed Liquidation Event, if the consideration received by the Investors in such Deemed Liquidation Event is not solely in the form of cash and/or publicly traded securities, the Company will use commercially reasonable efforts to ensure that the Major Investors receive financial information from the acquiring company or other successor to the Company comparable to those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17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(iii) to any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4" w:name="page305"/>
    <w:bookmarkEnd w:id="304"/>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confidentiality of such information; or (iv) as may otherwise be required by law, regulation, rule, court order or subpoena,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w:t>
      </w:r>
    </w:p>
    <w:p>
      <w:pPr>
        <w:spacing w:after="0" w:line="254" w:lineRule="exact"/>
        <w:rPr>
          <w:sz w:val="20"/>
          <w:szCs w:val="20"/>
          <w:color w:val="auto"/>
        </w:rPr>
      </w:pPr>
    </w:p>
    <w:p>
      <w:pPr>
        <w:ind w:left="760" w:hanging="324"/>
        <w:spacing w:after="0"/>
        <w:tabs>
          <w:tab w:leader="none" w:pos="7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(x) is not a Competitor or FOIA Party, unless such party’s purchase of New Securities is otherwise consented to by the Board of Directors, and (y) 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FOIA Party shall not be entitled to any rights as a Major Investor under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hereof).</w:t>
      </w:r>
    </w:p>
    <w:p>
      <w:pPr>
        <w:spacing w:after="0" w:line="177" w:lineRule="exact"/>
        <w:rPr>
          <w:sz w:val="20"/>
          <w:szCs w:val="20"/>
          <w:color w:val="auto"/>
        </w:rPr>
      </w:pPr>
    </w:p>
    <w:p>
      <w:pPr>
        <w:ind w:firstLine="1428"/>
        <w:spacing w:after="0" w:line="266" w:lineRule="auto"/>
        <w:tabs>
          <w:tab w:leader="none" w:pos="18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1428"/>
        <w:spacing w:after="0" w:line="268" w:lineRule="auto"/>
        <w:tabs>
          <w:tab w:leader="none" w:pos="182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within the later of ninety (90) days of the date that the Offer Notice is given and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05" w:name="page306"/>
    <w:bookmarkEnd w:id="305"/>
    <w:p>
      <w:pPr>
        <w:ind w:right="220" w:firstLine="1428"/>
        <w:spacing w:after="0" w:line="293" w:lineRule="auto"/>
        <w:tabs>
          <w:tab w:leader="none" w:pos="1812"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all New Securities referred to in the Offer Notice are not elected to be purchased or acquired as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right="380" w:firstLine="1428"/>
        <w:spacing w:after="0" w:line="263" w:lineRule="auto"/>
        <w:tabs>
          <w:tab w:leader="none" w:pos="18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Certificate of Incorporation); (ii) shares of Common Stock issued in the IPO; and (iii) the issuance of shares of Series B Preferred Stock to Purchasers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the Purchase Agreement.</w:t>
      </w:r>
    </w:p>
    <w:p>
      <w:pPr>
        <w:spacing w:after="0" w:line="183" w:lineRule="exact"/>
        <w:rPr>
          <w:rFonts w:ascii="Arial" w:cs="Arial" w:eastAsia="Arial" w:hAnsi="Arial"/>
          <w:sz w:val="18"/>
          <w:szCs w:val="18"/>
          <w:color w:val="auto"/>
        </w:rPr>
      </w:pPr>
    </w:p>
    <w:p>
      <w:pPr>
        <w:ind w:firstLine="1428"/>
        <w:spacing w:after="0" w:line="255" w:lineRule="auto"/>
        <w:tabs>
          <w:tab w:leader="none" w:pos="18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before giving effect to the issuance of such New Securities. The closing of such sale shall occur within sixty (60) days of the date notice is given to the Major Investors.</w:t>
      </w:r>
    </w:p>
    <w:p>
      <w:pPr>
        <w:spacing w:after="0" w:line="192"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terminate and be of no further force or effect (i) immediately before the consummation of the IPO, or (ii) upon the closing of a Deemed Liquidation Event, as such term is defined in the Certificate of Incorporation, whichever event occurs first.</w:t>
      </w:r>
    </w:p>
    <w:p>
      <w:pPr>
        <w:spacing w:after="0" w:line="292" w:lineRule="exact"/>
        <w:rPr>
          <w:sz w:val="20"/>
          <w:szCs w:val="20"/>
          <w:color w:val="auto"/>
        </w:rPr>
      </w:pPr>
    </w:p>
    <w:p>
      <w:pPr>
        <w:ind w:left="760" w:hanging="324"/>
        <w:spacing w:after="0"/>
        <w:tabs>
          <w:tab w:leader="none" w:pos="7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commercially reasonable efforts to maintain, from financially sound and reputable insurers Directors and Officers liability insurance and term “key-person” insurance on R.A. Session II,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 Each Key Holder (other than the Regents) hereby covenants and agrees that, to the extent such Key Holder is named under such key-person policy, such Key Holder will execute and deliver to the Company, as reasonably requested, a written notice and consent form with respect to such policy.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06" w:name="page307"/>
    <w:bookmarkEnd w:id="30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5.2 </w:t>
      </w:r>
      <w:r>
        <w:rPr>
          <w:rFonts w:ascii="Arial" w:cs="Arial" w:eastAsia="Arial" w:hAnsi="Arial"/>
          <w:sz w:val="17"/>
          <w:szCs w:val="17"/>
          <w:u w:val="single" w:color="auto"/>
          <w:color w:val="auto"/>
        </w:rPr>
        <w:t>Employee Agreements</w:t>
      </w:r>
      <w:r>
        <w:rPr>
          <w:rFonts w:ascii="Arial" w:cs="Arial" w:eastAsia="Arial" w:hAnsi="Arial"/>
          <w:sz w:val="17"/>
          <w:szCs w:val="17"/>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noncompetition and nonsolicitation agreement, substantially in the form approved by the Board of Directors with a term not to exceed one year. In addition, the Company shall not amend, modify, terminate, waive, or otherwise alter, in whole or in part, any of the above-referenced agreements or any restricted stock agreement between the Company and any employee, without the consent of at least one of the Series A Directors.</w:t>
      </w:r>
    </w:p>
    <w:p>
      <w:pPr>
        <w:spacing w:after="0" w:line="178" w:lineRule="exact"/>
        <w:rPr>
          <w:sz w:val="20"/>
          <w:szCs w:val="20"/>
          <w:color w:val="auto"/>
        </w:rPr>
      </w:pPr>
    </w:p>
    <w:p>
      <w:pPr>
        <w:ind w:right="100" w:firstLine="991"/>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of Directors, including a Series A Director,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Without the prior approval by the Board of Directors, including a Series A Director,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 In addition, unless otherwise approved by the Board of Directors, including a Series A Director, the Company shall retain (and not waive) a “right of first refusal” on employee transfers until the Company’s IPO and shall have the right to repurchase unvested shares at cost upon termination of employment of a holder of restricted stock.</w:t>
      </w:r>
    </w:p>
    <w:p>
      <w:pPr>
        <w:spacing w:after="0" w:line="16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the holders of Series A Preferred Stock are entitled to elect any Series A Directors, the Company hereby covenants and agrees with each of the Investors that it shall not, without approval of the Board of Directors, which approval must include the affirmative vote of at least one (1) of the Series A Directors:</w:t>
      </w:r>
    </w:p>
    <w:p>
      <w:pPr>
        <w:spacing w:after="0" w:line="184" w:lineRule="exact"/>
        <w:rPr>
          <w:sz w:val="20"/>
          <w:szCs w:val="20"/>
          <w:color w:val="auto"/>
        </w:rPr>
      </w:pPr>
    </w:p>
    <w:p>
      <w:pPr>
        <w:ind w:right="40" w:firstLine="1428"/>
        <w:spacing w:after="0" w:line="277" w:lineRule="auto"/>
        <w:tabs>
          <w:tab w:leader="none" w:pos="18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ind w:right="340" w:firstLine="1428"/>
        <w:spacing w:after="0" w:line="263" w:lineRule="auto"/>
        <w:tabs>
          <w:tab w:leader="none" w:pos="182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3" w:lineRule="exact"/>
        <w:rPr>
          <w:rFonts w:ascii="Arial" w:cs="Arial" w:eastAsia="Arial" w:hAnsi="Arial"/>
          <w:sz w:val="18"/>
          <w:szCs w:val="18"/>
          <w:color w:val="auto"/>
        </w:rPr>
      </w:pPr>
    </w:p>
    <w:p>
      <w:pPr>
        <w:ind w:right="120" w:firstLine="1428"/>
        <w:spacing w:after="0" w:line="277" w:lineRule="auto"/>
        <w:tabs>
          <w:tab w:leader="none" w:pos="18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07" w:name="page308"/>
    <w:bookmarkEnd w:id="307"/>
    <w:p>
      <w:pPr>
        <w:ind w:right="460" w:firstLine="1428"/>
        <w:spacing w:after="0" w:line="277" w:lineRule="auto"/>
        <w:tabs>
          <w:tab w:leader="none" w:pos="1812"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incur any aggregate indebtedness in excess of $100,000 that is not already included in a budget approved by the Board of Directors, other than trade credit incurred in the ordinary course of business;</w:t>
      </w:r>
    </w:p>
    <w:p>
      <w:pPr>
        <w:spacing w:after="0" w:line="170" w:lineRule="exact"/>
        <w:rPr>
          <w:rFonts w:ascii="Arial" w:cs="Arial" w:eastAsia="Arial" w:hAnsi="Arial"/>
          <w:sz w:val="18"/>
          <w:szCs w:val="18"/>
          <w:color w:val="auto"/>
        </w:rPr>
      </w:pPr>
    </w:p>
    <w:p>
      <w:pPr>
        <w:ind w:right="100" w:firstLine="1428"/>
        <w:spacing w:after="0" w:line="255" w:lineRule="auto"/>
        <w:tabs>
          <w:tab w:leader="none" w:pos="179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Certificate of Incorporation, except for (i) transactions contemplated by this Agreement and the Purchase Agreement or (ii) transactions made in the ordinary course of business and pursuant to reasonable requirements of the Company’s business and upon fair and reasonable terms that are approved by a majority of the Board of Directors;</w:t>
      </w:r>
    </w:p>
    <w:p>
      <w:pPr>
        <w:spacing w:after="0" w:line="192" w:lineRule="exact"/>
        <w:rPr>
          <w:rFonts w:ascii="Arial" w:cs="Arial" w:eastAsia="Arial" w:hAnsi="Arial"/>
          <w:sz w:val="18"/>
          <w:szCs w:val="18"/>
          <w:color w:val="auto"/>
        </w:rPr>
      </w:pPr>
    </w:p>
    <w:p>
      <w:pPr>
        <w:ind w:left="1820" w:hanging="392"/>
        <w:spacing w:after="0"/>
        <w:tabs>
          <w:tab w:leader="none" w:pos="18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hire, terminate, or change the compensation of the executive officers, including approving any option grants or stock awards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officers;</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 or</w:t>
      </w:r>
    </w:p>
    <w:p>
      <w:pPr>
        <w:spacing w:after="0" w:line="210" w:lineRule="exact"/>
        <w:rPr>
          <w:rFonts w:ascii="Arial" w:cs="Arial" w:eastAsia="Arial" w:hAnsi="Arial"/>
          <w:sz w:val="16"/>
          <w:szCs w:val="16"/>
          <w:color w:val="auto"/>
        </w:rPr>
      </w:pPr>
    </w:p>
    <w:p>
      <w:pPr>
        <w:ind w:right="360" w:firstLine="1428"/>
        <w:spacing w:after="0" w:line="277" w:lineRule="auto"/>
        <w:tabs>
          <w:tab w:leader="none" w:pos="178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$100,000.</w:t>
      </w:r>
    </w:p>
    <w:p>
      <w:pPr>
        <w:spacing w:after="0" w:line="170"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 Each Series A Director shall be entitled in such person’s discretion to be a member of any committee of the Board of Directors.</w:t>
      </w:r>
    </w:p>
    <w:p>
      <w:pPr>
        <w:spacing w:after="0" w:line="171"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one (1) or more of the directors nominated to serve on the Board of Directors by the Investors (each an “</w:t>
      </w:r>
      <w:r>
        <w:rPr>
          <w:rFonts w:ascii="Arial" w:cs="Arial" w:eastAsia="Arial" w:hAnsi="Arial"/>
          <w:sz w:val="17"/>
          <w:szCs w:val="17"/>
          <w:b w:val="1"/>
          <w:bCs w:val="1"/>
          <w:color w:val="auto"/>
        </w:rPr>
        <w:t>Investor Director</w:t>
      </w:r>
      <w:r>
        <w:rPr>
          <w:rFonts w:ascii="Arial" w:cs="Arial" w:eastAsia="Arial" w:hAnsi="Arial"/>
          <w:sz w:val="17"/>
          <w:szCs w:val="17"/>
          <w:color w:val="auto"/>
        </w:rPr>
        <w:t>”)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Investor Indemnitors</w:t>
      </w:r>
      <w:r>
        <w:rPr>
          <w:rFonts w:ascii="Arial" w:cs="Arial" w:eastAsia="Arial" w:hAnsi="Arial"/>
          <w:sz w:val="17"/>
          <w:szCs w:val="17"/>
          <w:color w:val="auto"/>
        </w:rPr>
        <w:t>”). The Company hereby agrees (a)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Investor Director are primary and any obligation of the Investor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8" w:name="page309"/>
    <w:bookmarkEnd w:id="308"/>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shall have the right, power and authority to enforce the provisions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as though they were a party to this Agreement.</w:t>
      </w:r>
    </w:p>
    <w:p>
      <w:pPr>
        <w:spacing w:after="0" w:line="172"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PBM TGT Holdings, LLC (together with its Affiliates) and each Fidelity Investor (together with its Affiliates) (collectively, the “</w:t>
      </w:r>
      <w:r>
        <w:rPr>
          <w:rFonts w:ascii="Arial" w:cs="Arial" w:eastAsia="Arial" w:hAnsi="Arial"/>
          <w:sz w:val="16"/>
          <w:szCs w:val="16"/>
          <w:b w:val="1"/>
          <w:bCs w:val="1"/>
          <w:color w:val="auto"/>
        </w:rPr>
        <w:t>Fund Investors</w:t>
      </w:r>
      <w:r>
        <w:rPr>
          <w:rFonts w:ascii="Arial" w:cs="Arial" w:eastAsia="Arial" w:hAnsi="Arial"/>
          <w:sz w:val="16"/>
          <w:szCs w:val="16"/>
          <w:color w:val="auto"/>
        </w:rPr>
        <w:t>”)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the Fund Investors shall not be liable to the Company for any claim arising out of, or based upon, (i) the investment by any Fund Investor in any entity competitive with the Company, or (ii) actions taken by any partner, officer, employee or other representative of a Fund Investor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w:t>
      </w:r>
    </w:p>
    <w:p>
      <w:pPr>
        <w:spacing w:after="0" w:line="6" w:lineRule="exact"/>
        <w:rPr>
          <w:sz w:val="20"/>
          <w:szCs w:val="20"/>
          <w:color w:val="auto"/>
        </w:rPr>
      </w:pPr>
    </w:p>
    <w:p>
      <w:pPr>
        <w:ind w:left="4" w:right="40" w:hanging="4"/>
        <w:spacing w:after="0" w:line="253" w:lineRule="auto"/>
        <w:tabs>
          <w:tab w:leader="none" w:pos="25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director or officer of the Company from any liability associated with his or her fiduciary duties to the Company. The Company acknowledges that the execution of this Agreement and the access to the Company’s confidential information shall in no way be construed to prohibit or restrict the Fund Investors, their investment advisers or their investment advisers’ other investment advisory clients from maintaining, making or considering investments in such other enterprises, or from otherwise operating in the ordinary course of business, provided that such Fund Investor does not disclose the Company’s confidential information in pursuit of such activities.</w:t>
      </w:r>
    </w:p>
    <w:p>
      <w:pPr>
        <w:spacing w:after="0" w:line="191" w:lineRule="exact"/>
        <w:rPr>
          <w:sz w:val="20"/>
          <w:szCs w:val="20"/>
          <w:color w:val="auto"/>
        </w:rPr>
      </w:pPr>
    </w:p>
    <w:p>
      <w:pPr>
        <w:jc w:val="both"/>
        <w:ind w:left="4" w:right="160" w:firstLine="991"/>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5.8</w:t>
      </w:r>
      <w:r>
        <w:rPr>
          <w:rFonts w:ascii="Arial" w:cs="Arial" w:eastAsia="Arial" w:hAnsi="Arial"/>
          <w:sz w:val="18"/>
          <w:szCs w:val="18"/>
          <w:color w:val="auto"/>
        </w:rPr>
        <w:t>, shall terminate and be of no further force or effect (i) immediately before the consummation of the IPO or (ii) upon a Deemed Liquidation Event, as such term is defined in the Certificate of Incorporation, whichever event occurs first.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09" w:name="page310"/>
    <w:bookmarkEnd w:id="309"/>
    <w:p>
      <w:pPr>
        <w:ind w:left="760" w:hanging="324"/>
        <w:spacing w:after="0"/>
        <w:tabs>
          <w:tab w:leader="none" w:pos="7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would hold, after giving effect to any transfer of shares of Registrable Securities thereto by such Holder, all of the Registrable Securities held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2"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 without regard to conflict of law principles that would result in the application of any law other than the law of the State of Delaware, provided, however, that Texas substantive law (without regard to any choice of law doctrines) shall govern in all events the Regents’ rights of sovereign immunity, any limitations on the extent of any indemnity provisions that purport to apply to the Regents, their governmental authority, and the treatment of information in the Regents’ possession under the Texas Public Information Act.</w:t>
      </w:r>
    </w:p>
    <w:p>
      <w:pPr>
        <w:spacing w:after="0" w:line="188"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7"/>
          <w:szCs w:val="17"/>
          <w:b w:val="1"/>
          <w:bCs w:val="1"/>
          <w:color w:val="auto"/>
        </w:rPr>
        <w:t>.</w:t>
      </w:r>
    </w:p>
    <w:p>
      <w:pPr>
        <w:spacing w:after="0" w:line="17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560" w:firstLine="1428"/>
        <w:spacing w:after="0" w:line="277" w:lineRule="auto"/>
        <w:tabs>
          <w:tab w:leader="none" w:pos="180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notices and other communications given or made pursuant to this Agreement shall be in writing and shall be deemed effectively given upon the earlier of actual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10" w:name="page311"/>
    <w:bookmarkEnd w:id="310"/>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If notice is given to the Company, a copy shall also be sent to Cooley LLP, 1299 Pennsylvania Ave, NW, Suite 700, Washington, DC 20004, Attention: Brooke Nussbaum.</w:t>
      </w:r>
    </w:p>
    <w:p>
      <w:pPr>
        <w:spacing w:after="0" w:line="178" w:lineRule="exact"/>
        <w:rPr>
          <w:sz w:val="20"/>
          <w:szCs w:val="20"/>
          <w:color w:val="auto"/>
        </w:rPr>
      </w:pPr>
    </w:p>
    <w:p>
      <w:pPr>
        <w:ind w:firstLine="1428"/>
        <w:spacing w:after="0" w:line="271" w:lineRule="auto"/>
        <w:tabs>
          <w:tab w:leader="none" w:pos="1822"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Consent to Electronic Notice</w:t>
      </w:r>
      <w:r>
        <w:rPr>
          <w:rFonts w:ascii="Arial" w:cs="Arial" w:eastAsia="Arial" w:hAnsi="Arial"/>
          <w:sz w:val="17"/>
          <w:szCs w:val="17"/>
          <w:color w:val="auto"/>
        </w:rPr>
        <w:t>. Each Investor and Key Holder consents to the delivery of any stockholder notice pursuant to the Delaware General Corporation Law (the “DGCL”), as amended or superseded from time to time, by electronic transmission pursuant to Section 232 of the DGCL (or any successor thereto) at the electronic mail address or the facsimile number set forth below such Investor’s or Key Holder’s name on the Schedules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and Key Holder agrees to promptly notify the Company of any change in such stockholder’s electronic mail address, and that failure to do so shall not affect the foregoing.</w:t>
      </w:r>
    </w:p>
    <w:p>
      <w:pPr>
        <w:spacing w:after="0" w:line="178"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that where following such a waiver any Major Investor, by agreement with the Company, purchases securities in such transaction, such waiver shall not be effective as to any other Major Investor who did not waive such provision unless such Major Investor is also permitted to participate in such offering on a pro rata basis (based on the level of participation of the Major Investor purchasing the largest portion of such Major Investor’s pro rata share), in accordance with the other provisions set forth in Section 4, but in no event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11" w:name="page312"/>
    <w:bookmarkEnd w:id="31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excess of the number of New Securities that such Major Investor would have been entitled to purchase in the absence of such waiver), (b)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any other section of this Agreement applicable to the Major Investors (including this clause (b) of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may not be amended, modified, terminated or waived without the written consent of the holders of at least a majority of the Registrable Securities then outstanding and held by the Major Investors, (c) the provisions in this Agreement that relate to the acknowledgements, rights and privileges unique to the Regents shall not be amended without the prior written consent of the Regents, (d) </w:t>
      </w:r>
      <w:r>
        <w:rPr>
          <w:rFonts w:ascii="Arial" w:cs="Arial" w:eastAsia="Arial" w:hAnsi="Arial"/>
          <w:sz w:val="16"/>
          <w:szCs w:val="16"/>
          <w:u w:val="single" w:color="auto"/>
          <w:color w:val="auto"/>
        </w:rPr>
        <w:t>Sections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and any provision in this Agreement that relates to the acknowledgements, rights and privileges unique to the Fidelity Investors, shall not be amended in a manner adverse to the Fidelity Investors without the prior written consent of the Fidelity Investors holding a majority of the Registerable Securities held by all Fidelity Investors and (e) </w:t>
      </w:r>
      <w:r>
        <w:rPr>
          <w:rFonts w:ascii="Arial" w:cs="Arial" w:eastAsia="Arial" w:hAnsi="Arial"/>
          <w:sz w:val="16"/>
          <w:szCs w:val="16"/>
          <w:u w:val="single" w:color="auto"/>
          <w:color w:val="auto"/>
        </w:rPr>
        <w:t>Sections 2.11</w:t>
      </w:r>
      <w:r>
        <w:rPr>
          <w:rFonts w:ascii="Arial" w:cs="Arial" w:eastAsia="Arial" w:hAnsi="Arial"/>
          <w:sz w:val="16"/>
          <w:szCs w:val="16"/>
          <w:color w:val="auto"/>
        </w:rPr>
        <w:t>,</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and any provision in this Agreement that relates to the acknowledgements, rights and privileges unique to PBM, shall not be amended in a manner adverse to PBM without the prior written consent of PBM. Further, this Agreement may not be amended, modified or terminated, and no provision hereof may be waived, in each case, in any way which would adversely affect the rights of the Key Holders hereunder in a manner disproportionate to any adverse effect such amendment, modification, termination or waiver would have on the rights of the Investors hereunder, without also the written consent of the holders of at least a majority of the Registrable Securities held by the Key Holders. Notwithstanding the foregoing,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 Company shall give prompt notice of any amendment, modification or termination hereof or waiver hereunder to any party hereto that did not consent in writing to such amendment, modification, termination, or waiver. Any amendment, modification, termination, or waiver effected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69"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Series B Preferred Stock after the date hereof, whether pursuant to the Purchase Agreement or otherwise, any purchaser of such shares of Series B Preferred Stock may become a party to this Agreement by executing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312" w:name="page313"/>
    <w:bookmarkEnd w:id="31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in its entirety by this Agreement and shall be of no further force or effect.</w:t>
      </w:r>
    </w:p>
    <w:p>
      <w:pPr>
        <w:spacing w:after="0" w:line="187"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 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to the extent permitted by law,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WAIVER OF JURY TRIAL: EACH PARTY (OTHER THAN THE REGENTS)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prevailing party shall be entitled to reasonable attorney’s fees, costs, and necessary disbursements in addition to any other relief to which such party may be entitled; provided, however, that to the extent the non-prevailing party is the Regents, the prevailing party may make no recovery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from the Regents; and provided further, that the Regents may make no recovery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 Each of the parties to this Agreement (other than the Regents) consents to personal jurisdiction for any equitable action sought in the U.S. District Court for the District of Delaware or any court of the State of Delaware having subject matter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3" w:name="page314"/>
    <w:bookmarkEnd w:id="313"/>
    <w:p>
      <w:pPr>
        <w:ind w:right="26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Acknowledgment</w:t>
      </w:r>
      <w:r>
        <w:rPr>
          <w:rFonts w:ascii="Arial" w:cs="Arial" w:eastAsia="Arial" w:hAnsi="Arial"/>
          <w:sz w:val="18"/>
          <w:szCs w:val="18"/>
          <w:color w:val="auto"/>
        </w:rPr>
        <w:t>. The Company, the Key Holders and the Investors each acknowledge that the Regents are an agency of the State of Texas and under the constitution and the laws of the State of Texas possess certain rights and privileges, are subject to certain limitations and restrictions, and only have such authority as is granted to them under the constitution and laws of the State of Texas. Notwithstanding any provision hereof, nothing in this Agreement is intended to be, nor will it be construed to be, a waiver of the sovereign immunity of the State of Texas or a prospective waiver or restriction of any of the rights, remedies, claims, and privileges of the State of Texas. Moreover, notwithstanding the generality or specificity of any provision hereof, the provisions of this Agreement as they pertain to the Regents are enforceable only to the extent authorized by the constitution and laws of the State of Texas; accordingly, to the extent any provision hereof conflicts with the constitution or laws of the State of Texas or exceeds the right, power or authority of the Regents to agree to such provision, then that provision will not be enforceable against the Regents or the State of Texas.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TAYSHA GENE THERAPIES,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 Session 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 Session 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 Session II</w:t>
            </w: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R.A. Session II</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Janiak</w:t>
            </w: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Dan Janiak</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PBM TGT Holdings,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By: PBM Capital Group, LLC, its manager</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B.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Paul B. Manning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CEO</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Nolan Capital, LLC</w:t>
      </w:r>
    </w:p>
    <w:p>
      <w:pPr>
        <w:spacing w:after="0" w:line="229"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Sean Nolan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Fidelity Mt. Vernon Street Trust: Fidelity Series Growth</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Mt. Vernon Street Trust: Fidelity Growth</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Growth Company Commingled Pool</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By: Fidelity Management Trust Company, as Trustee</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4" w:right="51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Fidelity Mt. Vernon Street Trust: Fidelity Growth</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 K6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Fidelity Select Portfolios: Biotechnology Portfolio</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Fidelity Advisor Series VII: Fidelity Advisor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Biotechnology Fund</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80"/>
          </w:cols>
          <w:pgMar w:left="880" w:top="274" w:right="10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Sands Capital Life Sciences Pulse Fund, LLC</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Goodman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660"/>
          </w:cols>
          <w:pgMar w:left="880" w:top="274" w:right="135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Octagon Investments Master Fund 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By: Octagon Capital Advisors LP, its Investment</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Ting Jia</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900"/>
          </w:cols>
          <w:pgMar w:left="880" w:top="274" w:right="111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VENROCK HEALTHCARE CAPITAL PARTNERS III,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L.P.</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VHCP Management III, LLC, its general partner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VR Advisor, LLC, its 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Nimish Shah</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VHCP CO-INVESTMENT HOLDINGS III,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VHCP Management III, LLC, its manager</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By: VR Advisor, LLC, its manager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Nimish Shah</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40"/>
          </w:cols>
          <w:pgMar w:left="880" w:top="274" w:right="47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GC&amp;H Investments, LLC</w:t>
      </w:r>
    </w:p>
    <w:p>
      <w:pPr>
        <w:spacing w:after="0" w:line="24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Kindler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Jim Kindler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Perceptive Life Sciences Master Fund LTD</w:t>
      </w:r>
    </w:p>
    <w:p>
      <w:pPr>
        <w:spacing w:after="0" w:line="25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H. Mannix</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Operating Officer</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GV 2019 GP, L.P., its General Partner</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GV 2019 GP, L.L.C., its General Partner</w:t>
      </w:r>
    </w:p>
    <w:p>
      <w:pPr>
        <w:spacing w:after="0" w:line="23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Daphne M.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Daphne M. Chang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579"/>
          </w:cols>
          <w:pgMar w:left="880" w:top="274" w:right="1440"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Jennings</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Doug Jennings</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Walker</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Ryan Walker</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Suku Nagendran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Sukumar Nagendran</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Suyash Prasad</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Suyash Prasad</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Murdza</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Lauren Murdza</w:t>
            </w:r>
          </w:p>
        </w:tc>
      </w:tr>
    </w:tbl>
    <w:p>
      <w:pPr>
        <w:spacing w:after="0" w:line="12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4" w:right="439" w:bottom="1440" w:gutter="0" w:footer="0" w:header="0"/>
        </w:sectPr>
      </w:pPr>
    </w:p>
    <w:bookmarkStart w:id="331" w:name="page332"/>
    <w:bookmarkEnd w:id="331"/>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INVESTORS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PBM TGT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Nolan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Series Growth Company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Growth Company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Growth Company Commingled Pool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 Fidelity Growth Company K6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Series VII: Fidelity Advisor Biotechnology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Sands Capital Life Sciences Pulse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Octagon Investments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GV 2019,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 Jennings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Ryan Walker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Sukumar Nagendran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Suyash Prasad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Lauren Murdza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Healthcare Investments, LLC</w:t>
      </w:r>
    </w:p>
    <w:p>
      <w:pPr>
        <w:sectPr>
          <w:pgSz w:w="11900" w:h="16838" w:orient="portrait"/>
          <w:cols w:equalWidth="0" w:num="1">
            <w:col w:w="10019"/>
          </w:cols>
          <w:pgMar w:left="440" w:top="270" w:right="1440"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Bios Fund II 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Fund II QP,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Fund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Fund III 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Fund III QP,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Invus Public Equities,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Casdin Partners Master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PBM Capital Group, LLC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Franklin Strategic Series – Franklin Biotechnology Discovery Fund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Franklin Templeton Investment Funds – Franklin Biotechnology Discover Fund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ArrowMark Life Science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Meridian Small Cap Growth Fund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BlackRock Health Sciences Opportunities Portfolio, a Series of BlackRock Funds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BlackRock Global Funds – World Healthscience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MASTER UNIT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TRUST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MASTER UNIT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TRUST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Lamb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Emily 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Ralph Shifflett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Moerman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 Williams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Russell Polsky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Blaze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Candace Taylor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Christa Cosner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Gregory MacDonald</w:t>
      </w:r>
    </w:p>
    <w:p>
      <w:pPr>
        <w:sectPr>
          <w:pgSz w:w="11900" w:h="16838" w:orient="portrait"/>
          <w:cols w:equalWidth="0" w:num="1">
            <w:col w:w="10019"/>
          </w:cols>
          <w:pgMar w:left="440" w:top="490" w:right="1440"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David Zawitz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Glover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Halloran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Debra Walker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Diana Smalls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Elizabeth Kodi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Massengill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DeGraff</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Joseph Pedersen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Melissa Woodruff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Patrick Nolan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Shannon Chen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Stephanie Culley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Sung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Casey Steffan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Christopher Henry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Jodi Mills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Joseph Wrege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Batman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Juan Rodriguez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Miller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Powell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Cynthia Moravec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Jeffrey Kopocis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Joan Oehmke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Kristen Heckel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Luisa Assink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Phillip Edwards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Roger Varner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Ronald Buchanan</w:t>
      </w:r>
    </w:p>
    <w:p>
      <w:pPr>
        <w:sectPr>
          <w:pgSz w:w="11900" w:h="16838" w:orient="portrait"/>
          <w:cols w:equalWidth="0" w:num="1">
            <w:col w:w="10019"/>
          </w:cols>
          <w:pgMar w:left="440" w:top="490" w:right="1440"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Teresa Hastings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Travis Coyner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Wendie Charles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Reines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Thaddeus J. Spinks, VMD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Reynolds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 Novak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Carr Family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Brendan Clancy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Taylor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Jonathan Leach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Selinger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Chuck Koeniger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Gilliam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Ray Caterino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Benj Garrett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Linda Ricca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Hall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Sean Stalfort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Jay Stalfort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P. Williamson,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Goldman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A Stalfort III 2018 Irrevocable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Jayson Rieger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Dry Pond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Don and Jenna Mosman Revocable Living Trust, dated September 21,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Joseph Pedersen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Melissa Woodruff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Massengill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Christa Cosner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Glover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BKB Growth Investments, LLC</w:t>
      </w:r>
    </w:p>
    <w:p>
      <w:pPr>
        <w:sectPr>
          <w:pgSz w:w="11900" w:h="16838" w:orient="portrait"/>
          <w:cols w:equalWidth="0" w:num="1">
            <w:col w:w="10019"/>
          </w:cols>
          <w:pgMar w:left="440" w:top="490" w:right="1440" w:bottom="1440" w:gutter="0" w:footer="0" w:header="0"/>
        </w:sectPr>
      </w:pPr>
    </w:p>
    <w:bookmarkStart w:id="335" w:name="page336"/>
    <w:bookmarkEnd w:id="335"/>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25"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KEY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 Session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Regents of the University of Texas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 Janiak</w:t>
      </w:r>
    </w:p>
    <w:p>
      <w:pPr>
        <w:sectPr>
          <w:pgSz w:w="11900" w:h="16838" w:orient="portrait"/>
          <w:cols w:equalWidth="0" w:num="1">
            <w:col w:w="10019"/>
          </w:cols>
          <w:pgMar w:left="440" w:top="270" w:right="1440" w:bottom="1440" w:gutter="0" w:footer="0" w:header="0"/>
        </w:sectPr>
      </w:pPr>
    </w:p>
    <w:bookmarkStart w:id="336" w:name="page337"/>
    <w:bookmarkEnd w:id="3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Anthony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Lamb</w:t>
      </w:r>
    </w:p>
    <w:p>
      <w:pPr>
        <w:sectPr>
          <w:pgSz w:w="11900" w:h="16838" w:orient="portrait"/>
          <w:cols w:equalWidth="0" w:num="1">
            <w:col w:w="10960"/>
          </w:cols>
          <w:pgMar w:left="440" w:top="270" w:right="499" w:bottom="1440" w:gutter="0" w:footer="0" w:header="0"/>
        </w:sectPr>
      </w:pPr>
    </w:p>
    <w:bookmarkStart w:id="337" w:name="page338"/>
    <w:bookmarkEnd w:id="33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Emily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Emily Ware</w:t>
      </w:r>
    </w:p>
    <w:p>
      <w:pPr>
        <w:sectPr>
          <w:pgSz w:w="11900" w:h="16838" w:orient="portrait"/>
          <w:cols w:equalWidth="0" w:num="1">
            <w:col w:w="10960"/>
          </w:cols>
          <w:pgMar w:left="440" w:top="270" w:right="499" w:bottom="1440" w:gutter="0" w:footer="0" w:header="0"/>
        </w:sectPr>
      </w:pPr>
    </w:p>
    <w:bookmarkStart w:id="338" w:name="page339"/>
    <w:bookmarkEnd w:id="3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Ralph Shifflett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Ralph Shifflett</w:t>
      </w:r>
    </w:p>
    <w:p>
      <w:pPr>
        <w:sectPr>
          <w:pgSz w:w="11900" w:h="16838" w:orient="portrait"/>
          <w:cols w:equalWidth="0" w:num="1">
            <w:col w:w="10960"/>
          </w:cols>
          <w:pgMar w:left="440" w:top="270" w:right="499" w:bottom="1440" w:gutter="0" w:footer="0" w:header="0"/>
        </w:sectPr>
      </w:pPr>
    </w:p>
    <w:bookmarkStart w:id="339" w:name="page340"/>
    <w:bookmarkEnd w:id="33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Joshua Moerman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Joshua Moerman</w:t>
      </w:r>
    </w:p>
    <w:p>
      <w:pPr>
        <w:sectPr>
          <w:pgSz w:w="11900" w:h="16838" w:orient="portrait"/>
          <w:cols w:equalWidth="0" w:num="1">
            <w:col w:w="10960"/>
          </w:cols>
          <w:pgMar w:left="440" w:top="270" w:right="499" w:bottom="1440" w:gutter="0" w:footer="0" w:header="0"/>
        </w:sectPr>
      </w:pPr>
    </w:p>
    <w:bookmarkStart w:id="340" w:name="page341"/>
    <w:bookmarkEnd w:id="3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Lee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Lee Williams</w:t>
      </w:r>
    </w:p>
    <w:p>
      <w:pPr>
        <w:sectPr>
          <w:pgSz w:w="11900" w:h="16838" w:orient="portrait"/>
          <w:cols w:equalWidth="0" w:num="1">
            <w:col w:w="10960"/>
          </w:cols>
          <w:pgMar w:left="440" w:top="270" w:right="499" w:bottom="1440" w:gutter="0" w:footer="0" w:header="0"/>
        </w:sectPr>
      </w:pPr>
    </w:p>
    <w:bookmarkStart w:id="341" w:name="page342"/>
    <w:bookmarkEnd w:id="34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Russell Polsky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Russell Polsky</w:t>
      </w:r>
    </w:p>
    <w:p>
      <w:pPr>
        <w:sectPr>
          <w:pgSz w:w="11900" w:h="16838" w:orient="portrait"/>
          <w:cols w:equalWidth="0" w:num="1">
            <w:col w:w="10960"/>
          </w:cols>
          <w:pgMar w:left="440" w:top="270" w:right="499" w:bottom="1440" w:gutter="0" w:footer="0" w:header="0"/>
        </w:sectPr>
      </w:pPr>
    </w:p>
    <w:bookmarkStart w:id="342" w:name="page343"/>
    <w:bookmarkEnd w:id="3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Blaze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Blaze</w:t>
      </w:r>
    </w:p>
    <w:p>
      <w:pPr>
        <w:sectPr>
          <w:pgSz w:w="11900" w:h="16838" w:orient="portrait"/>
          <w:cols w:equalWidth="0" w:num="1">
            <w:col w:w="10960"/>
          </w:cols>
          <w:pgMar w:left="440" w:top="270" w:right="499" w:bottom="1440" w:gutter="0" w:footer="0" w:header="0"/>
        </w:sectPr>
      </w:pPr>
    </w:p>
    <w:bookmarkStart w:id="343" w:name="page344"/>
    <w:bookmarkEnd w:id="3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Candace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Candace Taylor</w:t>
      </w:r>
    </w:p>
    <w:p>
      <w:pPr>
        <w:sectPr>
          <w:pgSz w:w="11900" w:h="16838" w:orient="portrait"/>
          <w:cols w:equalWidth="0" w:num="1">
            <w:col w:w="10960"/>
          </w:cols>
          <w:pgMar w:left="440" w:top="270" w:right="499" w:bottom="1440" w:gutter="0" w:footer="0" w:header="0"/>
        </w:sectPr>
      </w:pPr>
    </w:p>
    <w:bookmarkStart w:id="344" w:name="page345"/>
    <w:bookmarkEnd w:id="3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Christa Cosner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Christa Cosner</w:t>
      </w:r>
    </w:p>
    <w:p>
      <w:pPr>
        <w:sectPr>
          <w:pgSz w:w="11900" w:h="16838" w:orient="portrait"/>
          <w:cols w:equalWidth="0" w:num="1">
            <w:col w:w="10960"/>
          </w:cols>
          <w:pgMar w:left="440" w:top="270" w:right="499" w:bottom="1440" w:gutter="0" w:footer="0" w:header="0"/>
        </w:sectPr>
      </w:pPr>
    </w:p>
    <w:bookmarkStart w:id="345" w:name="page346"/>
    <w:bookmarkEnd w:id="3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Gregory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Gregory MacDonald</w:t>
      </w:r>
    </w:p>
    <w:p>
      <w:pPr>
        <w:sectPr>
          <w:pgSz w:w="11900" w:h="16838" w:orient="portrait"/>
          <w:cols w:equalWidth="0" w:num="1">
            <w:col w:w="10960"/>
          </w:cols>
          <w:pgMar w:left="440" w:top="270" w:right="499" w:bottom="1440" w:gutter="0" w:footer="0" w:header="0"/>
        </w:sectPr>
      </w:pPr>
    </w:p>
    <w:bookmarkStart w:id="346" w:name="page347"/>
    <w:bookmarkEnd w:id="3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Zawitz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Zawitz</w:t>
      </w:r>
    </w:p>
    <w:p>
      <w:pPr>
        <w:sectPr>
          <w:pgSz w:w="11900" w:h="16838" w:orient="portrait"/>
          <w:cols w:equalWidth="0" w:num="1">
            <w:col w:w="10960"/>
          </w:cols>
          <w:pgMar w:left="440" w:top="270" w:right="499" w:bottom="1440" w:gutter="0" w:footer="0" w:header="0"/>
        </w:sectPr>
      </w:pPr>
    </w:p>
    <w:bookmarkStart w:id="347" w:name="page348"/>
    <w:bookmarkEnd w:id="3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Glover</w:t>
      </w:r>
    </w:p>
    <w:p>
      <w:pPr>
        <w:sectPr>
          <w:pgSz w:w="11900" w:h="16838" w:orient="portrait"/>
          <w:cols w:equalWidth="0" w:num="1">
            <w:col w:w="10960"/>
          </w:cols>
          <w:pgMar w:left="440" w:top="270" w:right="499" w:bottom="1440" w:gutter="0" w:footer="0" w:header="0"/>
        </w:sectPr>
      </w:pPr>
    </w:p>
    <w:bookmarkStart w:id="348" w:name="page349"/>
    <w:bookmarkEnd w:id="3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Halloran</w:t>
      </w:r>
    </w:p>
    <w:p>
      <w:pPr>
        <w:sectPr>
          <w:pgSz w:w="11900" w:h="16838" w:orient="portrait"/>
          <w:cols w:equalWidth="0" w:num="1">
            <w:col w:w="10960"/>
          </w:cols>
          <w:pgMar w:left="440" w:top="270" w:right="499" w:bottom="1440" w:gutter="0" w:footer="0" w:header="0"/>
        </w:sectPr>
      </w:pPr>
    </w:p>
    <w:bookmarkStart w:id="349" w:name="page350"/>
    <w:bookmarkEnd w:id="3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Debra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Debra Walker</w:t>
      </w:r>
    </w:p>
    <w:p>
      <w:pPr>
        <w:sectPr>
          <w:pgSz w:w="11900" w:h="16838" w:orient="portrait"/>
          <w:cols w:equalWidth="0" w:num="1">
            <w:col w:w="10960"/>
          </w:cols>
          <w:pgMar w:left="440" w:top="270" w:right="499" w:bottom="1440" w:gutter="0" w:footer="0" w:header="0"/>
        </w:sectPr>
      </w:pPr>
    </w:p>
    <w:bookmarkStart w:id="350" w:name="page351"/>
    <w:bookmarkEnd w:id="3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Diana Smalls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Diana Smalls</w:t>
      </w:r>
    </w:p>
    <w:p>
      <w:pPr>
        <w:sectPr>
          <w:pgSz w:w="11900" w:h="16838" w:orient="portrait"/>
          <w:cols w:equalWidth="0" w:num="1">
            <w:col w:w="10960"/>
          </w:cols>
          <w:pgMar w:left="440" w:top="270" w:right="499" w:bottom="1440" w:gutter="0" w:footer="0" w:header="0"/>
        </w:sectPr>
      </w:pPr>
    </w:p>
    <w:bookmarkStart w:id="351" w:name="page352"/>
    <w:bookmarkEnd w:id="35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Elizabeth Kodi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Elizabeth Kodi</w:t>
      </w:r>
    </w:p>
    <w:p>
      <w:pPr>
        <w:sectPr>
          <w:pgSz w:w="11900" w:h="16838" w:orient="portrait"/>
          <w:cols w:equalWidth="0" w:num="1">
            <w:col w:w="10960"/>
          </w:cols>
          <w:pgMar w:left="440" w:top="270" w:right="499" w:bottom="1440" w:gutter="0" w:footer="0" w:header="0"/>
        </w:sectPr>
      </w:pPr>
    </w:p>
    <w:bookmarkStart w:id="352" w:name="page353"/>
    <w:bookmarkEnd w:id="3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Gary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Gary Massengill</w:t>
      </w:r>
    </w:p>
    <w:p>
      <w:pPr>
        <w:sectPr>
          <w:pgSz w:w="11900" w:h="16838" w:orient="portrait"/>
          <w:cols w:equalWidth="0" w:num="1">
            <w:col w:w="10960"/>
          </w:cols>
          <w:pgMar w:left="440" w:top="270" w:right="499" w:bottom="1440" w:gutter="0" w:footer="0" w:header="0"/>
        </w:sectPr>
      </w:pPr>
    </w:p>
    <w:bookmarkStart w:id="353" w:name="page354"/>
    <w:bookmarkEnd w:id="35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Jessica DeGraff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Jessica DeGraff</w:t>
      </w:r>
    </w:p>
    <w:p>
      <w:pPr>
        <w:sectPr>
          <w:pgSz w:w="11900" w:h="16838" w:orient="portrait"/>
          <w:cols w:equalWidth="0" w:num="1">
            <w:col w:w="10960"/>
          </w:cols>
          <w:pgMar w:left="440" w:top="270" w:right="499" w:bottom="1440" w:gutter="0" w:footer="0" w:header="0"/>
        </w:sectPr>
      </w:pPr>
    </w:p>
    <w:bookmarkStart w:id="354" w:name="page355"/>
    <w:bookmarkEnd w:id="3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Joseph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Joseph Pedersen</w:t>
      </w:r>
    </w:p>
    <w:p>
      <w:pPr>
        <w:sectPr>
          <w:pgSz w:w="11900" w:h="16838" w:orient="portrait"/>
          <w:cols w:equalWidth="0" w:num="1">
            <w:col w:w="10960"/>
          </w:cols>
          <w:pgMar w:left="440" w:top="270" w:right="499" w:bottom="1440" w:gutter="0" w:footer="0" w:header="0"/>
        </w:sectPr>
      </w:pPr>
    </w:p>
    <w:bookmarkStart w:id="355" w:name="page356"/>
    <w:bookmarkEnd w:id="3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Melissa Woodruff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Melissa Woodruff</w:t>
      </w:r>
    </w:p>
    <w:p>
      <w:pPr>
        <w:sectPr>
          <w:pgSz w:w="11900" w:h="16838" w:orient="portrait"/>
          <w:cols w:equalWidth="0" w:num="1">
            <w:col w:w="10960"/>
          </w:cols>
          <w:pgMar w:left="440" w:top="270" w:right="499" w:bottom="1440" w:gutter="0" w:footer="0" w:header="0"/>
        </w:sectPr>
      </w:pPr>
    </w:p>
    <w:bookmarkStart w:id="356" w:name="page357"/>
    <w:bookmarkEnd w:id="35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Patrick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Patrick Nolan</w:t>
      </w:r>
    </w:p>
    <w:p>
      <w:pPr>
        <w:sectPr>
          <w:pgSz w:w="11900" w:h="16838" w:orient="portrait"/>
          <w:cols w:equalWidth="0" w:num="1">
            <w:col w:w="10960"/>
          </w:cols>
          <w:pgMar w:left="440" w:top="270" w:right="499" w:bottom="1440" w:gutter="0" w:footer="0" w:header="0"/>
        </w:sectPr>
      </w:pPr>
    </w:p>
    <w:bookmarkStart w:id="357" w:name="page358"/>
    <w:bookmarkEnd w:id="3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Shannon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Shannon Chen</w:t>
      </w:r>
    </w:p>
    <w:p>
      <w:pPr>
        <w:sectPr>
          <w:pgSz w:w="11900" w:h="16838" w:orient="portrait"/>
          <w:cols w:equalWidth="0" w:num="1">
            <w:col w:w="10960"/>
          </w:cols>
          <w:pgMar w:left="440" w:top="270" w:right="499" w:bottom="1440" w:gutter="0" w:footer="0" w:header="0"/>
        </w:sectPr>
      </w:pPr>
    </w:p>
    <w:bookmarkStart w:id="358" w:name="page359"/>
    <w:bookmarkEnd w:id="35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Stephanie 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Stephanie Culley</w:t>
      </w:r>
    </w:p>
    <w:p>
      <w:pPr>
        <w:sectPr>
          <w:pgSz w:w="11900" w:h="16838" w:orient="portrait"/>
          <w:cols w:equalWidth="0" w:num="1">
            <w:col w:w="10960"/>
          </w:cols>
          <w:pgMar w:left="440" w:top="270" w:right="499" w:bottom="1440" w:gutter="0" w:footer="0" w:header="0"/>
        </w:sectPr>
      </w:pPr>
    </w:p>
    <w:bookmarkStart w:id="359" w:name="page360"/>
    <w:bookmarkEnd w:id="35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Sung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Sung You</w:t>
      </w:r>
    </w:p>
    <w:p>
      <w:pPr>
        <w:sectPr>
          <w:pgSz w:w="11900" w:h="16838" w:orient="portrait"/>
          <w:cols w:equalWidth="0" w:num="1">
            <w:col w:w="10960"/>
          </w:cols>
          <w:pgMar w:left="440" w:top="270" w:right="499" w:bottom="1440" w:gutter="0" w:footer="0" w:header="0"/>
        </w:sectPr>
      </w:pPr>
    </w:p>
    <w:bookmarkStart w:id="360" w:name="page361"/>
    <w:bookmarkEnd w:id="36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Casey Steffan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Casey Steffan</w:t>
      </w:r>
    </w:p>
    <w:p>
      <w:pPr>
        <w:sectPr>
          <w:pgSz w:w="11900" w:h="16838" w:orient="portrait"/>
          <w:cols w:equalWidth="0" w:num="1">
            <w:col w:w="10960"/>
          </w:cols>
          <w:pgMar w:left="440" w:top="270" w:right="499" w:bottom="1440" w:gutter="0" w:footer="0" w:header="0"/>
        </w:sectPr>
      </w:pPr>
    </w:p>
    <w:bookmarkStart w:id="361" w:name="page362"/>
    <w:bookmarkEnd w:id="3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Christopher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Henry</w:t>
      </w:r>
    </w:p>
    <w:p>
      <w:pPr>
        <w:sectPr>
          <w:pgSz w:w="11900" w:h="16838" w:orient="portrait"/>
          <w:cols w:equalWidth="0" w:num="1">
            <w:col w:w="10960"/>
          </w:cols>
          <w:pgMar w:left="440" w:top="270" w:right="499" w:bottom="1440" w:gutter="0" w:footer="0" w:header="0"/>
        </w:sectPr>
      </w:pPr>
    </w:p>
    <w:bookmarkStart w:id="362" w:name="page363"/>
    <w:bookmarkEnd w:id="3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Jodi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Jodi Mills</w:t>
      </w:r>
    </w:p>
    <w:p>
      <w:pPr>
        <w:sectPr>
          <w:pgSz w:w="11900" w:h="16838" w:orient="portrait"/>
          <w:cols w:equalWidth="0" w:num="1">
            <w:col w:w="10960"/>
          </w:cols>
          <w:pgMar w:left="440" w:top="270" w:right="499" w:bottom="1440" w:gutter="0" w:footer="0" w:header="0"/>
        </w:sectPr>
      </w:pPr>
    </w:p>
    <w:bookmarkStart w:id="363" w:name="page364"/>
    <w:bookmarkEnd w:id="36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Joseph Wrege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Joseph Wrege</w:t>
      </w:r>
    </w:p>
    <w:p>
      <w:pPr>
        <w:sectPr>
          <w:pgSz w:w="11900" w:h="16838" w:orient="portrait"/>
          <w:cols w:equalWidth="0" w:num="1">
            <w:col w:w="10960"/>
          </w:cols>
          <w:pgMar w:left="440" w:top="270" w:right="499" w:bottom="1440" w:gutter="0" w:footer="0" w:header="0"/>
        </w:sectPr>
      </w:pPr>
    </w:p>
    <w:bookmarkStart w:id="364" w:name="page365"/>
    <w:bookmarkEnd w:id="36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Joshua Batman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Joshua Batman</w:t>
      </w:r>
    </w:p>
    <w:p>
      <w:pPr>
        <w:sectPr>
          <w:pgSz w:w="11900" w:h="16838" w:orient="portrait"/>
          <w:cols w:equalWidth="0" w:num="1">
            <w:col w:w="10960"/>
          </w:cols>
          <w:pgMar w:left="440" w:top="270" w:right="499" w:bottom="1440" w:gutter="0" w:footer="0" w:header="0"/>
        </w:sectPr>
      </w:pPr>
    </w:p>
    <w:bookmarkStart w:id="365" w:name="page366"/>
    <w:bookmarkEnd w:id="3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Juan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Juan Rodriguez</w:t>
      </w:r>
    </w:p>
    <w:p>
      <w:pPr>
        <w:sectPr>
          <w:pgSz w:w="11900" w:h="16838" w:orient="portrait"/>
          <w:cols w:equalWidth="0" w:num="1">
            <w:col w:w="10960"/>
          </w:cols>
          <w:pgMar w:left="440" w:top="270" w:right="499" w:bottom="1440" w:gutter="0" w:footer="0" w:header="0"/>
        </w:sectPr>
      </w:pPr>
    </w:p>
    <w:bookmarkStart w:id="366" w:name="page367"/>
    <w:bookmarkEnd w:id="36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Kevin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Kevin Miller</w:t>
      </w:r>
    </w:p>
    <w:p>
      <w:pPr>
        <w:sectPr>
          <w:pgSz w:w="11900" w:h="16838" w:orient="portrait"/>
          <w:cols w:equalWidth="0" w:num="1">
            <w:col w:w="10960"/>
          </w:cols>
          <w:pgMar w:left="440" w:top="270" w:right="499" w:bottom="1440" w:gutter="0" w:footer="0" w:header="0"/>
        </w:sectPr>
      </w:pPr>
    </w:p>
    <w:bookmarkStart w:id="367" w:name="page368"/>
    <w:bookmarkEnd w:id="36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Matthew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Matthew Powell</w:t>
      </w:r>
    </w:p>
    <w:p>
      <w:pPr>
        <w:sectPr>
          <w:pgSz w:w="11900" w:h="16838" w:orient="portrait"/>
          <w:cols w:equalWidth="0" w:num="1">
            <w:col w:w="10960"/>
          </w:cols>
          <w:pgMar w:left="440" w:top="270" w:right="499" w:bottom="1440" w:gutter="0" w:footer="0" w:header="0"/>
        </w:sectPr>
      </w:pPr>
    </w:p>
    <w:bookmarkStart w:id="368" w:name="page369"/>
    <w:bookmarkEnd w:id="36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Cynthia Moravec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Cynthia Moravec</w:t>
      </w:r>
    </w:p>
    <w:p>
      <w:pPr>
        <w:sectPr>
          <w:pgSz w:w="11900" w:h="16838" w:orient="portrait"/>
          <w:cols w:equalWidth="0" w:num="1">
            <w:col w:w="10960"/>
          </w:cols>
          <w:pgMar w:left="440" w:top="270" w:right="499" w:bottom="1440" w:gutter="0" w:footer="0" w:header="0"/>
        </w:sectPr>
      </w:pPr>
    </w:p>
    <w:bookmarkStart w:id="369" w:name="page370"/>
    <w:bookmarkEnd w:id="3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Kopocis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Jeffrey Kopocis</w:t>
      </w:r>
    </w:p>
    <w:p>
      <w:pPr>
        <w:sectPr>
          <w:pgSz w:w="11900" w:h="16838" w:orient="portrait"/>
          <w:cols w:equalWidth="0" w:num="1">
            <w:col w:w="10960"/>
          </w:cols>
          <w:pgMar w:left="440" w:top="270" w:right="499" w:bottom="1440" w:gutter="0" w:footer="0" w:header="0"/>
        </w:sectPr>
      </w:pPr>
    </w:p>
    <w:bookmarkStart w:id="370" w:name="page371"/>
    <w:bookmarkEnd w:id="3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Joan Oehmke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Joan Oehmke</w:t>
      </w:r>
    </w:p>
    <w:p>
      <w:pPr>
        <w:sectPr>
          <w:pgSz w:w="11900" w:h="16838" w:orient="portrait"/>
          <w:cols w:equalWidth="0" w:num="1">
            <w:col w:w="10960"/>
          </w:cols>
          <w:pgMar w:left="440" w:top="270" w:right="499" w:bottom="1440" w:gutter="0" w:footer="0" w:header="0"/>
        </w:sectPr>
      </w:pPr>
    </w:p>
    <w:bookmarkStart w:id="371" w:name="page372"/>
    <w:bookmarkEnd w:id="37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Kristen Heckel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Kristen Heckel</w:t>
      </w:r>
    </w:p>
    <w:p>
      <w:pPr>
        <w:sectPr>
          <w:pgSz w:w="11900" w:h="16838" w:orient="portrait"/>
          <w:cols w:equalWidth="0" w:num="1">
            <w:col w:w="10960"/>
          </w:cols>
          <w:pgMar w:left="440" w:top="270" w:right="499" w:bottom="1440" w:gutter="0" w:footer="0" w:header="0"/>
        </w:sectPr>
      </w:pPr>
    </w:p>
    <w:bookmarkStart w:id="372" w:name="page373"/>
    <w:bookmarkEnd w:id="3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Luisa Assink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Luisa Assink</w:t>
      </w:r>
    </w:p>
    <w:p>
      <w:pPr>
        <w:sectPr>
          <w:pgSz w:w="11900" w:h="16838" w:orient="portrait"/>
          <w:cols w:equalWidth="0" w:num="1">
            <w:col w:w="10960"/>
          </w:cols>
          <w:pgMar w:left="440" w:top="270" w:right="499" w:bottom="1440" w:gutter="0" w:footer="0" w:header="0"/>
        </w:sectPr>
      </w:pPr>
    </w:p>
    <w:bookmarkStart w:id="373" w:name="page374"/>
    <w:bookmarkEnd w:id="3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Phillip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Phillip Edwards</w:t>
      </w:r>
    </w:p>
    <w:p>
      <w:pPr>
        <w:sectPr>
          <w:pgSz w:w="11900" w:h="16838" w:orient="portrait"/>
          <w:cols w:equalWidth="0" w:num="1">
            <w:col w:w="10960"/>
          </w:cols>
          <w:pgMar w:left="440" w:top="270" w:right="499" w:bottom="1440" w:gutter="0" w:footer="0" w:header="0"/>
        </w:sectPr>
      </w:pPr>
    </w:p>
    <w:bookmarkStart w:id="374" w:name="page375"/>
    <w:bookmarkEnd w:id="3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Roger Varner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Roger Varner</w:t>
      </w:r>
    </w:p>
    <w:p>
      <w:pPr>
        <w:sectPr>
          <w:pgSz w:w="11900" w:h="16838" w:orient="portrait"/>
          <w:cols w:equalWidth="0" w:num="1">
            <w:col w:w="10960"/>
          </w:cols>
          <w:pgMar w:left="440" w:top="270" w:right="499" w:bottom="1440" w:gutter="0" w:footer="0" w:header="0"/>
        </w:sectPr>
      </w:pPr>
    </w:p>
    <w:bookmarkStart w:id="375" w:name="page376"/>
    <w:bookmarkEnd w:id="3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Ronald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Ronald Buchanan</w:t>
      </w:r>
    </w:p>
    <w:p>
      <w:pPr>
        <w:sectPr>
          <w:pgSz w:w="11900" w:h="16838" w:orient="portrait"/>
          <w:cols w:equalWidth="0" w:num="1">
            <w:col w:w="10960"/>
          </w:cols>
          <w:pgMar w:left="440" w:top="270" w:right="499" w:bottom="1440" w:gutter="0" w:footer="0" w:header="0"/>
        </w:sectPr>
      </w:pPr>
    </w:p>
    <w:bookmarkStart w:id="376" w:name="page377"/>
    <w:bookmarkEnd w:id="3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Teresa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Teresa Hastings</w:t>
      </w:r>
    </w:p>
    <w:p>
      <w:pPr>
        <w:sectPr>
          <w:pgSz w:w="11900" w:h="16838" w:orient="portrait"/>
          <w:cols w:equalWidth="0" w:num="1">
            <w:col w:w="10960"/>
          </w:cols>
          <w:pgMar w:left="440" w:top="270" w:right="499" w:bottom="1440" w:gutter="0" w:footer="0" w:header="0"/>
        </w:sectPr>
      </w:pPr>
    </w:p>
    <w:bookmarkStart w:id="377" w:name="page378"/>
    <w:bookmarkEnd w:id="3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Travis Coyner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Travis Coyner</w:t>
      </w:r>
    </w:p>
    <w:p>
      <w:pPr>
        <w:sectPr>
          <w:pgSz w:w="11900" w:h="16838" w:orient="portrait"/>
          <w:cols w:equalWidth="0" w:num="1">
            <w:col w:w="10960"/>
          </w:cols>
          <w:pgMar w:left="440" w:top="270" w:right="499" w:bottom="1440" w:gutter="0" w:footer="0" w:header="0"/>
        </w:sectPr>
      </w:pPr>
    </w:p>
    <w:bookmarkStart w:id="378" w:name="page379"/>
    <w:bookmarkEnd w:id="37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Wendie Charles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Wendie Charles</w:t>
      </w:r>
    </w:p>
    <w:p>
      <w:pPr>
        <w:sectPr>
          <w:pgSz w:w="11900" w:h="16838" w:orient="portrait"/>
          <w:cols w:equalWidth="0" w:num="1">
            <w:col w:w="10960"/>
          </w:cols>
          <w:pgMar w:left="440" w:top="270" w:right="499" w:bottom="1440" w:gutter="0" w:footer="0" w:header="0"/>
        </w:sectPr>
      </w:pPr>
    </w:p>
    <w:bookmarkStart w:id="379" w:name="page380"/>
    <w:bookmarkEnd w:id="37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Reines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Peter Reines</w:t>
      </w:r>
    </w:p>
    <w:p>
      <w:pPr>
        <w:sectPr>
          <w:pgSz w:w="11900" w:h="16838" w:orient="portrait"/>
          <w:cols w:equalWidth="0" w:num="1">
            <w:col w:w="10960"/>
          </w:cols>
          <w:pgMar w:left="440" w:top="270" w:right="499" w:bottom="1440" w:gutter="0" w:footer="0" w:header="0"/>
        </w:sectPr>
      </w:pPr>
    </w:p>
    <w:bookmarkStart w:id="380" w:name="page381"/>
    <w:bookmarkEnd w:id="38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Thaddeus J. Spinks, VMD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Thaddeus J. Spinks, VMD</w:t>
      </w:r>
    </w:p>
    <w:p>
      <w:pPr>
        <w:sectPr>
          <w:pgSz w:w="11900" w:h="16838" w:orient="portrait"/>
          <w:cols w:equalWidth="0" w:num="1">
            <w:col w:w="10960"/>
          </w:cols>
          <w:pgMar w:left="440" w:top="270" w:right="499" w:bottom="1440" w:gutter="0" w:footer="0" w:header="0"/>
        </w:sectPr>
      </w:pPr>
    </w:p>
    <w:bookmarkStart w:id="381" w:name="page382"/>
    <w:bookmarkEnd w:id="38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Jennifer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Jennifer Reynolds</w:t>
      </w:r>
    </w:p>
    <w:p>
      <w:pPr>
        <w:sectPr>
          <w:pgSz w:w="11900" w:h="16838" w:orient="portrait"/>
          <w:cols w:equalWidth="0" w:num="1">
            <w:col w:w="10960"/>
          </w:cols>
          <w:pgMar w:left="440" w:top="270" w:right="499" w:bottom="1440" w:gutter="0" w:footer="0" w:header="0"/>
        </w:sectPr>
      </w:pPr>
    </w:p>
    <w:bookmarkStart w:id="382" w:name="page383"/>
    <w:bookmarkEnd w:id="38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 Novak</w:t>
      </w:r>
    </w:p>
    <w:p>
      <w:pPr>
        <w:sectPr>
          <w:pgSz w:w="11900" w:h="16838" w:orient="portrait"/>
          <w:cols w:equalWidth="0" w:num="1">
            <w:col w:w="10960"/>
          </w:cols>
          <w:pgMar w:left="440" w:top="270" w:right="499" w:bottom="1440" w:gutter="0" w:footer="0" w:header="0"/>
        </w:sectPr>
      </w:pPr>
    </w:p>
    <w:bookmarkStart w:id="383" w:name="page384"/>
    <w:bookmarkEnd w:id="38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Carr Family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Carr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960"/>
          </w:cols>
          <w:pgMar w:left="440" w:top="270" w:right="499" w:bottom="1440" w:gutter="0" w:footer="0" w:header="0"/>
        </w:sectPr>
      </w:pPr>
    </w:p>
    <w:bookmarkStart w:id="384" w:name="page385"/>
    <w:bookmarkEnd w:id="38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Brendan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Brendan Clancy</w:t>
      </w:r>
    </w:p>
    <w:p>
      <w:pPr>
        <w:sectPr>
          <w:pgSz w:w="11900" w:h="16838" w:orient="portrait"/>
          <w:cols w:equalWidth="0" w:num="1">
            <w:col w:w="10960"/>
          </w:cols>
          <w:pgMar w:left="440" w:top="270" w:right="499" w:bottom="1440" w:gutter="0" w:footer="0" w:header="0"/>
        </w:sectPr>
      </w:pPr>
    </w:p>
    <w:bookmarkStart w:id="385" w:name="page386"/>
    <w:bookmarkEnd w:id="38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Peter Taylor</w:t>
      </w:r>
    </w:p>
    <w:p>
      <w:pPr>
        <w:sectPr>
          <w:pgSz w:w="11900" w:h="16838" w:orient="portrait"/>
          <w:cols w:equalWidth="0" w:num="1">
            <w:col w:w="10960"/>
          </w:cols>
          <w:pgMar w:left="440" w:top="270" w:right="499" w:bottom="1440" w:gutter="0" w:footer="0" w:header="0"/>
        </w:sectPr>
      </w:pPr>
    </w:p>
    <w:bookmarkStart w:id="386" w:name="page387"/>
    <w:bookmarkEnd w:id="3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H Leach VMD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Leach VMD</w:t>
      </w:r>
    </w:p>
    <w:p>
      <w:pPr>
        <w:sectPr>
          <w:pgSz w:w="11900" w:h="16838" w:orient="portrait"/>
          <w:cols w:equalWidth="0" w:num="1">
            <w:col w:w="10960"/>
          </w:cols>
          <w:pgMar w:left="440" w:top="270" w:right="499" w:bottom="1440" w:gutter="0" w:footer="0" w:header="0"/>
        </w:sectPr>
      </w:pPr>
    </w:p>
    <w:bookmarkStart w:id="387" w:name="page388"/>
    <w:bookmarkEnd w:id="3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Tom Selinger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Tom Selinger</w:t>
      </w:r>
    </w:p>
    <w:p>
      <w:pPr>
        <w:sectPr>
          <w:pgSz w:w="11900" w:h="16838" w:orient="portrait"/>
          <w:cols w:equalWidth="0" w:num="1">
            <w:col w:w="10960"/>
          </w:cols>
          <w:pgMar w:left="440" w:top="270" w:right="499" w:bottom="1440" w:gutter="0" w:footer="0" w:header="0"/>
        </w:sectPr>
      </w:pPr>
    </w:p>
    <w:bookmarkStart w:id="388" w:name="page389"/>
    <w:bookmarkEnd w:id="3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Chuck Koeniger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Chuck Koeniger</w:t>
      </w:r>
    </w:p>
    <w:p>
      <w:pPr>
        <w:sectPr>
          <w:pgSz w:w="11900" w:h="16838" w:orient="portrait"/>
          <w:cols w:equalWidth="0" w:num="1">
            <w:col w:w="10960"/>
          </w:cols>
          <w:pgMar w:left="440" w:top="270" w:right="499" w:bottom="1440" w:gutter="0" w:footer="0" w:header="0"/>
        </w:sectPr>
      </w:pPr>
    </w:p>
    <w:bookmarkStart w:id="389" w:name="page390"/>
    <w:bookmarkEnd w:id="38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Gilliam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Gilliam</w:t>
      </w:r>
    </w:p>
    <w:p>
      <w:pPr>
        <w:sectPr>
          <w:pgSz w:w="11900" w:h="16838" w:orient="portrait"/>
          <w:cols w:equalWidth="0" w:num="1">
            <w:col w:w="10960"/>
          </w:cols>
          <w:pgMar w:left="440" w:top="270" w:right="499" w:bottom="1440" w:gutter="0" w:footer="0" w:header="0"/>
        </w:sectPr>
      </w:pPr>
    </w:p>
    <w:bookmarkStart w:id="390" w:name="page391"/>
    <w:bookmarkEnd w:id="39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Ray Caterino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 Caterino Jr.</w:t>
      </w:r>
    </w:p>
    <w:p>
      <w:pPr>
        <w:sectPr>
          <w:pgSz w:w="11900" w:h="16838" w:orient="portrait"/>
          <w:cols w:equalWidth="0" w:num="1">
            <w:col w:w="10960"/>
          </w:cols>
          <w:pgMar w:left="440" w:top="270" w:right="499" w:bottom="1440" w:gutter="0" w:footer="0" w:header="0"/>
        </w:sectPr>
      </w:pPr>
    </w:p>
    <w:bookmarkStart w:id="391" w:name="page392"/>
    <w:bookmarkEnd w:id="39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Benj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Benj Garrett</w:t>
      </w:r>
    </w:p>
    <w:p>
      <w:pPr>
        <w:sectPr>
          <w:pgSz w:w="11900" w:h="16838" w:orient="portrait"/>
          <w:cols w:equalWidth="0" w:num="1">
            <w:col w:w="10960"/>
          </w:cols>
          <w:pgMar w:left="440" w:top="270" w:right="499" w:bottom="1440" w:gutter="0" w:footer="0" w:header="0"/>
        </w:sectPr>
      </w:pPr>
    </w:p>
    <w:bookmarkStart w:id="392" w:name="page393"/>
    <w:bookmarkEnd w:id="39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Linda Ricca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Linda Ricca</w:t>
      </w:r>
    </w:p>
    <w:p>
      <w:pPr>
        <w:sectPr>
          <w:pgSz w:w="11900" w:h="16838" w:orient="portrait"/>
          <w:cols w:equalWidth="0" w:num="1">
            <w:col w:w="10960"/>
          </w:cols>
          <w:pgMar w:left="440" w:top="270" w:right="499" w:bottom="1440" w:gutter="0" w:footer="0" w:header="0"/>
        </w:sectPr>
      </w:pPr>
    </w:p>
    <w:bookmarkStart w:id="393" w:name="page394"/>
    <w:bookmarkEnd w:id="3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Joe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Joe Hall</w:t>
      </w:r>
    </w:p>
    <w:p>
      <w:pPr>
        <w:sectPr>
          <w:pgSz w:w="11900" w:h="16838" w:orient="portrait"/>
          <w:cols w:equalWidth="0" w:num="1">
            <w:col w:w="10960"/>
          </w:cols>
          <w:pgMar w:left="440" w:top="270" w:right="499" w:bottom="1440" w:gutter="0" w:footer="0" w:header="0"/>
        </w:sectPr>
      </w:pPr>
    </w:p>
    <w:bookmarkStart w:id="394" w:name="page395"/>
    <w:bookmarkEnd w:id="3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Sean Stalfort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Sean Stalfort</w:t>
      </w:r>
    </w:p>
    <w:p>
      <w:pPr>
        <w:sectPr>
          <w:pgSz w:w="11900" w:h="16838" w:orient="portrait"/>
          <w:cols w:equalWidth="0" w:num="1">
            <w:col w:w="10960"/>
          </w:cols>
          <w:pgMar w:left="440" w:top="270" w:right="499" w:bottom="1440" w:gutter="0" w:footer="0" w:header="0"/>
        </w:sectPr>
      </w:pPr>
    </w:p>
    <w:bookmarkStart w:id="395" w:name="page396"/>
    <w:bookmarkEnd w:id="39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Jay Stalfort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Jay Stalfort</w:t>
      </w:r>
    </w:p>
    <w:p>
      <w:pPr>
        <w:sectPr>
          <w:pgSz w:w="11900" w:h="16838" w:orient="portrait"/>
          <w:cols w:equalWidth="0" w:num="1">
            <w:col w:w="10960"/>
          </w:cols>
          <w:pgMar w:left="440" w:top="270" w:right="499" w:bottom="1440" w:gutter="0" w:footer="0" w:header="0"/>
        </w:sectPr>
      </w:pPr>
    </w:p>
    <w:bookmarkStart w:id="396" w:name="page397"/>
    <w:bookmarkEnd w:id="39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P. Williamson,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John P. Williamson, Jr.</w:t>
      </w:r>
    </w:p>
    <w:p>
      <w:pPr>
        <w:sectPr>
          <w:pgSz w:w="11900" w:h="16838" w:orient="portrait"/>
          <w:cols w:equalWidth="0" w:num="1">
            <w:col w:w="10960"/>
          </w:cols>
          <w:pgMar w:left="440" w:top="270" w:right="499" w:bottom="1440" w:gutter="0" w:footer="0" w:header="0"/>
        </w:sectPr>
      </w:pPr>
    </w:p>
    <w:bookmarkStart w:id="397" w:name="page398"/>
    <w:bookmarkEnd w:id="39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Steven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Steven Goldman</w:t>
      </w:r>
    </w:p>
    <w:p>
      <w:pPr>
        <w:sectPr>
          <w:pgSz w:w="11900" w:h="16838" w:orient="portrait"/>
          <w:cols w:equalWidth="0" w:num="1">
            <w:col w:w="10960"/>
          </w:cols>
          <w:pgMar w:left="440" w:top="270" w:right="499" w:bottom="1440" w:gutter="0" w:footer="0" w:header="0"/>
        </w:sectPr>
      </w:pPr>
    </w:p>
    <w:bookmarkStart w:id="398" w:name="page399"/>
    <w:bookmarkEnd w:id="39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A Stalfort III 2018 Irrevocable Trust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Gineane H Stalfort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Gineane H Stalfort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960"/>
          </w:cols>
          <w:pgMar w:left="440" w:top="270" w:right="499" w:bottom="1440" w:gutter="0" w:footer="0" w:header="0"/>
        </w:sectPr>
      </w:pPr>
    </w:p>
    <w:bookmarkStart w:id="399" w:name="page400"/>
    <w:bookmarkEnd w:id="3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Jayson 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Jayson Rieger</w:t>
      </w:r>
    </w:p>
    <w:p>
      <w:pPr>
        <w:sectPr>
          <w:pgSz w:w="11900" w:h="16838" w:orient="portrait"/>
          <w:cols w:equalWidth="0" w:num="1">
            <w:col w:w="10960"/>
          </w:cols>
          <w:pgMar w:left="440" w:top="270" w:right="499" w:bottom="1440" w:gutter="0" w:footer="0" w:header="0"/>
        </w:sectPr>
      </w:pPr>
    </w:p>
    <w:bookmarkStart w:id="400" w:name="page401"/>
    <w:bookmarkEnd w:id="4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Dry Pond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Scott C.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C. Sullivan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Bruce B. Cameron,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Bruce B. Cameron, IV</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Manager</w:t>
      </w:r>
    </w:p>
    <w:p>
      <w:pPr>
        <w:sectPr>
          <w:pgSz w:w="11900" w:h="16838" w:orient="portrait"/>
          <w:cols w:equalWidth="0" w:num="1">
            <w:col w:w="10960"/>
          </w:cols>
          <w:pgMar w:left="440" w:top="270" w:right="499" w:bottom="1440" w:gutter="0" w:footer="0" w:header="0"/>
        </w:sectPr>
      </w:pPr>
    </w:p>
    <w:bookmarkStart w:id="401" w:name="page402"/>
    <w:bookmarkEnd w:id="40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Don Mosman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Don Mosman</w:t>
      </w:r>
    </w:p>
    <w:p>
      <w:pPr>
        <w:sectPr>
          <w:pgSz w:w="11900" w:h="16838" w:orient="portrait"/>
          <w:cols w:equalWidth="0" w:num="1">
            <w:col w:w="10960"/>
          </w:cols>
          <w:pgMar w:left="440" w:top="270" w:right="499" w:bottom="1440" w:gutter="0" w:footer="0" w:header="0"/>
        </w:sectPr>
      </w:pPr>
    </w:p>
    <w:bookmarkStart w:id="402" w:name="page403"/>
    <w:bookmarkEnd w:id="40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Joseph Pedersen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Joseph Pedersen</w:t>
      </w:r>
    </w:p>
    <w:p>
      <w:pPr>
        <w:sectPr>
          <w:pgSz w:w="11900" w:h="16838" w:orient="portrait"/>
          <w:cols w:equalWidth="0" w:num="1">
            <w:col w:w="10960"/>
          </w:cols>
          <w:pgMar w:left="440" w:top="270" w:right="499" w:bottom="1440" w:gutter="0" w:footer="0" w:header="0"/>
        </w:sectPr>
      </w:pPr>
    </w:p>
    <w:bookmarkStart w:id="403" w:name="page404"/>
    <w:bookmarkEnd w:id="4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Melissa Woodruff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Melissa Woodruff</w:t>
      </w:r>
    </w:p>
    <w:p>
      <w:pPr>
        <w:sectPr>
          <w:pgSz w:w="11900" w:h="16838" w:orient="portrait"/>
          <w:cols w:equalWidth="0" w:num="1">
            <w:col w:w="10960"/>
          </w:cols>
          <w:pgMar w:left="440" w:top="270" w:right="499" w:bottom="1440" w:gutter="0" w:footer="0" w:header="0"/>
        </w:sectPr>
      </w:pPr>
    </w:p>
    <w:bookmarkStart w:id="404" w:name="page405"/>
    <w:bookmarkEnd w:id="4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Gary Massengill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Gary Massengill</w:t>
      </w:r>
    </w:p>
    <w:p>
      <w:pPr>
        <w:sectPr>
          <w:pgSz w:w="11900" w:h="16838" w:orient="portrait"/>
          <w:cols w:equalWidth="0" w:num="1">
            <w:col w:w="10960"/>
          </w:cols>
          <w:pgMar w:left="440" w:top="270" w:right="499" w:bottom="1440" w:gutter="0" w:footer="0" w:header="0"/>
        </w:sectPr>
      </w:pPr>
    </w:p>
    <w:bookmarkStart w:id="405" w:name="page406"/>
    <w:bookmarkEnd w:id="4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Christa Cosner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Christa Cosner</w:t>
      </w:r>
    </w:p>
    <w:p>
      <w:pPr>
        <w:sectPr>
          <w:pgSz w:w="11900" w:h="16838" w:orient="portrait"/>
          <w:cols w:equalWidth="0" w:num="1">
            <w:col w:w="10960"/>
          </w:cols>
          <w:pgMar w:left="440" w:top="270" w:right="499" w:bottom="1440" w:gutter="0" w:footer="0" w:header="0"/>
        </w:sectPr>
      </w:pPr>
    </w:p>
    <w:bookmarkStart w:id="406" w:name="page407"/>
    <w:bookmarkEnd w:id="40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Sung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Sung You</w:t>
      </w:r>
    </w:p>
    <w:p>
      <w:pPr>
        <w:sectPr>
          <w:pgSz w:w="11900" w:h="16838" w:orient="portrait"/>
          <w:cols w:equalWidth="0" w:num="1">
            <w:col w:w="10960"/>
          </w:cols>
          <w:pgMar w:left="440" w:top="270" w:right="499" w:bottom="1440" w:gutter="0" w:footer="0" w:header="0"/>
        </w:sectPr>
      </w:pPr>
    </w:p>
    <w:bookmarkStart w:id="407" w:name="page408"/>
    <w:bookmarkEnd w:id="40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Glover</w:t>
      </w:r>
    </w:p>
    <w:p>
      <w:pPr>
        <w:sectPr>
          <w:pgSz w:w="11900" w:h="16838" w:orient="portrait"/>
          <w:cols w:equalWidth="0" w:num="1">
            <w:col w:w="10960"/>
          </w:cols>
          <w:pgMar w:left="440" w:top="270" w:right="499" w:bottom="1440" w:gutter="0" w:footer="0" w:header="0"/>
        </w:sectPr>
      </w:pPr>
    </w:p>
    <w:bookmarkStart w:id="408" w:name="page409"/>
    <w:bookmarkEnd w:id="40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AGREEMENT TO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undersigned is executing and delivering this Joinder Agreement, which shall serve as a counterpart signature page pursuant to the terms and conditions of the Amended and Restated Investors’ Rights Agreement, dated as of July 2, 2020, by and among Taysha Gene Therapies,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thereto, and as may be hereafter amended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undersigned is joining the Agreement as an “Investor” thereunder, and agrees that the undersigned shall be and have all rights and obligations of an “Investor” as such term is defined in the Agreement, including, without limitation, Section 2.12 thereof.</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By executing and delivering this Joinder Agreement to the Company, the undersigned hereby agrees to become a party to, to be bound by, and to comply with the provisions of the Agreement as an Investor thereunder, and recognizes that the undersigned will receive the benefits of the Agreement as an Investor thereunder from and after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Agreement to be effective as of August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BKB Growth Investments,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Paul B.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B. Manning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Bradford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Bradford Manning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Manager</w:t>
      </w:r>
    </w:p>
    <w:p>
      <w:pPr>
        <w:sectPr>
          <w:pgSz w:w="11900" w:h="16838" w:orient="portrait"/>
          <w:cols w:equalWidth="0" w:num="1">
            <w:col w:w="10960"/>
          </w:cols>
          <w:pgMar w:left="440" w:top="270" w:right="499" w:bottom="1440" w:gutter="0" w:footer="0" w:header="0"/>
        </w:sectPr>
      </w:pPr>
    </w:p>
    <w:bookmarkStart w:id="409" w:name="page410"/>
    <w:bookmarkEnd w:id="409"/>
    <w:p>
      <w:pPr>
        <w:ind w:left="100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Taysha Gene Therapies, Inc. has determined such information (i) is not material and (ii) would be competitively harmful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COLLABORATION &amp; 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AGT. NO. 2020-0029/L3720-Taysha</w:t>
      </w:r>
    </w:p>
    <w:p>
      <w:pPr>
        <w:spacing w:after="0" w:line="207" w:lineRule="exact"/>
        <w:rPr>
          <w:sz w:val="20"/>
          <w:szCs w:val="20"/>
          <w:color w:val="auto"/>
        </w:rPr>
      </w:pPr>
    </w:p>
    <w:p>
      <w:pPr>
        <w:ind w:right="80" w:firstLine="551"/>
        <w:spacing w:after="0" w:line="303" w:lineRule="auto"/>
        <w:rPr>
          <w:sz w:val="20"/>
          <w:szCs w:val="20"/>
          <w:color w:val="auto"/>
        </w:rPr>
      </w:pPr>
      <w:r>
        <w:rPr>
          <w:rFonts w:ascii="Arial" w:cs="Arial" w:eastAsia="Arial" w:hAnsi="Arial"/>
          <w:sz w:val="16"/>
          <w:szCs w:val="16"/>
          <w:color w:val="auto"/>
        </w:rPr>
        <w:t>This Research, Collaboration &amp; License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November 19, 2019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The Board of Regents of the University of Texas System (“</w:t>
      </w:r>
      <w:r>
        <w:rPr>
          <w:rFonts w:ascii="Arial" w:cs="Arial" w:eastAsia="Arial" w:hAnsi="Arial"/>
          <w:sz w:val="16"/>
          <w:szCs w:val="16"/>
          <w:b w:val="1"/>
          <w:bCs w:val="1"/>
          <w:color w:val="auto"/>
        </w:rPr>
        <w:t>System</w:t>
      </w:r>
      <w:r>
        <w:rPr>
          <w:rFonts w:ascii="Arial" w:cs="Arial" w:eastAsia="Arial" w:hAnsi="Arial"/>
          <w:sz w:val="16"/>
          <w:szCs w:val="16"/>
          <w:color w:val="auto"/>
        </w:rPr>
        <w:t>”), an agency of the State of Texas, on behalf of The University of Texas Southwestern Medical Center (“</w:t>
      </w:r>
      <w:r>
        <w:rPr>
          <w:rFonts w:ascii="Arial" w:cs="Arial" w:eastAsia="Arial" w:hAnsi="Arial"/>
          <w:sz w:val="16"/>
          <w:szCs w:val="16"/>
          <w:b w:val="1"/>
          <w:bCs w:val="1"/>
          <w:color w:val="auto"/>
        </w:rPr>
        <w:t>UT Southwestern</w:t>
      </w:r>
      <w:r>
        <w:rPr>
          <w:rFonts w:ascii="Arial" w:cs="Arial" w:eastAsia="Arial" w:hAnsi="Arial"/>
          <w:sz w:val="16"/>
          <w:szCs w:val="16"/>
          <w:color w:val="auto"/>
        </w:rPr>
        <w:t>”), a component institution of System (“</w:t>
      </w:r>
      <w:r>
        <w:rPr>
          <w:rFonts w:ascii="Arial" w:cs="Arial" w:eastAsia="Arial" w:hAnsi="Arial"/>
          <w:sz w:val="16"/>
          <w:szCs w:val="16"/>
          <w:b w:val="1"/>
          <w:bCs w:val="1"/>
          <w:color w:val="auto"/>
        </w:rPr>
        <w:t>Licensor</w:t>
      </w:r>
      <w:r>
        <w:rPr>
          <w:rFonts w:ascii="Arial" w:cs="Arial" w:eastAsia="Arial" w:hAnsi="Arial"/>
          <w:sz w:val="16"/>
          <w:szCs w:val="16"/>
          <w:color w:val="auto"/>
        </w:rPr>
        <w:t>”), and Taysha Gene Therapies, Inc. a corporation organized under the laws of the state of Texas (“</w:t>
      </w:r>
      <w:r>
        <w:rPr>
          <w:rFonts w:ascii="Arial" w:cs="Arial" w:eastAsia="Arial" w:hAnsi="Arial"/>
          <w:sz w:val="16"/>
          <w:szCs w:val="16"/>
          <w:b w:val="1"/>
          <w:bCs w:val="1"/>
          <w:color w:val="auto"/>
        </w:rPr>
        <w:t>Licensee</w:t>
      </w:r>
      <w:r>
        <w:rPr>
          <w:rFonts w:ascii="Arial" w:cs="Arial" w:eastAsia="Arial" w:hAnsi="Arial"/>
          <w:sz w:val="16"/>
          <w:szCs w:val="16"/>
          <w:color w:val="auto"/>
        </w:rPr>
        <w:t>”). Licensor and Licensee may be referred to herein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ind w:right="2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is a biotechnology company with expertise in the development, manufacture and commercialization of human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for treatment of genetic disorders.</w:t>
      </w:r>
    </w:p>
    <w:p>
      <w:pPr>
        <w:spacing w:after="0" w:line="162" w:lineRule="exact"/>
        <w:rPr>
          <w:sz w:val="20"/>
          <w:szCs w:val="20"/>
          <w:color w:val="auto"/>
        </w:rPr>
      </w:pPr>
    </w:p>
    <w:p>
      <w:pPr>
        <w:ind w:right="26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UT Southwestern, through Dr. Steven Gray, Dr. Berge Minassian and the Gray Laboratory, have technology and expertise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of gene therapy products.</w:t>
      </w:r>
    </w:p>
    <w:p>
      <w:pPr>
        <w:spacing w:after="0" w:line="162" w:lineRule="exact"/>
        <w:rPr>
          <w:sz w:val="20"/>
          <w:szCs w:val="20"/>
          <w:color w:val="auto"/>
        </w:rPr>
      </w:pPr>
    </w:p>
    <w:p>
      <w:pPr>
        <w:ind w:right="100" w:firstLine="55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Research Program contemplated by this Agreement is of mutual interest to Licensee and Licensor and may benefit Licensee</w:t>
      </w:r>
      <w:r>
        <w:rPr>
          <w:rFonts w:ascii="Arial" w:cs="Arial" w:eastAsia="Arial" w:hAnsi="Arial"/>
          <w:sz w:val="16"/>
          <w:szCs w:val="16"/>
          <w:b w:val="1"/>
          <w:bCs w:val="1"/>
          <w:color w:val="auto"/>
        </w:rPr>
        <w:t xml:space="preserve"> </w:t>
      </w:r>
      <w:r>
        <w:rPr>
          <w:rFonts w:ascii="Arial" w:cs="Arial" w:eastAsia="Arial" w:hAnsi="Arial"/>
          <w:sz w:val="16"/>
          <w:szCs w:val="16"/>
          <w:color w:val="auto"/>
        </w:rPr>
        <w:t>and Licensor through the creation or discovery of new inventions and the development and commercialization of Licensed Products (as defined below).</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various promises and undertakings set forth herein, the Parties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AAV</w:t>
      </w:r>
      <w:r>
        <w:rPr>
          <w:rFonts w:ascii="Arial" w:cs="Arial" w:eastAsia="Arial" w:hAnsi="Arial"/>
          <w:sz w:val="16"/>
          <w:szCs w:val="16"/>
          <w:color w:val="auto"/>
        </w:rPr>
        <w:t>” means adeno-associated virus.</w:t>
      </w:r>
    </w:p>
    <w:p>
      <w:pPr>
        <w:spacing w:after="0" w:line="131" w:lineRule="exact"/>
        <w:rPr>
          <w:sz w:val="20"/>
          <w:szCs w:val="20"/>
          <w:color w:val="auto"/>
        </w:rPr>
      </w:pPr>
    </w:p>
    <w:p>
      <w:pPr>
        <w:ind w:left="540" w:right="100" w:hanging="539"/>
        <w:spacing w:after="0" w:line="303"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 Person that controls, is controlled by or is under common control with a Party, but only for so long as such control exists. For the purposes of this Section 1.2, the word “control” (including, with correlative meaning, the terms “controlled by” or “under common control with”) means the actual power, either directly or indirectly through one or more intermediaries, to direct the management and policies of such Person, whether by the ownership of more than fifty percent (50%) of the voting stock of such Person, or by contract or otherwise.</w:t>
      </w:r>
    </w:p>
    <w:p>
      <w:pPr>
        <w:spacing w:after="0" w:line="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(12) months commencing on January 1 and ending on December 31.</w:t>
      </w:r>
    </w:p>
    <w:p>
      <w:pPr>
        <w:spacing w:after="0" w:line="131" w:lineRule="exact"/>
        <w:rPr>
          <w:sz w:val="20"/>
          <w:szCs w:val="20"/>
          <w:color w:val="auto"/>
        </w:rPr>
      </w:pPr>
    </w:p>
    <w:p>
      <w:pPr>
        <w:ind w:left="540" w:right="20" w:hanging="539"/>
        <w:spacing w:after="0" w:line="274"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 xml:space="preserve">“cGMP” </w:t>
      </w:r>
      <w:r>
        <w:rPr>
          <w:rFonts w:ascii="Arial" w:cs="Arial" w:eastAsia="Arial" w:hAnsi="Arial"/>
          <w:sz w:val="17"/>
          <w:szCs w:val="17"/>
          <w:color w:val="auto"/>
        </w:rPr>
        <w:t>means those current practices, as amended from time to time, related to the manufacture of pharmaceutical products and any precursors</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promulgated in guidelines and regulations of standard compilations including the GMP Rules of the World Health Organization, the United States Code of Federal Regulations, the Guide to Inspection of Bulk Pharmaceutical Chemicals (established by the United States Department of Health and Human Services), the Pharmaceutical Inspection Convention, and the European Community Guide to Good Manufacturing Practice in the production of pharmaceutical products, and equivalent guidelines, regulations and standards in the Territory, as such guidelines, regulations and standards may be amended from time to time.</w:t>
      </w:r>
    </w:p>
    <w:p>
      <w:pPr>
        <w:sectPr>
          <w:pgSz w:w="11900" w:h="16838" w:orient="portrait"/>
          <w:cols w:equalWidth="0" w:num="1">
            <w:col w:w="11020"/>
          </w:cols>
          <w:pgMar w:left="440" w:top="121" w:right="439" w:bottom="1440" w:gutter="0" w:footer="0" w:header="0"/>
        </w:sectPr>
      </w:pPr>
    </w:p>
    <w:bookmarkStart w:id="410" w:name="page411"/>
    <w:bookmarkEnd w:id="410"/>
    <w:p>
      <w:pPr>
        <w:jc w:val="right"/>
        <w:ind w:right="20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    “</w:t>
      </w:r>
      <w:r>
        <w:rPr>
          <w:rFonts w:ascii="Arial" w:cs="Arial" w:eastAsia="Arial" w:hAnsi="Arial"/>
          <w:sz w:val="16"/>
          <w:szCs w:val="16"/>
          <w:b w:val="1"/>
          <w:bCs w:val="1"/>
          <w:color w:val="auto"/>
        </w:rPr>
        <w:t>Clinical Study</w:t>
      </w:r>
      <w:r>
        <w:rPr>
          <w:rFonts w:ascii="Arial" w:cs="Arial" w:eastAsia="Arial" w:hAnsi="Arial"/>
          <w:sz w:val="16"/>
          <w:szCs w:val="16"/>
          <w:color w:val="auto"/>
        </w:rPr>
        <w:t>” means a Phase 1 Study, Phase 1/2 Study, Phase 2 Study, or Phase 3 Study, or such other study in humans that is conducted in accordance with good clinical practices and is designed to generate data in support or maintenance of an application for Regulatory Approval.</w:t>
      </w:r>
    </w:p>
    <w:p>
      <w:pPr>
        <w:spacing w:after="0" w:line="21" w:lineRule="exact"/>
        <w:rPr>
          <w:sz w:val="20"/>
          <w:szCs w:val="20"/>
          <w:color w:val="auto"/>
        </w:rPr>
      </w:pPr>
    </w:p>
    <w:p>
      <w:pPr>
        <w:ind w:left="540" w:right="380" w:hanging="539"/>
        <w:spacing w:after="0" w:line="266"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CNS Monogenic Rare Disorder</w:t>
      </w:r>
      <w:r>
        <w:rPr>
          <w:rFonts w:ascii="Arial" w:cs="Arial" w:eastAsia="Arial" w:hAnsi="Arial"/>
          <w:sz w:val="18"/>
          <w:szCs w:val="18"/>
          <w:color w:val="auto"/>
        </w:rPr>
        <w:t>” means a rare disease or condition (as determined in accordance with Sec. 526 of the FD&amp;C Act or corresponding Laws outside the United States) with significant morbidity in the central nervous system (CNS) or peripheral nervous system (PNS) caused by a gain-of-function or loss-of-function mutation in a specific gene.</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the efforts and resources that [***] would use for [***] of similar commercial potential and similar stage of development, taking into account [***].</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Contract Quarter</w:t>
      </w:r>
      <w:r>
        <w:rPr>
          <w:rFonts w:ascii="Arial" w:cs="Arial" w:eastAsia="Arial" w:hAnsi="Arial"/>
          <w:sz w:val="18"/>
          <w:szCs w:val="18"/>
          <w:color w:val="auto"/>
        </w:rPr>
        <w:t>” means the three-month periods ending on March 31, June 30, September 30 and December 31, or any stub-period thereof at the commencement of this Agreement or the expiration or termination of this Agreement.</w:t>
      </w:r>
    </w:p>
    <w:p>
      <w:pPr>
        <w:spacing w:after="0" w:line="67"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intellectual property rights, that a Party or one of its Affiliates owns or has a license or sublicense to such intellectual property rights and has the ability to provide, grant a license or sublicense to, or assign its right, title and interest in and to, such intellectual property rights as provided for in the Agreement without violating the terms of any other agreement or other arrangement with any Third Party.</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and any successor entity thereto.</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Exclusive Option Indications</w:t>
      </w:r>
      <w:r>
        <w:rPr>
          <w:rFonts w:ascii="Arial" w:cs="Arial" w:eastAsia="Arial" w:hAnsi="Arial"/>
          <w:sz w:val="16"/>
          <w:szCs w:val="16"/>
          <w:color w:val="auto"/>
        </w:rPr>
        <w:t>” means each of the following indications for a Gene Therapy Product: [***].</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and any successor entity thereto.</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FD&amp;C Act</w:t>
      </w:r>
      <w:r>
        <w:rPr>
          <w:rFonts w:ascii="Arial" w:cs="Arial" w:eastAsia="Arial" w:hAnsi="Arial"/>
          <w:sz w:val="16"/>
          <w:szCs w:val="16"/>
          <w:color w:val="auto"/>
        </w:rPr>
        <w:t>” means the United States Federal Food, Drug and Cosmetic Act, as amended.</w:t>
      </w:r>
    </w:p>
    <w:p>
      <w:pPr>
        <w:spacing w:after="0" w:line="131" w:lineRule="exact"/>
        <w:rPr>
          <w:sz w:val="20"/>
          <w:szCs w:val="20"/>
          <w:color w:val="auto"/>
        </w:rPr>
      </w:pPr>
    </w:p>
    <w:p>
      <w:pPr>
        <w:ind w:left="540" w:right="360" w:hanging="539"/>
        <w:spacing w:after="0" w:line="282" w:lineRule="auto"/>
        <w:tabs>
          <w:tab w:leader="none" w:pos="520"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b w:val="1"/>
          <w:bCs w:val="1"/>
          <w:color w:val="auto"/>
        </w:rPr>
        <w:t>Field of Use</w:t>
      </w:r>
      <w:r>
        <w:rPr>
          <w:rFonts w:ascii="Arial" w:cs="Arial" w:eastAsia="Arial" w:hAnsi="Arial"/>
          <w:sz w:val="18"/>
          <w:szCs w:val="18"/>
          <w:color w:val="auto"/>
        </w:rPr>
        <w:t>” means [***] uses in humans. For clarity, any and all uses in non-humans, including any and all veterinary uses in companion animals and livestock species, is excluded from the Field of Use.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FIH</w:t>
      </w:r>
      <w:r>
        <w:rPr>
          <w:rFonts w:ascii="Arial" w:cs="Arial" w:eastAsia="Arial" w:hAnsi="Arial"/>
          <w:sz w:val="16"/>
          <w:szCs w:val="16"/>
          <w:color w:val="auto"/>
        </w:rPr>
        <w:t>” means on a Licensed Product-by-Licensed Product basis, a first in human Clinical Study for a Licensed Product.</w:t>
      </w:r>
    </w:p>
    <w:p>
      <w:pPr>
        <w:spacing w:after="0" w:line="131" w:lineRule="exact"/>
        <w:rPr>
          <w:sz w:val="20"/>
          <w:szCs w:val="20"/>
          <w:color w:val="auto"/>
        </w:rPr>
      </w:pPr>
    </w:p>
    <w:p>
      <w:pPr>
        <w:ind w:left="540" w:right="160" w:hanging="539"/>
        <w:spacing w:after="0" w:line="266" w:lineRule="auto"/>
        <w:tabs>
          <w:tab w:leader="none" w:pos="520"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on a country-by-country basis, the first commercial transfer or disposition for value of Licensed Product in such country to a Third Party by Licensee, or any of its Affiliates or Sublicensees, in each case, after Regulatory Approvals have been obtained for such country.</w:t>
      </w:r>
    </w:p>
    <w:p>
      <w:pPr>
        <w:spacing w:after="0" w:line="81"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Arial" w:cs="Arial" w:eastAsia="Arial" w:hAnsi="Arial"/>
          <w:sz w:val="18"/>
          <w:szCs w:val="18"/>
          <w:color w:val="auto"/>
        </w:rPr>
        <w:t>1.17</w:t>
        <w:tab/>
        <w:t>“</w:t>
      </w:r>
      <w:r>
        <w:rPr>
          <w:rFonts w:ascii="Arial" w:cs="Arial" w:eastAsia="Arial" w:hAnsi="Arial"/>
          <w:sz w:val="18"/>
          <w:szCs w:val="18"/>
          <w:b w:val="1"/>
          <w:bCs w:val="1"/>
          <w:color w:val="auto"/>
        </w:rPr>
        <w:t>Gene Therapy Product</w:t>
      </w:r>
      <w:r>
        <w:rPr>
          <w:rFonts w:ascii="Arial" w:cs="Arial" w:eastAsia="Arial" w:hAnsi="Arial"/>
          <w:sz w:val="18"/>
          <w:szCs w:val="18"/>
          <w:color w:val="auto"/>
        </w:rPr>
        <w:t>” means a pharmaceutical product (or proposed or prospective pharmaceutical product) that [***]. For clarity, Gene Therapy Products do not include [***].</w:t>
      </w:r>
    </w:p>
    <w:p>
      <w:pPr>
        <w:spacing w:after="0" w:line="67"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1.18</w:t>
        <w:tab/>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principality, state, commonwealth, province, territory, county, municipality, district or other jurisdiction of any nature; (b) federal, provincial, state, local, municipal, foreign or other government; (c) governmental or quasi-governmental authority of any nature (including any governmental division, subdivision, department, agency, bureau, branch, office, commission, council, board, instrumentality, officer, official, representative,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11" w:name="page412"/>
    <w:bookmarkEnd w:id="411"/>
    <w:p>
      <w:pPr>
        <w:ind w:left="540"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85" w:lineRule="exact"/>
        <w:rPr>
          <w:sz w:val="20"/>
          <w:szCs w:val="20"/>
          <w:color w:val="auto"/>
        </w:rPr>
      </w:pPr>
    </w:p>
    <w:p>
      <w:pPr>
        <w:ind w:left="540" w:right="400" w:hanging="539"/>
        <w:spacing w:after="0" w:line="312" w:lineRule="auto"/>
        <w:tabs>
          <w:tab w:leader="none" w:pos="5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Gray Laboratory</w:t>
      </w:r>
      <w:r>
        <w:rPr>
          <w:rFonts w:ascii="Arial" w:cs="Arial" w:eastAsia="Arial" w:hAnsi="Arial"/>
          <w:sz w:val="17"/>
          <w:szCs w:val="17"/>
          <w:color w:val="auto"/>
        </w:rPr>
        <w:t>” means Dr. Steven Gray and Dr. Berge Minassian and all individuals who are under the direct or indirect supervision or control of Dr. Steven Gray or Dr. Berge Minassian at Licensor (as a group or individual basis as applicable herein).</w:t>
      </w:r>
    </w:p>
    <w:p>
      <w:pPr>
        <w:spacing w:after="0" w:line="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means an Investigational New Drug Application as defined in the FD&amp;C Act and the regulations promulgated thereunder, or (b) the</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equivalent application to the equivalent regulatory authority in any other regulatory jurisdiction, including a Clinical Trial Authorization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CTA</w:t>
      </w:r>
      <w:r>
        <w:rPr>
          <w:rFonts w:ascii="Arial" w:cs="Arial" w:eastAsia="Arial" w:hAnsi="Arial"/>
          <w:sz w:val="16"/>
          <w:szCs w:val="16"/>
          <w:color w:val="auto"/>
        </w:rPr>
        <w:t>”) to the European Medicines Agency, the filing of which is necessary to initiate or conduct clinical testing of a pharmaceutical product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humans in such jurisdiction.</w:t>
      </w:r>
    </w:p>
    <w:p>
      <w:pPr>
        <w:spacing w:after="0" w:line="112"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Arial" w:cs="Arial" w:eastAsia="Arial" w:hAnsi="Arial"/>
          <w:sz w:val="18"/>
          <w:szCs w:val="18"/>
          <w:color w:val="auto"/>
        </w:rPr>
        <w:t>1.21</w:t>
        <w:tab/>
        <w:t>“</w:t>
      </w:r>
      <w:r>
        <w:rPr>
          <w:rFonts w:ascii="Arial" w:cs="Arial" w:eastAsia="Arial" w:hAnsi="Arial"/>
          <w:sz w:val="18"/>
          <w:szCs w:val="18"/>
          <w:b w:val="1"/>
          <w:bCs w:val="1"/>
          <w:color w:val="auto"/>
        </w:rPr>
        <w:t>Indication</w:t>
      </w:r>
      <w:r>
        <w:rPr>
          <w:rFonts w:ascii="Arial" w:cs="Arial" w:eastAsia="Arial" w:hAnsi="Arial"/>
          <w:sz w:val="18"/>
          <w:szCs w:val="18"/>
          <w:color w:val="auto"/>
        </w:rPr>
        <w:t>” means each of the following indications for a Gene Therapy Product: (a) Named Indications and (b) Exclusive Option Indications added to the Agreement through exercise of an Exclusive Indication Option. “Indication” shall not include indications for which a Research Program SRA has not been timely executed pursuant to Section 2.2.1, an indication for which a Research Program has expired pursuant to Section 2.2.5, nor an indication that has failed as provided in Section 2.8.</w:t>
      </w:r>
    </w:p>
    <w:p>
      <w:pPr>
        <w:spacing w:after="0" w:line="85" w:lineRule="exact"/>
        <w:rPr>
          <w:sz w:val="20"/>
          <w:szCs w:val="20"/>
          <w:color w:val="auto"/>
        </w:rPr>
      </w:pPr>
    </w:p>
    <w:p>
      <w:pPr>
        <w:ind w:left="540" w:right="340" w:hanging="539"/>
        <w:spacing w:after="0" w:line="289" w:lineRule="auto"/>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intellectual property, data, results, pre-clinical and clinical protocols and study data, chemical structures, chemical sequences, information, inventions, formulas, techniques, methods, processes, procedures and developments. “Know-How” does not include Licensor Patent Rights claiming any of the foregoing. “Know-How” also does not include Licensed Materials.</w:t>
      </w:r>
    </w:p>
    <w:p>
      <w:pPr>
        <w:spacing w:after="0" w:line="63"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laws, statutes, rules, regulations, ordinances and other pronouncements having the binding effect of law of any Governmental Body.</w:t>
      </w:r>
    </w:p>
    <w:p>
      <w:pPr>
        <w:spacing w:after="0" w:line="67"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color w:val="auto"/>
        </w:rPr>
        <w:t>1.24</w:t>
        <w:tab/>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Know-How and Licensed Material that is Controlled by Licensor and (a) developed by the Gray Laboratory as of the Effective Date or (b) developed in the Gray Laboratory under the Research Program or pursuant to any Research Program SRA (including but not limited to all Research Results), and in each case (a) and (b) is necessary or reasonably useful to develop, make, use, sell, offer for sale or import a Licensed Product for the Indication in the Field of Use.</w:t>
      </w:r>
    </w:p>
    <w:p>
      <w:pPr>
        <w:spacing w:after="0" w:line="85"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Arial" w:cs="Arial" w:eastAsia="Arial" w:hAnsi="Arial"/>
          <w:sz w:val="18"/>
          <w:szCs w:val="18"/>
          <w:color w:val="auto"/>
        </w:rPr>
        <w:t>1.25</w:t>
        <w:tab/>
        <w:t>“</w:t>
      </w:r>
      <w:r>
        <w:rPr>
          <w:rFonts w:ascii="Arial" w:cs="Arial" w:eastAsia="Arial" w:hAnsi="Arial"/>
          <w:sz w:val="18"/>
          <w:szCs w:val="18"/>
          <w:b w:val="1"/>
          <w:bCs w:val="1"/>
          <w:color w:val="auto"/>
        </w:rPr>
        <w:t>Licensed Material</w:t>
      </w:r>
      <w:r>
        <w:rPr>
          <w:rFonts w:ascii="Arial" w:cs="Arial" w:eastAsia="Arial" w:hAnsi="Arial"/>
          <w:sz w:val="18"/>
          <w:szCs w:val="18"/>
          <w:color w:val="auto"/>
        </w:rPr>
        <w:t>” means biological or chemical materials that are Controlled by Licensor and necessary or useful to exploit the licenses granted to Licensee under the Agreement as of the Effective Date or at any time during the Term. Such biological and chemical materials include cell lines (including but not limited to the [***]), viral seed stocks, product-specific reference materials, platform or product specific assay controls and reagents that are not available as standard commercial items.</w:t>
      </w:r>
    </w:p>
    <w:p>
      <w:pPr>
        <w:spacing w:after="0" w:line="85"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means any (a) process, service or method covered by a Valid Claim or Licensed Know-How, or whose use or practice would, absent the License, constitute an infringement, inducement of infringement or contributory infringement of any Valid Claim, or would infringe a Valid Claim once issued (“</w:t>
      </w:r>
      <w:r>
        <w:rPr>
          <w:rFonts w:ascii="Arial" w:cs="Arial" w:eastAsia="Arial" w:hAnsi="Arial"/>
          <w:sz w:val="17"/>
          <w:szCs w:val="17"/>
          <w:b w:val="1"/>
          <w:bCs w:val="1"/>
          <w:color w:val="auto"/>
        </w:rPr>
        <w:t>Method</w:t>
      </w:r>
      <w:r>
        <w:rPr>
          <w:rFonts w:ascii="Arial" w:cs="Arial" w:eastAsia="Arial" w:hAnsi="Arial"/>
          <w:sz w:val="17"/>
          <w:szCs w:val="17"/>
          <w:color w:val="auto"/>
        </w:rPr>
        <w:t>”); (b) article, composition, apparatus, substance, chemical or any other material covered by a Valid Claim or Licensed Know-How, or whose manufacture, import, use offer for sale or sale would, absent the License, constitute an infringement, inducement of infringement or contributory infringement of any Valid Claim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12" w:name="page413"/>
    <w:bookmarkEnd w:id="412"/>
    <w:p>
      <w:pPr>
        <w:ind w:left="5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infringe a Valid Claim once issued; or (c) service, article, composition, apparatus, chemical, substance or any other material made, used or sold by or utilizing or practicing a Method, or (d) any product that incorporates or makes use or is made through use of material Licensed Know-How.</w:t>
      </w:r>
    </w:p>
    <w:p>
      <w:pPr>
        <w:spacing w:after="0" w:line="85" w:lineRule="exact"/>
        <w:rPr>
          <w:sz w:val="20"/>
          <w:szCs w:val="20"/>
          <w:color w:val="auto"/>
        </w:rPr>
      </w:pPr>
    </w:p>
    <w:p>
      <w:pPr>
        <w:ind w:left="540" w:right="120" w:hanging="539"/>
        <w:spacing w:after="0" w:line="256" w:lineRule="auto"/>
        <w:tabs>
          <w:tab w:leader="none" w:pos="520" w:val="left"/>
        </w:tabs>
        <w:rPr>
          <w:sz w:val="20"/>
          <w:szCs w:val="20"/>
          <w:color w:val="auto"/>
        </w:rPr>
      </w:pPr>
      <w:r>
        <w:rPr>
          <w:rFonts w:ascii="Arial" w:cs="Arial" w:eastAsia="Arial" w:hAnsi="Arial"/>
          <w:sz w:val="18"/>
          <w:szCs w:val="18"/>
          <w:color w:val="auto"/>
        </w:rPr>
        <w:t>1.27</w:t>
        <w:tab/>
        <w:t>“</w:t>
      </w:r>
      <w:r>
        <w:rPr>
          <w:rFonts w:ascii="Arial" w:cs="Arial" w:eastAsia="Arial" w:hAnsi="Arial"/>
          <w:sz w:val="18"/>
          <w:szCs w:val="18"/>
          <w:b w:val="1"/>
          <w:bCs w:val="1"/>
          <w:color w:val="auto"/>
        </w:rPr>
        <w:t>Licensor Patent Rights</w:t>
      </w:r>
      <w:r>
        <w:rPr>
          <w:rFonts w:ascii="Arial" w:cs="Arial" w:eastAsia="Arial" w:hAnsi="Arial"/>
          <w:sz w:val="18"/>
          <w:szCs w:val="18"/>
          <w:color w:val="auto"/>
        </w:rPr>
        <w:t xml:space="preserve">” means (a) the Patent Rights listed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Controlled by Licensor as of the Effective Date, (b) the Patent Rights Controlled by Licensor that are necessary or useful for the development of Licensed Products, including but not limited to Patent Rights that claim a method of manufacturing or producing a component contained in a Licensed Product; (c) any Patent Rights Controlled by Licensor and conceived and reduced to practice by Dr. Gray, Dr. Minassian or the Gray Laboratory in the conduct of a Research Program; (d) any Patent Rights conceived and reduced to practice in the conduct of a Research Program SRA; (e) any corresponding foreign Patent Rights to the foregoing.</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Named Indications</w:t>
      </w:r>
      <w:r>
        <w:rPr>
          <w:rFonts w:ascii="Arial" w:cs="Arial" w:eastAsia="Arial" w:hAnsi="Arial"/>
          <w:sz w:val="17"/>
          <w:szCs w:val="17"/>
          <w:color w:val="auto"/>
        </w:rPr>
        <w:t>” means: [***].</w:t>
      </w:r>
    </w:p>
    <w:p>
      <w:pPr>
        <w:spacing w:after="0" w:line="131" w:lineRule="exact"/>
        <w:rPr>
          <w:sz w:val="20"/>
          <w:szCs w:val="20"/>
          <w:color w:val="auto"/>
        </w:rPr>
      </w:pPr>
    </w:p>
    <w:p>
      <w:pPr>
        <w:ind w:left="540" w:hanging="539"/>
        <w:spacing w:after="0" w:line="258" w:lineRule="auto"/>
        <w:tabs>
          <w:tab w:leader="none" w:pos="520"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b w:val="1"/>
          <w:bCs w:val="1"/>
          <w:color w:val="auto"/>
        </w:rPr>
        <w:t>Patent Rights</w:t>
      </w:r>
      <w:r>
        <w:rPr>
          <w:rFonts w:ascii="Arial" w:cs="Arial" w:eastAsia="Arial" w:hAnsi="Arial"/>
          <w:sz w:val="18"/>
          <w:szCs w:val="18"/>
          <w:color w:val="auto"/>
        </w:rPr>
        <w:t>” means (a) patents and patent applications, together with any unlisted patents and patent applications claiming priority thereto, and any continuations, continuations-in-part, reissues, reexamination certificates, substitutions, divisionals, supplementary protection certificates, renewals, registrations, extensions including all confirmations, revalidations, patents of addition, PCTs, and pediatric exclusivity periods and all foreign counterparts thereof, and any patents issued or issuing with respect to any of the foregoing and (b) all official correspondence relating to the foregoing.</w:t>
      </w:r>
    </w:p>
    <w:p>
      <w:pPr>
        <w:spacing w:after="0" w:line="89"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Arial" w:cs="Arial" w:eastAsia="Arial" w:hAnsi="Arial"/>
          <w:sz w:val="18"/>
          <w:szCs w:val="18"/>
          <w:color w:val="auto"/>
        </w:rPr>
        <w:t>1.30</w:t>
        <w:tab/>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67" w:lineRule="exact"/>
        <w:rPr>
          <w:sz w:val="20"/>
          <w:szCs w:val="20"/>
          <w:color w:val="auto"/>
        </w:rPr>
      </w:pPr>
    </w:p>
    <w:p>
      <w:pPr>
        <w:jc w:val="both"/>
        <w:ind w:left="540" w:right="20" w:hanging="539"/>
        <w:spacing w:after="0" w:line="281" w:lineRule="auto"/>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1 Study</w:t>
      </w:r>
      <w:r>
        <w:rPr>
          <w:rFonts w:ascii="Arial" w:cs="Arial" w:eastAsia="Arial" w:hAnsi="Arial"/>
          <w:sz w:val="17"/>
          <w:szCs w:val="17"/>
          <w:color w:val="auto"/>
        </w:rPr>
        <w:t>” means a clinical study of a drug candidate in human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drug candidate can be administered to patients as a single agent or in combination with other investigational or marketed agents.</w:t>
      </w:r>
    </w:p>
    <w:p>
      <w:pPr>
        <w:spacing w:after="0" w:line="70" w:lineRule="exact"/>
        <w:rPr>
          <w:sz w:val="20"/>
          <w:szCs w:val="20"/>
          <w:color w:val="auto"/>
        </w:rPr>
      </w:pPr>
    </w:p>
    <w:p>
      <w:pPr>
        <w:jc w:val="both"/>
        <w:ind w:left="540" w:right="40" w:hanging="539"/>
        <w:spacing w:after="0" w:line="282" w:lineRule="auto"/>
        <w:tabs>
          <w:tab w:leader="none" w:pos="520"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b w:val="1"/>
          <w:bCs w:val="1"/>
          <w:color w:val="auto"/>
        </w:rPr>
        <w:t>Phase 1/2 Study</w:t>
      </w:r>
      <w:r>
        <w:rPr>
          <w:rFonts w:ascii="Arial" w:cs="Arial" w:eastAsia="Arial" w:hAnsi="Arial"/>
          <w:sz w:val="18"/>
          <w:szCs w:val="18"/>
          <w:color w:val="auto"/>
        </w:rPr>
        <w:t>” means a clinical study of a drug candidate in diseased human patients that satisfies the requirements of a Phase 1 Study and a Phase 2 Study.</w:t>
      </w:r>
    </w:p>
    <w:p>
      <w:pPr>
        <w:spacing w:after="0" w:line="67" w:lineRule="exact"/>
        <w:rPr>
          <w:sz w:val="20"/>
          <w:szCs w:val="20"/>
          <w:color w:val="auto"/>
        </w:rPr>
      </w:pPr>
    </w:p>
    <w:p>
      <w:pPr>
        <w:ind w:left="540" w:right="120" w:hanging="539"/>
        <w:spacing w:after="0" w:line="273" w:lineRule="auto"/>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2 Study</w:t>
      </w:r>
      <w:r>
        <w:rPr>
          <w:rFonts w:ascii="Arial" w:cs="Arial" w:eastAsia="Arial" w:hAnsi="Arial"/>
          <w:sz w:val="17"/>
          <w:szCs w:val="17"/>
          <w:color w:val="auto"/>
        </w:rPr>
        <w:t>” means a clinical study of a drug candidate in human patients with the primary objective of characterizing its activity in a specific disease state as well as generating more detailed safety, tolerability, and pharmacokinetics information as described in 21 C.F.R. §312.21(b), or a comparable clinical study prescribed by the relevant Regulatory Authority in a country other than the United States including a human clinical study that is also designed to satisfy the requirements of 21 C.F.R. §312.21(a) or corresponding foreign regulations and is subsequently optimized or expanded to satisfy the requirements of 21 C.F.R. §312.21(b) (or corresponding foreign regulations) or otherwise to enable a Phase 3 Clinical Study (e.g., a phase 1/2 trial). The relevant drug candidate may be administered to patients as a single agent or in combination with other investigational or marketed agents.</w:t>
      </w:r>
    </w:p>
    <w:p>
      <w:pPr>
        <w:spacing w:after="0" w:line="7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1.34</w:t>
        <w:tab/>
        <w:t>“</w:t>
      </w:r>
      <w:r>
        <w:rPr>
          <w:rFonts w:ascii="Arial" w:cs="Arial" w:eastAsia="Arial" w:hAnsi="Arial"/>
          <w:sz w:val="18"/>
          <w:szCs w:val="18"/>
          <w:b w:val="1"/>
          <w:bCs w:val="1"/>
          <w:color w:val="auto"/>
        </w:rPr>
        <w:t>Phase 3 Study</w:t>
      </w:r>
      <w:r>
        <w:rPr>
          <w:rFonts w:ascii="Arial" w:cs="Arial" w:eastAsia="Arial" w:hAnsi="Arial"/>
          <w:sz w:val="18"/>
          <w:szCs w:val="18"/>
          <w:color w:val="auto"/>
        </w:rPr>
        <w:t>” means a clinical study of a drug candidate in human patients that incorporates accepted endpoints for confirmation of statistical significance of efficacy and safety with the aim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13" w:name="page414"/>
    <w:bookmarkEnd w:id="413"/>
    <w:p>
      <w:pPr>
        <w:ind w:left="54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obtain Regulatory Approval in any country as described in 21 C.F.R. 312.21(c), or a comparable clinical study prescribed by the relevant Regulatory Authority in a country other than the United States. The relevant drug candidate may be administered to patients as a single agent or in combination with other investigational or marketed agents.</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Quarterly Payment Deadline</w:t>
      </w:r>
      <w:r>
        <w:rPr>
          <w:rFonts w:ascii="Arial" w:cs="Arial" w:eastAsia="Arial" w:hAnsi="Arial"/>
          <w:sz w:val="16"/>
          <w:szCs w:val="16"/>
          <w:color w:val="auto"/>
        </w:rPr>
        <w:t>” means the day that is sixty (60) days after the last day of any particular Contract Quarter.</w:t>
      </w:r>
    </w:p>
    <w:p>
      <w:pPr>
        <w:spacing w:after="0" w:line="131"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Arial" w:cs="Arial" w:eastAsia="Arial" w:hAnsi="Arial"/>
          <w:sz w:val="18"/>
          <w:szCs w:val="18"/>
          <w:color w:val="auto"/>
        </w:rPr>
        <w:t>1.36</w:t>
        <w:tab/>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product in any regulatory jurisdiction, approval from the applicable Regulatory Authority sufficient for the manufacture, distribution, use, marketing and sale of such pharmaceutical product in such jurisdiction in accordance with Laws. “Regulatory Approval” does not include authorization by a Regulatory Authority to conduct named patient, compassionate use or other similar activities.</w:t>
      </w:r>
    </w:p>
    <w:p>
      <w:pPr>
        <w:spacing w:after="0" w:line="85" w:lineRule="exact"/>
        <w:rPr>
          <w:sz w:val="20"/>
          <w:szCs w:val="20"/>
          <w:color w:val="auto"/>
        </w:rPr>
      </w:pPr>
    </w:p>
    <w:p>
      <w:pPr>
        <w:jc w:val="both"/>
        <w:ind w:left="540" w:right="180" w:hanging="539"/>
        <w:spacing w:after="0" w:line="266" w:lineRule="auto"/>
        <w:tabs>
          <w:tab w:leader="none" w:pos="520" w:val="left"/>
        </w:tabs>
        <w:rPr>
          <w:sz w:val="20"/>
          <w:szCs w:val="20"/>
          <w:color w:val="auto"/>
        </w:rPr>
      </w:pPr>
      <w:r>
        <w:rPr>
          <w:rFonts w:ascii="Arial" w:cs="Arial" w:eastAsia="Arial" w:hAnsi="Arial"/>
          <w:sz w:val="18"/>
          <w:szCs w:val="18"/>
          <w:color w:val="auto"/>
        </w:rPr>
        <w:t>1.37</w:t>
        <w:tab/>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Body, including the FDA or EMA, or any successor agency thereto, that has responsibility for granting any licenses or approvals or granting pricing or reimbursement approvals necessary for the marketing and sale of a pharmaceutical product in any country.</w:t>
      </w:r>
    </w:p>
    <w:p>
      <w:pPr>
        <w:spacing w:after="0" w:line="81" w:lineRule="exact"/>
        <w:rPr>
          <w:sz w:val="20"/>
          <w:szCs w:val="20"/>
          <w:color w:val="auto"/>
        </w:rPr>
      </w:pPr>
    </w:p>
    <w:p>
      <w:pPr>
        <w:ind w:left="540" w:right="320" w:hanging="539"/>
        <w:spacing w:after="0" w:line="266" w:lineRule="auto"/>
        <w:tabs>
          <w:tab w:leader="none" w:pos="520" w:val="left"/>
        </w:tabs>
        <w:rPr>
          <w:sz w:val="20"/>
          <w:szCs w:val="20"/>
          <w:color w:val="auto"/>
        </w:rPr>
      </w:pPr>
      <w:r>
        <w:rPr>
          <w:rFonts w:ascii="Arial" w:cs="Arial" w:eastAsia="Arial" w:hAnsi="Arial"/>
          <w:sz w:val="18"/>
          <w:szCs w:val="18"/>
          <w:color w:val="auto"/>
        </w:rPr>
        <w:t>1.38</w:t>
        <w:tab/>
        <w:t>“</w:t>
      </w:r>
      <w:r>
        <w:rPr>
          <w:rFonts w:ascii="Arial" w:cs="Arial" w:eastAsia="Arial" w:hAnsi="Arial"/>
          <w:sz w:val="18"/>
          <w:szCs w:val="18"/>
          <w:b w:val="1"/>
          <w:bCs w:val="1"/>
          <w:color w:val="auto"/>
        </w:rPr>
        <w:t>Research Program SRAs</w:t>
      </w:r>
      <w:r>
        <w:rPr>
          <w:rFonts w:ascii="Arial" w:cs="Arial" w:eastAsia="Arial" w:hAnsi="Arial"/>
          <w:sz w:val="18"/>
          <w:szCs w:val="18"/>
          <w:color w:val="auto"/>
        </w:rPr>
        <w:t>” means the sponsored research agreements setting forth the Parties’ roles and responsibilities for an Indication in furtherance of the Research Program, and as may be amended from time to time with written approval of the JSC or (to the extent provided herein) both Parties.</w:t>
      </w:r>
    </w:p>
    <w:p>
      <w:pPr>
        <w:spacing w:after="0" w:line="81"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Arial" w:cs="Arial" w:eastAsia="Arial" w:hAnsi="Arial"/>
          <w:sz w:val="18"/>
          <w:szCs w:val="18"/>
          <w:color w:val="auto"/>
        </w:rPr>
        <w:t>1.39</w:t>
        <w:tab/>
        <w:t>“</w:t>
      </w:r>
      <w:r>
        <w:rPr>
          <w:rFonts w:ascii="Arial" w:cs="Arial" w:eastAsia="Arial" w:hAnsi="Arial"/>
          <w:sz w:val="18"/>
          <w:szCs w:val="18"/>
          <w:b w:val="1"/>
          <w:bCs w:val="1"/>
          <w:color w:val="auto"/>
        </w:rPr>
        <w:t>Research Program</w:t>
      </w:r>
      <w:r>
        <w:rPr>
          <w:rFonts w:ascii="Arial" w:cs="Arial" w:eastAsia="Arial" w:hAnsi="Arial"/>
          <w:sz w:val="18"/>
          <w:szCs w:val="18"/>
          <w:color w:val="auto"/>
        </w:rPr>
        <w:t>” means the pre-clinical discovery, research, and development program of Licensed Products in the Field of Use for the Indications funded by Licensee and to be conducted by the Parties hereunder.</w:t>
      </w:r>
    </w:p>
    <w:p>
      <w:pPr>
        <w:spacing w:after="0" w:line="67" w:lineRule="exact"/>
        <w:rPr>
          <w:sz w:val="20"/>
          <w:szCs w:val="20"/>
          <w:color w:val="auto"/>
        </w:rPr>
      </w:pPr>
    </w:p>
    <w:p>
      <w:pPr>
        <w:ind w:left="540" w:hanging="539"/>
        <w:spacing w:after="0" w:line="298" w:lineRule="auto"/>
        <w:tabs>
          <w:tab w:leader="none" w:pos="5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Results</w:t>
      </w:r>
      <w:r>
        <w:rPr>
          <w:rFonts w:ascii="Arial" w:cs="Arial" w:eastAsia="Arial" w:hAnsi="Arial"/>
          <w:sz w:val="16"/>
          <w:szCs w:val="16"/>
          <w:color w:val="auto"/>
        </w:rPr>
        <w:t>” means all any and all ideas, information, inventions, developments, animate and inanimate materials, including live animals, discoveries, software, know-how, methods, techniques, formulae, data, software, processes, methodologies, techniques, biological materials, software and works of authorship, whether patentable or copyrightable, that are first conceived, discovered, developed, reduced to practice, or generated in the performance of the Research Program by the Gray Laboratory, including any unpatentable inventions discovered, developed or conceived in the conduct of the Research Program. Research Results expressly excludes Licensor Patent Rights.</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Person (including any Affiliate) to which a Sublicense is granted pursuant to the terms of Section 3.4.</w:t>
      </w:r>
    </w:p>
    <w:p>
      <w:pPr>
        <w:spacing w:after="0" w:line="131" w:lineRule="exact"/>
        <w:rPr>
          <w:sz w:val="20"/>
          <w:szCs w:val="20"/>
          <w:color w:val="auto"/>
        </w:rPr>
      </w:pPr>
    </w:p>
    <w:p>
      <w:pPr>
        <w:ind w:left="540" w:right="140" w:hanging="539"/>
        <w:spacing w:after="0" w:line="312" w:lineRule="auto"/>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Sublicense Documents</w:t>
      </w:r>
      <w:r>
        <w:rPr>
          <w:rFonts w:ascii="Arial" w:cs="Arial" w:eastAsia="Arial" w:hAnsi="Arial"/>
          <w:sz w:val="17"/>
          <w:szCs w:val="17"/>
          <w:color w:val="auto"/>
        </w:rPr>
        <w:t>” means any and all agreements, amendments or written understandings entered into with a Sublicensee (including any of its Affiliates) that are directly or indirectly related to a Sublicense, Licensor Patent Rights or Licensed Product.</w:t>
      </w:r>
    </w:p>
    <w:p>
      <w:pPr>
        <w:spacing w:after="0" w:line="45"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Arial" w:cs="Arial" w:eastAsia="Arial" w:hAnsi="Arial"/>
          <w:sz w:val="18"/>
          <w:szCs w:val="18"/>
          <w:color w:val="auto"/>
        </w:rPr>
        <w:t>1.43</w:t>
        <w:tab/>
        <w:t>“</w:t>
      </w:r>
      <w:r>
        <w:rPr>
          <w:rFonts w:ascii="Arial" w:cs="Arial" w:eastAsia="Arial" w:hAnsi="Arial"/>
          <w:sz w:val="18"/>
          <w:szCs w:val="18"/>
          <w:b w:val="1"/>
          <w:bCs w:val="1"/>
          <w:color w:val="auto"/>
        </w:rPr>
        <w:t>Tax</w:t>
      </w:r>
      <w:r>
        <w:rPr>
          <w:rFonts w:ascii="Arial" w:cs="Arial" w:eastAsia="Arial" w:hAnsi="Arial"/>
          <w:sz w:val="18"/>
          <w:szCs w:val="18"/>
          <w:color w:val="auto"/>
        </w:rPr>
        <w:t>” means all taxes, duties, fees, premiums, assessments, imposts, levies, rates, withholdings, dues, government contributions and other charges of any kind whatsoever, whether direct or indirect, together with all interest, penalties, fines, additions to tax or other additional amounts, imposed by any Governmental Body.</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Licensor, Licensee or any of their respective Affiliates.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14" w:name="page415"/>
    <w:bookmarkEnd w:id="414"/>
    <w:p>
      <w:pPr>
        <w:ind w:left="540" w:right="14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1.45</w:t>
        <w:tab/>
        <w:t>“</w:t>
      </w:r>
      <w:r>
        <w:rPr>
          <w:rFonts w:ascii="Arial" w:cs="Arial" w:eastAsia="Arial" w:hAnsi="Arial"/>
          <w:sz w:val="18"/>
          <w:szCs w:val="18"/>
          <w:b w:val="1"/>
          <w:bCs w:val="1"/>
          <w:color w:val="auto"/>
        </w:rPr>
        <w:t>Transition Point</w:t>
      </w:r>
      <w:r>
        <w:rPr>
          <w:rFonts w:ascii="Arial" w:cs="Arial" w:eastAsia="Arial" w:hAnsi="Arial"/>
          <w:sz w:val="18"/>
          <w:szCs w:val="18"/>
          <w:color w:val="auto"/>
        </w:rPr>
        <w:t>” or “</w:t>
      </w:r>
      <w:r>
        <w:rPr>
          <w:rFonts w:ascii="Arial" w:cs="Arial" w:eastAsia="Arial" w:hAnsi="Arial"/>
          <w:sz w:val="18"/>
          <w:szCs w:val="18"/>
          <w:b w:val="1"/>
          <w:bCs w:val="1"/>
          <w:color w:val="auto"/>
        </w:rPr>
        <w:t>TP</w:t>
      </w:r>
      <w:r>
        <w:rPr>
          <w:rFonts w:ascii="Arial" w:cs="Arial" w:eastAsia="Arial" w:hAnsi="Arial"/>
          <w:sz w:val="18"/>
          <w:szCs w:val="18"/>
          <w:color w:val="auto"/>
        </w:rPr>
        <w:t>” means on a Licensed Product-by-Licensed Product basis the date on which the IND-enabling studies for such Licensed Product under the Research Program have been completed and immediately prior to filing of the IND, unless otherwise agreed by the Parties.</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its territories and possessions.</w:t>
      </w:r>
    </w:p>
    <w:p>
      <w:pPr>
        <w:spacing w:after="0" w:line="131" w:lineRule="exact"/>
        <w:rPr>
          <w:sz w:val="20"/>
          <w:szCs w:val="20"/>
          <w:color w:val="auto"/>
        </w:rPr>
      </w:pPr>
    </w:p>
    <w:p>
      <w:pPr>
        <w:ind w:left="540" w:hanging="539"/>
        <w:spacing w:after="0" w:line="274" w:lineRule="auto"/>
        <w:tabs>
          <w:tab w:leader="none" w:pos="5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claim of (a) an issued and unexpired patent in Licensor Patent Rights which claim has not been revoked or held unenforceable or invalid by a decision of a court of governmental agency of competent jurisdiction from which no further appeal can be taken or has been taken within the time allowed for appeal, and has not been abandoned, disclaimed, denied or admitted to be invalid or unenforceable through reissue or disclaimer; or (b) a pending patent application (that has been pending for no more than [***] from the filing date of such application) that is included in Licensor Patent Rights which was filed and is being prosecuted in good faith, and has not been abandoned or finally disallowed without the possibility of appeal or re-filing of the application.</w:t>
      </w:r>
    </w:p>
    <w:p>
      <w:pPr>
        <w:spacing w:after="0" w:line="7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b w:val="1"/>
          <w:bCs w:val="1"/>
          <w:color w:val="auto"/>
        </w:rPr>
        <w:t>Other Terms</w:t>
      </w:r>
      <w:r>
        <w:rPr>
          <w:rFonts w:ascii="Arial" w:cs="Arial" w:eastAsia="Arial" w:hAnsi="Arial"/>
          <w:sz w:val="16"/>
          <w:szCs w:val="16"/>
          <w:color w:val="auto"/>
        </w:rPr>
        <w:t>. The definition of each of the following terms is set forth in the section of the Agreement indicated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28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189"/>
        </w:trPr>
        <w:tc>
          <w:tcPr>
            <w:tcW w:w="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Agreement</w:t>
            </w:r>
          </w:p>
        </w:tc>
        <w:tc>
          <w:tcPr>
            <w:tcW w:w="2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Bankruptcy Action</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7"/>
              </w:rPr>
              <w:t>10.3.2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7.1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CTA</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1"/>
              </w:rPr>
              <w:t>1.21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Disclosing Party</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7.1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28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Exclusive Indication Option</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2.5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Exclusive Option Period</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2.5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Failed Indication</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2.8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Initial Financing</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5.7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Infringement Notice</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6.3.1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Joint Steering Committee (“JSC”)</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2.9.1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License</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3.1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Licensee</w:t>
            </w:r>
          </w:p>
        </w:tc>
        <w:tc>
          <w:tcPr>
            <w:tcW w:w="28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Limited Exclusivity Covenant</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2.7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Licensor</w:t>
            </w:r>
          </w:p>
        </w:tc>
        <w:tc>
          <w:tcPr>
            <w:tcW w:w="28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Licensor Indemnitees</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9.1.1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Method</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1"/>
              </w:rPr>
              <w:t>1.27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Ongoing Patent Costs</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6.2.2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Party or Parties</w:t>
            </w:r>
          </w:p>
        </w:tc>
        <w:tc>
          <w:tcPr>
            <w:tcW w:w="28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Patent Costs</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6.2.1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Patent Counsel</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6.1.1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Progress Report</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5.8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Prosecution Request</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6.1.2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Receiving Party</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5"/>
              </w:rPr>
              <w:t>7.1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Research Term</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2.2.1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R&amp;D Extension Term</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2.2.1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Sublicense</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3.4.1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System</w:t>
            </w:r>
          </w:p>
        </w:tc>
        <w:tc>
          <w:tcPr>
            <w:tcW w:w="28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Term</w:t>
            </w:r>
          </w:p>
        </w:tc>
        <w:tc>
          <w:tcPr>
            <w:tcW w:w="4400" w:type="dxa"/>
            <w:vAlign w:val="bottom"/>
            <w:gridSpan w:val="2"/>
          </w:tcPr>
          <w:p>
            <w:pPr>
              <w:jc w:val="center"/>
              <w:ind w:left="2750"/>
              <w:spacing w:after="0"/>
              <w:rPr>
                <w:sz w:val="20"/>
                <w:szCs w:val="20"/>
                <w:color w:val="auto"/>
              </w:rPr>
            </w:pPr>
            <w:r>
              <w:rPr>
                <w:rFonts w:ascii="Arial" w:cs="Arial" w:eastAsia="Arial" w:hAnsi="Arial"/>
                <w:sz w:val="18"/>
                <w:szCs w:val="18"/>
                <w:color w:val="auto"/>
                <w:w w:val="91"/>
              </w:rPr>
              <w:t>10.1</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UT Southwestern</w:t>
            </w:r>
          </w:p>
        </w:tc>
        <w:tc>
          <w:tcPr>
            <w:tcW w:w="28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Introductory Clause</w:t>
            </w:r>
          </w:p>
        </w:tc>
      </w:tr>
      <w:tr>
        <w:trPr>
          <w:trHeight w:val="365"/>
        </w:trPr>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40" w:type="dxa"/>
            <w:vAlign w:val="bottom"/>
          </w:tcPr>
          <w:p>
            <w:pPr>
              <w:jc w:val="right"/>
              <w:ind w:right="2050"/>
              <w:spacing w:after="0"/>
              <w:rPr>
                <w:sz w:val="20"/>
                <w:szCs w:val="20"/>
                <w:color w:val="auto"/>
              </w:rPr>
            </w:pPr>
            <w:r>
              <w:rPr>
                <w:rFonts w:ascii="Arial" w:cs="Arial" w:eastAsia="Arial" w:hAnsi="Arial"/>
                <w:sz w:val="18"/>
                <w:szCs w:val="18"/>
                <w:color w:val="auto"/>
              </w:rPr>
              <w:t>6</w:t>
            </w:r>
          </w:p>
        </w:tc>
        <w:tc>
          <w:tcPr>
            <w:tcW w:w="156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COLLABORATION PROGRAMS; GOVERNANCE</w:t>
      </w:r>
    </w:p>
    <w:p>
      <w:pPr>
        <w:spacing w:after="0" w:line="112" w:lineRule="exact"/>
        <w:rPr>
          <w:sz w:val="20"/>
          <w:szCs w:val="20"/>
          <w:color w:val="auto"/>
        </w:rPr>
      </w:pPr>
    </w:p>
    <w:p>
      <w:pPr>
        <w:ind w:left="540" w:hanging="539"/>
        <w:spacing w:after="0" w:line="272"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Overall Project</w:t>
      </w:r>
      <w:r>
        <w:rPr>
          <w:rFonts w:ascii="Arial" w:cs="Arial" w:eastAsia="Arial" w:hAnsi="Arial"/>
          <w:sz w:val="17"/>
          <w:szCs w:val="17"/>
          <w:color w:val="auto"/>
        </w:rPr>
        <w:t>. The Parties desire to collaborate with respect to the pre-clinical development of Licensed Products, as set forth in more detail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Article 2, in each Indication within the Field of Use, with the goal of identifying one or more Licensed Products for clinical development and commercialization in each Indication. As more specifically outlined herein, Licensor will be responsible, in consultation with Licensee through the JSC, for preclinical development activities, including IND-enabling studies, GMP clinical manufacturing, natural history studies, FIH Clinical Studies and compassionate use studies (if authorized by Licensee) and all activities set forth in Research Program SRAs that are not identified therein as Licensee’s responsibilities. Licensee will be responsible for regulatory strategy and operations, clinical development, GMP commercial scale manufacture, process development, commercial development, business development, corporate infrastructure and commercialization of all Licensed Product.</w:t>
      </w:r>
    </w:p>
    <w:p>
      <w:pPr>
        <w:spacing w:after="0" w:line="3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Research</w:t>
      </w:r>
      <w:r>
        <w:rPr>
          <w:rFonts w:ascii="Arial" w:cs="Arial" w:eastAsia="Arial" w:hAnsi="Arial"/>
          <w:sz w:val="15"/>
          <w:szCs w:val="15"/>
          <w:color w:val="auto"/>
        </w:rPr>
        <w:t>.</w:t>
      </w:r>
    </w:p>
    <w:p>
      <w:pPr>
        <w:spacing w:after="0" w:line="131" w:lineRule="exact"/>
        <w:rPr>
          <w:sz w:val="20"/>
          <w:szCs w:val="20"/>
          <w:color w:val="auto"/>
        </w:rPr>
      </w:pPr>
    </w:p>
    <w:p>
      <w:pPr>
        <w:ind w:left="1180" w:right="80" w:hanging="647"/>
        <w:spacing w:after="0" w:line="289" w:lineRule="auto"/>
        <w:tabs>
          <w:tab w:leader="none" w:pos="11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During the period of [***] following the Effective Date (“</w:t>
      </w:r>
      <w:r>
        <w:rPr>
          <w:rFonts w:ascii="Arial" w:cs="Arial" w:eastAsia="Arial" w:hAnsi="Arial"/>
          <w:sz w:val="16"/>
          <w:szCs w:val="16"/>
          <w:b w:val="1"/>
          <w:bCs w:val="1"/>
          <w:color w:val="auto"/>
        </w:rPr>
        <w:t>Research Term</w:t>
      </w:r>
      <w:r>
        <w:rPr>
          <w:rFonts w:ascii="Arial" w:cs="Arial" w:eastAsia="Arial" w:hAnsi="Arial"/>
          <w:sz w:val="16"/>
          <w:szCs w:val="16"/>
          <w:color w:val="auto"/>
        </w:rPr>
        <w:t>”), Licensee shall provide research and development funding to Licensor pursuant to Research Program SRAs to fund the Research Program for each Indication. The Parties shall enter into one or more Research Program SRAs within [***] after the Effective Date to fund Licensor’s pre-clinical research and development activities for the [***] Named Indications. The Parties shall enter into additional Research Program SRAs as additional Indications are added to the Research Program as provided in this Agreement. Licensee shall also provide early discovery funding to Licensor pursuant to Research Program SRAs to fund early discovery research for each of the Exclusive Option Indications within [***] after the Effective Date. Upon mutual agreement of the Parties, the Research Term may be extended for additional terms with respect to one or more Indications or Exclusive Option Indications as determined by the Parties (“</w:t>
      </w:r>
      <w:r>
        <w:rPr>
          <w:rFonts w:ascii="Arial" w:cs="Arial" w:eastAsia="Arial" w:hAnsi="Arial"/>
          <w:sz w:val="16"/>
          <w:szCs w:val="16"/>
          <w:b w:val="1"/>
          <w:bCs w:val="1"/>
          <w:color w:val="auto"/>
        </w:rPr>
        <w:t>R&amp;D Extension Term,</w:t>
      </w:r>
      <w:r>
        <w:rPr>
          <w:rFonts w:ascii="Arial" w:cs="Arial" w:eastAsia="Arial" w:hAnsi="Arial"/>
          <w:sz w:val="16"/>
          <w:szCs w:val="16"/>
          <w:color w:val="auto"/>
        </w:rPr>
        <w:t>” which shall extend the Research Term) on terms to be mutually agreed to by the Parties. For clarity, neither Party is under any obligation to extend the Research Term.</w:t>
      </w:r>
    </w:p>
    <w:p>
      <w:pPr>
        <w:spacing w:after="0" w:line="76" w:lineRule="exact"/>
        <w:rPr>
          <w:sz w:val="20"/>
          <w:szCs w:val="20"/>
          <w:color w:val="auto"/>
        </w:rPr>
      </w:pPr>
    </w:p>
    <w:p>
      <w:pPr>
        <w:jc w:val="center"/>
        <w:ind w:left="500"/>
        <w:spacing w:after="0"/>
        <w:tabs>
          <w:tab w:leader="none" w:pos="2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Licensor shall conduct the Research Program in accordance with the Research Program SRAs and the other terms and conditions of this</w:t>
      </w:r>
    </w:p>
    <w:p>
      <w:pPr>
        <w:spacing w:after="0" w:line="23" w:lineRule="exact"/>
        <w:rPr>
          <w:sz w:val="20"/>
          <w:szCs w:val="20"/>
          <w:color w:val="auto"/>
        </w:rPr>
      </w:pPr>
    </w:p>
    <w:p>
      <w:pPr>
        <w:ind w:left="1180" w:right="440"/>
        <w:spacing w:after="0" w:line="255" w:lineRule="auto"/>
        <w:rPr>
          <w:sz w:val="20"/>
          <w:szCs w:val="20"/>
          <w:color w:val="auto"/>
        </w:rPr>
      </w:pPr>
      <w:r>
        <w:rPr>
          <w:rFonts w:ascii="Arial" w:cs="Arial" w:eastAsia="Arial" w:hAnsi="Arial"/>
          <w:sz w:val="18"/>
          <w:szCs w:val="18"/>
          <w:color w:val="auto"/>
        </w:rPr>
        <w:t>Agreement. Except as otherwise provided in this Agreement or any of the Research Program SRAs by specific reference to the applicable provision of this Agreement, if any provision contained in this Agreement conflicts with any provision in any Research Program SRA, the provision contained in this Agreement shall govern and control.</w:t>
      </w:r>
    </w:p>
    <w:p>
      <w:pPr>
        <w:spacing w:after="0" w:line="95" w:lineRule="exact"/>
        <w:rPr>
          <w:sz w:val="20"/>
          <w:szCs w:val="20"/>
          <w:color w:val="auto"/>
        </w:rPr>
      </w:pPr>
    </w:p>
    <w:p>
      <w:pPr>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2.2.3</w:t>
        <w:tab/>
        <w:t>The JSC shall review the Research Program SRAs at least [***] per Calendar Year. Subject to compliance with Section 2.3.2, the JSC may amend the Research Program plans executed under a Research Program SRA at any time, including amendments to include further activities, including corresponding revisions to the budget provided for therein.</w:t>
      </w:r>
    </w:p>
    <w:p>
      <w:pPr>
        <w:spacing w:after="0" w:line="89" w:lineRule="exact"/>
        <w:rPr>
          <w:sz w:val="20"/>
          <w:szCs w:val="20"/>
          <w:color w:val="auto"/>
        </w:rPr>
      </w:pPr>
    </w:p>
    <w:p>
      <w:pPr>
        <w:ind w:left="1180" w:right="100" w:hanging="647"/>
        <w:spacing w:after="0" w:line="277" w:lineRule="auto"/>
        <w:tabs>
          <w:tab w:leader="none" w:pos="1160" w:val="left"/>
        </w:tabs>
        <w:rPr>
          <w:sz w:val="20"/>
          <w:szCs w:val="20"/>
          <w:color w:val="auto"/>
        </w:rPr>
      </w:pPr>
      <w:r>
        <w:rPr>
          <w:rFonts w:ascii="Arial" w:cs="Arial" w:eastAsia="Arial" w:hAnsi="Arial"/>
          <w:sz w:val="18"/>
          <w:szCs w:val="18"/>
          <w:color w:val="auto"/>
        </w:rPr>
        <w:t>2.2.4</w:t>
        <w:tab/>
        <w:t>Licensor shall maintain records of the results of the Research Program in sufficient detail and in good scientific manner appropriate for patent purposes to properly reflect 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416" w:name="page417"/>
    <w:bookmarkEnd w:id="416"/>
    <w:p>
      <w:pPr>
        <w:ind w:left="1200"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work done and results achieved; provided that maintenance of records in accordance with Licensor’s policies shall be deemed to satisfy this requirement. Licensor will provide task-based, scientific reports of the progress and results of the Research Program on a schedule to be agreed to in writing by the Parties. Upon Licensee’s reasonable request, Licensor will disclose and deliver Research Results to Licensee, and will provide Licensee with such additional information and technical assistance as may be reasonably needed for Licensee to interpret and use such Research Results. Licensor shall maintain records of the use of the funds provided by Licensee pursuant to a Research Program SRA as specified in the applicable Research Program SRA and shall make such records available to Licensee upon reasonable notice during Licensor’s normal business hours.</w:t>
      </w:r>
    </w:p>
    <w:p>
      <w:pPr>
        <w:spacing w:after="0" w:line="83" w:lineRule="exact"/>
        <w:rPr>
          <w:sz w:val="20"/>
          <w:szCs w:val="20"/>
          <w:color w:val="auto"/>
        </w:rPr>
      </w:pPr>
    </w:p>
    <w:p>
      <w:pPr>
        <w:ind w:left="1180" w:right="240" w:hanging="647"/>
        <w:spacing w:after="0" w:line="255" w:lineRule="auto"/>
        <w:tabs>
          <w:tab w:leader="none" w:pos="1160" w:val="left"/>
        </w:tabs>
        <w:rPr>
          <w:sz w:val="20"/>
          <w:szCs w:val="20"/>
          <w:color w:val="auto"/>
        </w:rPr>
      </w:pPr>
      <w:r>
        <w:rPr>
          <w:rFonts w:ascii="Arial" w:cs="Arial" w:eastAsia="Arial" w:hAnsi="Arial"/>
          <w:sz w:val="18"/>
          <w:szCs w:val="18"/>
          <w:color w:val="auto"/>
        </w:rPr>
        <w:t>2.2.5</w:t>
        <w:tab/>
        <w:t>The Parties hereby acknowledge that there are inherent uncertainties involved in the research and development of products and such uncertainties form part of the business risk involved in undertaking the Research Program. Accordingly, in the event that upon completion of the portion of a Research Program SRA associated with a specific Indication, the Parties do not develop or identify a suitable candidate to propose as a development candidate for that Indication, then the corresponding portion of the Research Program shall expire, and neither Party shall have any further obligations to the other under that portion of the Research Program or the applicable Research Program SRA.</w:t>
      </w:r>
    </w:p>
    <w:p>
      <w:pPr>
        <w:spacing w:after="0" w:line="98" w:lineRule="exact"/>
        <w:rPr>
          <w:sz w:val="20"/>
          <w:szCs w:val="20"/>
          <w:color w:val="auto"/>
        </w:rPr>
      </w:pPr>
    </w:p>
    <w:p>
      <w:pPr>
        <w:ind w:left="1180" w:right="20" w:hanging="647"/>
        <w:spacing w:after="0" w:line="284" w:lineRule="auto"/>
        <w:tabs>
          <w:tab w:leader="none" w:pos="11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Each Party will have the right to engage Third Party subcontractors to perform certain of its obligations under this Agreement; provided that Licensor’s right to engage Third Party subcontractors is subject to Licensee’s prior written consent. Any subcontractor to be engaged by a Party to perform a Party’s obligations set forth in the Agreement must meet the qualifications typically required by such Party for the performance of work similar in scope and complexity to the subcontracted activity and will enter into such Party’s standard nondisclosure agreement consistent with such Party’s standard practices which agreement shall be as least as protective as the nondisclosure obligations set forth herein. Any Party engaging a subcontractor hereunder will remain responsible and obligated for such activities and will not grant rights to such subcontractor that interfere with the rights of the other Party under this Agreement. Furthermore, if Licensor engages any subcontractor to perform any activities that would otherwise be performed by Dr. Gray,</w:t>
      </w:r>
    </w:p>
    <w:p>
      <w:pPr>
        <w:spacing w:after="0" w:line="1" w:lineRule="exact"/>
        <w:rPr>
          <w:sz w:val="20"/>
          <w:szCs w:val="20"/>
          <w:color w:val="auto"/>
        </w:rPr>
      </w:pPr>
    </w:p>
    <w:p>
      <w:pPr>
        <w:jc w:val="both"/>
        <w:ind w:left="1180" w:right="360"/>
        <w:spacing w:after="0" w:line="255" w:lineRule="auto"/>
        <w:rPr>
          <w:sz w:val="20"/>
          <w:szCs w:val="20"/>
          <w:color w:val="auto"/>
        </w:rPr>
      </w:pPr>
      <w:r>
        <w:rPr>
          <w:rFonts w:ascii="Arial" w:cs="Arial" w:eastAsia="Arial" w:hAnsi="Arial"/>
          <w:sz w:val="18"/>
          <w:szCs w:val="18"/>
          <w:color w:val="auto"/>
        </w:rPr>
        <w:t>Dr. Minassian or the Gray Laboratory, any research, development, or other innovation performed or made by such subcontractor in connection with that engagement will, for purposes of this Agreement, be deemed to have been performed or made by Dr. Gray, the Gray Laboratory or Dr. Minassian, as the case may be.</w:t>
      </w:r>
    </w:p>
    <w:p>
      <w:pPr>
        <w:spacing w:after="0" w:line="3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Funding of the Research Program</w:t>
      </w:r>
      <w:r>
        <w:rPr>
          <w:rFonts w:ascii="Arial" w:cs="Arial" w:eastAsia="Arial" w:hAnsi="Arial"/>
          <w:sz w:val="16"/>
          <w:szCs w:val="16"/>
          <w:color w:val="auto"/>
        </w:rPr>
        <w:t>.</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Each Research Program SRA entered into between the Parties shall include a budget for the applicable portion of the Research Program.</w:t>
      </w:r>
    </w:p>
    <w:p>
      <w:pPr>
        <w:spacing w:after="0" w:line="131" w:lineRule="exact"/>
        <w:rPr>
          <w:sz w:val="20"/>
          <w:szCs w:val="20"/>
          <w:color w:val="auto"/>
        </w:rPr>
      </w:pPr>
    </w:p>
    <w:p>
      <w:pPr>
        <w:ind w:left="1180" w:right="420" w:hanging="647"/>
        <w:spacing w:after="0" w:line="259" w:lineRule="auto"/>
        <w:tabs>
          <w:tab w:leader="none" w:pos="1160" w:val="left"/>
        </w:tabs>
        <w:rPr>
          <w:sz w:val="20"/>
          <w:szCs w:val="20"/>
          <w:color w:val="auto"/>
        </w:rPr>
      </w:pPr>
      <w:r>
        <w:rPr>
          <w:rFonts w:ascii="Arial" w:cs="Arial" w:eastAsia="Arial" w:hAnsi="Arial"/>
          <w:sz w:val="18"/>
          <w:szCs w:val="18"/>
          <w:color w:val="auto"/>
        </w:rPr>
        <w:t>2.3.2</w:t>
        <w:tab/>
        <w:t>If at any time Licensor determines that it will require additional funds for any Research Program SRA then in effect, it will notify Licensee and provide a good faith estimate and itemized budget of the additional amount. If the Parties cannot agree on an updated budget for the applicable Research Program SRA, the Parties shall submit the dispute to the JSC for review and determination. Notwithstanding the foregoing: [***].</w:t>
      </w:r>
    </w:p>
    <w:p>
      <w:pPr>
        <w:spacing w:after="0" w:line="88" w:lineRule="exact"/>
        <w:rPr>
          <w:sz w:val="20"/>
          <w:szCs w:val="20"/>
          <w:color w:val="auto"/>
        </w:rPr>
      </w:pPr>
    </w:p>
    <w:p>
      <w:pPr>
        <w:ind w:left="540" w:right="80" w:hanging="539"/>
        <w:spacing w:after="0" w:line="347"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Unavailability of Dr. Steven Gray or Dr. Minassian</w:t>
      </w:r>
      <w:r>
        <w:rPr>
          <w:rFonts w:ascii="Arial" w:cs="Arial" w:eastAsia="Arial" w:hAnsi="Arial"/>
          <w:sz w:val="16"/>
          <w:szCs w:val="16"/>
          <w:color w:val="auto"/>
        </w:rPr>
        <w:t>. If either Steven Gray, PhD or Berge Minassian, MD becomes unavailable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may propose another member of its faculty who is acceptable to Licensee, to oversee the performance of Licensor’s portion of</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17" w:name="page418"/>
    <w:bookmarkEnd w:id="417"/>
    <w:p>
      <w:pPr>
        <w:ind w:left="540"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Research Program. If Licensee agrees to the proposed substitution, the Parties will amend the definition of the Gray Laboratory (effective on a going-forward basis) to describe the group within Licensor that will be continuing the Research Program. If a substitute faculty member (or faculty members) acceptable to Licensee has not been agreed upon within [***] after Steven Gray, PhD or Berge Minassian MD is no longer available to oversee and support the performance of the Research Program, or if the Parties have not agreed upon an amendment to the definition of the Gray Laboratory within that same time period, Licensee may transfer all outstanding Research Program SRAs to Licensee.</w:t>
      </w:r>
    </w:p>
    <w:p>
      <w:pPr>
        <w:spacing w:after="0" w:line="63" w:lineRule="exact"/>
        <w:rPr>
          <w:sz w:val="20"/>
          <w:szCs w:val="20"/>
          <w:color w:val="auto"/>
        </w:rPr>
      </w:pPr>
    </w:p>
    <w:p>
      <w:pPr>
        <w:ind w:left="540" w:hanging="539"/>
        <w:spacing w:after="0" w:line="289"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Exclusive Indication Option</w:t>
      </w:r>
      <w:r>
        <w:rPr>
          <w:rFonts w:ascii="Arial" w:cs="Arial" w:eastAsia="Arial" w:hAnsi="Arial"/>
          <w:sz w:val="16"/>
          <w:szCs w:val="16"/>
          <w:color w:val="auto"/>
        </w:rPr>
        <w:t>. For a period of [***] following the Effective Date (“</w:t>
      </w:r>
      <w:r>
        <w:rPr>
          <w:rFonts w:ascii="Arial" w:cs="Arial" w:eastAsia="Arial" w:hAnsi="Arial"/>
          <w:sz w:val="16"/>
          <w:szCs w:val="16"/>
          <w:b w:val="1"/>
          <w:bCs w:val="1"/>
          <w:color w:val="auto"/>
        </w:rPr>
        <w:t>Exclusive Option Period</w:t>
      </w:r>
      <w:r>
        <w:rPr>
          <w:rFonts w:ascii="Arial" w:cs="Arial" w:eastAsia="Arial" w:hAnsi="Arial"/>
          <w:sz w:val="16"/>
          <w:szCs w:val="16"/>
          <w:color w:val="auto"/>
        </w:rPr>
        <w:t>”), Licensee will have the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include in the Research Program any of the Exclusive Option Indications (“</w:t>
      </w:r>
      <w:r>
        <w:rPr>
          <w:rFonts w:ascii="Arial" w:cs="Arial" w:eastAsia="Arial" w:hAnsi="Arial"/>
          <w:sz w:val="16"/>
          <w:szCs w:val="16"/>
          <w:b w:val="1"/>
          <w:bCs w:val="1"/>
          <w:color w:val="auto"/>
        </w:rPr>
        <w:t>Exclusive Indication Option</w:t>
      </w:r>
      <w:r>
        <w:rPr>
          <w:rFonts w:ascii="Arial" w:cs="Arial" w:eastAsia="Arial" w:hAnsi="Arial"/>
          <w:sz w:val="16"/>
          <w:szCs w:val="16"/>
          <w:color w:val="auto"/>
        </w:rPr>
        <w:t>”). Licensee may exercise its Exclusive Indication Option to add any number of the Exclusive Option Indications during the Exclusive Option Period by providing written notice to Licensor, and may add one or more of the Exclusive Option Indications at different times during such period. Within [***] following notice of the exercise of such Exclusive Indication Option, the Licensor will develop and propose a work plan and budget for the preclinical and development costs through IND-enabling studies to be conducted at Licensor for a Licensed Product for such Exclusive Option Indication(s) to supplement any previously conducted research under a Research Program SRA. Within [***] of Licensee’s receipt of such budget and work plan, Licensee shall decide whether to proceed with the exercise of such Exclusive Indication Option. If Licensee proceeds, Licensee shall provide written notice to Licensor and the Parties shall enter into an amendment to the current Research Program SRA for such Exclusive Option Indication for such additional work and such Exclusive Option Indication shall become an Indication under the terms of this Agreement.</w:t>
      </w:r>
    </w:p>
    <w:p>
      <w:pPr>
        <w:spacing w:after="0" w:line="66"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Natural History Studies</w:t>
      </w:r>
      <w:r>
        <w:rPr>
          <w:rFonts w:ascii="Arial" w:cs="Arial" w:eastAsia="Arial" w:hAnsi="Arial"/>
          <w:sz w:val="18"/>
          <w:szCs w:val="18"/>
          <w:color w:val="auto"/>
        </w:rPr>
        <w:t>. During the Research Term, Licensor, through the Gray Laboratory, may conduct natural history studies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subject to the Parties’ having reached mutual agreement upon the terms of the funding, rights to the data arising from such studies and other terms in a Research Program SRA.</w:t>
      </w:r>
    </w:p>
    <w:p>
      <w:pPr>
        <w:spacing w:after="0" w:line="81" w:lineRule="exact"/>
        <w:rPr>
          <w:sz w:val="20"/>
          <w:szCs w:val="20"/>
          <w:color w:val="auto"/>
        </w:rPr>
      </w:pPr>
    </w:p>
    <w:p>
      <w:pPr>
        <w:ind w:left="540" w:hanging="539"/>
        <w:spacing w:after="0" w:line="298" w:lineRule="auto"/>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Exclusivity</w:t>
      </w:r>
      <w:r>
        <w:rPr>
          <w:rFonts w:ascii="Arial" w:cs="Arial" w:eastAsia="Arial" w:hAnsi="Arial"/>
          <w:sz w:val="16"/>
          <w:szCs w:val="16"/>
          <w:color w:val="auto"/>
        </w:rPr>
        <w:t>. On an Indication-by-Indication basis during the Research Term for such Indication until the earlier of (a) transfer of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to Licensee and (b) completion of all tasks for such Indication by Licensee under the Research Program SRA, for such Indication plus an additional [***] after achievement of TP for such Indication, Licensor will ensure that Dr. Gray, Dr. Minassian, and the Gray Laboratory shall not collaborate with any commercial Third Party to develop another Gene Therapy Product for the same Indication (as such Indication is updated throughout the agreement when additional indications are included pursuant to this Agreement) (“</w:t>
      </w:r>
      <w:r>
        <w:rPr>
          <w:rFonts w:ascii="Arial" w:cs="Arial" w:eastAsia="Arial" w:hAnsi="Arial"/>
          <w:sz w:val="16"/>
          <w:szCs w:val="16"/>
          <w:b w:val="1"/>
          <w:bCs w:val="1"/>
          <w:color w:val="auto"/>
        </w:rPr>
        <w:t>Limited Exclusivity Covenant</w:t>
      </w:r>
      <w:r>
        <w:rPr>
          <w:rFonts w:ascii="Arial" w:cs="Arial" w:eastAsia="Arial" w:hAnsi="Arial"/>
          <w:sz w:val="16"/>
          <w:szCs w:val="16"/>
          <w:color w:val="auto"/>
        </w:rPr>
        <w:t>”).</w:t>
      </w:r>
    </w:p>
    <w:p>
      <w:pPr>
        <w:spacing w:after="0" w:line="59"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b w:val="1"/>
          <w:bCs w:val="1"/>
          <w:color w:val="auto"/>
        </w:rPr>
        <w:t>Program Failure</w:t>
      </w:r>
      <w:r>
        <w:rPr>
          <w:rFonts w:ascii="Arial" w:cs="Arial" w:eastAsia="Arial" w:hAnsi="Arial"/>
          <w:sz w:val="17"/>
          <w:szCs w:val="17"/>
          <w:color w:val="auto"/>
        </w:rPr>
        <w:t>. In the event that the portion of the Research Program associated with any Licensed Product for any Indication fails at a key</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point during the Research Program, as such failure is objectively defined in the work plan for such project, and a decision is subsequently made by the Licensee to discontinue further development of the program for such Indication (“</w:t>
      </w:r>
      <w:r>
        <w:rPr>
          <w:rFonts w:ascii="Arial" w:cs="Arial" w:eastAsia="Arial" w:hAnsi="Arial"/>
          <w:sz w:val="17"/>
          <w:szCs w:val="17"/>
          <w:b w:val="1"/>
          <w:bCs w:val="1"/>
          <w:color w:val="auto"/>
        </w:rPr>
        <w:t>Failed Indication</w:t>
      </w:r>
      <w:r>
        <w:rPr>
          <w:rFonts w:ascii="Arial" w:cs="Arial" w:eastAsia="Arial" w:hAnsi="Arial"/>
          <w:sz w:val="17"/>
          <w:szCs w:val="17"/>
          <w:color w:val="auto"/>
        </w:rPr>
        <w:t>”), any remaining funding allocated for the Failed Indication program pursuant to a Research Program SRA (minus wind-down and non-cancellable expenses) will be promptly returned to Licensee or allocated as set forth in the Research Program SRA.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18" w:name="page419"/>
    <w:bookmarkEnd w:id="418"/>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w:t>
      </w:r>
      <w:r>
        <w:rPr>
          <w:sz w:val="20"/>
          <w:szCs w:val="20"/>
          <w:color w:val="auto"/>
        </w:rPr>
        <w:tab/>
      </w:r>
      <w:r>
        <w:rPr>
          <w:rFonts w:ascii="Arial" w:cs="Arial" w:eastAsia="Arial" w:hAnsi="Arial"/>
          <w:sz w:val="16"/>
          <w:szCs w:val="16"/>
          <w:b w:val="1"/>
          <w:bCs w:val="1"/>
          <w:color w:val="auto"/>
        </w:rPr>
        <w:t>Governance</w:t>
      </w:r>
      <w:r>
        <w:rPr>
          <w:rFonts w:ascii="Arial" w:cs="Arial" w:eastAsia="Arial" w:hAnsi="Arial"/>
          <w:sz w:val="16"/>
          <w:szCs w:val="16"/>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131" w:lineRule="exact"/>
        <w:rPr>
          <w:sz w:val="20"/>
          <w:szCs w:val="20"/>
          <w:color w:val="auto"/>
        </w:rPr>
      </w:pPr>
    </w:p>
    <w:p>
      <w:pPr>
        <w:ind w:left="1740" w:right="40" w:hanging="543"/>
        <w:spacing w:after="0" w:line="256" w:lineRule="auto"/>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Formation; Composition</w:t>
      </w:r>
      <w:r>
        <w:rPr>
          <w:rFonts w:ascii="Arial" w:cs="Arial" w:eastAsia="Arial" w:hAnsi="Arial"/>
          <w:sz w:val="18"/>
          <w:szCs w:val="18"/>
          <w:color w:val="auto"/>
        </w:rPr>
        <w:t>. Within [***] of the Effective Date, the Parties will establish a joint steering committee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comprised of [***] representatives from each Party with sufficient seniority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Party to make decisions arising within the scope of the JSC’s responsibilities. The JSC may change its size from time to time by mutual consent of its members, provided that the JSC will consist at all times of an equal number of representatives of each of Licensor and Licensee. Each Party may replace its JSC representatives at any time upon written notice to the other Party.</w:t>
      </w:r>
    </w:p>
    <w:p>
      <w:pPr>
        <w:spacing w:after="0" w:line="96" w:lineRule="exact"/>
        <w:rPr>
          <w:rFonts w:ascii="Arial" w:cs="Arial" w:eastAsia="Arial" w:hAnsi="Arial"/>
          <w:sz w:val="18"/>
          <w:szCs w:val="18"/>
          <w:color w:val="auto"/>
        </w:rPr>
      </w:pPr>
    </w:p>
    <w:p>
      <w:pPr>
        <w:ind w:left="1740" w:hanging="543"/>
        <w:spacing w:after="0"/>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JSC will:</w:t>
      </w:r>
    </w:p>
    <w:p>
      <w:pPr>
        <w:spacing w:after="0" w:line="117" w:lineRule="exact"/>
        <w:rPr>
          <w:rFonts w:ascii="Arial" w:cs="Arial" w:eastAsia="Arial" w:hAnsi="Arial"/>
          <w:sz w:val="18"/>
          <w:szCs w:val="18"/>
          <w:color w:val="auto"/>
        </w:rPr>
      </w:pPr>
    </w:p>
    <w:p>
      <w:pPr>
        <w:ind w:left="2320" w:hanging="341"/>
        <w:spacing w:after="0"/>
        <w:tabs>
          <w:tab w:leader="none" w:pos="232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oversee the Research Program, including but not limited to any Research Program SRAs entered into between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103" w:lineRule="exact"/>
        <w:rPr>
          <w:sz w:val="20"/>
          <w:szCs w:val="20"/>
          <w:color w:val="auto"/>
        </w:rPr>
      </w:pPr>
    </w:p>
    <w:p>
      <w:pPr>
        <w:ind w:left="2380" w:hanging="401"/>
        <w:spacing w:after="0"/>
        <w:tabs>
          <w:tab w:leader="none" w:pos="23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approve (once acceptable to the JSC) any amendments to Research Program SRAs [***], subject to clause (b)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2.3.2;</w:t>
      </w:r>
    </w:p>
    <w:p>
      <w:pPr>
        <w:spacing w:after="0" w:line="103" w:lineRule="exact"/>
        <w:rPr>
          <w:sz w:val="20"/>
          <w:szCs w:val="20"/>
          <w:color w:val="auto"/>
        </w:rPr>
      </w:pPr>
    </w:p>
    <w:p>
      <w:pPr>
        <w:ind w:left="2420" w:hanging="441"/>
        <w:spacing w:after="0"/>
        <w:tabs>
          <w:tab w:leader="none" w:pos="24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determine whether Licensor or Licensee will contract directly with subcontractors;</w:t>
      </w:r>
    </w:p>
    <w:p>
      <w:pPr>
        <w:spacing w:after="0" w:line="117" w:lineRule="exact"/>
        <w:rPr>
          <w:rFonts w:ascii="Arial" w:cs="Arial" w:eastAsia="Arial" w:hAnsi="Arial"/>
          <w:sz w:val="18"/>
          <w:szCs w:val="18"/>
          <w:color w:val="auto"/>
        </w:rPr>
      </w:pPr>
    </w:p>
    <w:p>
      <w:pPr>
        <w:ind w:left="2420" w:hanging="441"/>
        <w:spacing w:after="0"/>
        <w:tabs>
          <w:tab w:leader="none" w:pos="24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use good-faith efforts to resolve any disagreement between the Parties relating to the Research Program and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Program SRA;</w:t>
      </w:r>
    </w:p>
    <w:p>
      <w:pPr>
        <w:spacing w:after="0" w:line="103" w:lineRule="exact"/>
        <w:rPr>
          <w:sz w:val="20"/>
          <w:szCs w:val="20"/>
          <w:color w:val="auto"/>
        </w:rPr>
      </w:pPr>
    </w:p>
    <w:p>
      <w:pPr>
        <w:ind w:left="2360" w:hanging="381"/>
        <w:spacing w:after="0"/>
        <w:tabs>
          <w:tab w:leader="none" w:pos="23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establish such additional subcommittees as it deems necessary to achieve the objectives and intent of the Research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Program; and</w:t>
      </w:r>
    </w:p>
    <w:p>
      <w:pPr>
        <w:spacing w:after="0" w:line="103" w:lineRule="exact"/>
        <w:rPr>
          <w:sz w:val="20"/>
          <w:szCs w:val="20"/>
          <w:color w:val="auto"/>
        </w:rPr>
      </w:pPr>
    </w:p>
    <w:p>
      <w:pPr>
        <w:ind w:right="460" w:firstLine="1979"/>
        <w:spacing w:after="0" w:line="277" w:lineRule="auto"/>
        <w:tabs>
          <w:tab w:leader="none" w:pos="242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use good-faith efforts to resolve other issues presented to it by either Party pertaining to the administration of the Research Program or other matters covered by this Agreement.</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For clarity, once a development candidate for an Indication is named, the JSC shall meet and determine if Licensee or Licensor is better suited to continue with the drug development process and if any obligations of a Party pursuant to an SRA should be transferred to the other Party in order to develop such development candidate more efficiently.</w:t>
      </w:r>
    </w:p>
    <w:p>
      <w:pPr>
        <w:spacing w:after="0" w:line="89" w:lineRule="exact"/>
        <w:rPr>
          <w:sz w:val="20"/>
          <w:szCs w:val="20"/>
          <w:color w:val="auto"/>
        </w:rPr>
      </w:pPr>
    </w:p>
    <w:p>
      <w:pPr>
        <w:ind w:left="1740" w:right="160" w:hanging="543"/>
        <w:spacing w:after="0" w:line="263" w:lineRule="auto"/>
        <w:tabs>
          <w:tab w:leader="none" w:pos="174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Each Party shall keep the JSC informed on the progress of the activities under the Research Program then currently ongoing under a Research Program SRA, including delivering quarterly written updates of its progress under any Research Program SRAs to the JSC at least [***] in advance of each JSC meeting.</w:t>
      </w:r>
    </w:p>
    <w:p>
      <w:pPr>
        <w:spacing w:after="0" w:line="89" w:lineRule="exact"/>
        <w:rPr>
          <w:rFonts w:ascii="Arial" w:cs="Arial" w:eastAsia="Arial" w:hAnsi="Arial"/>
          <w:sz w:val="18"/>
          <w:szCs w:val="18"/>
          <w:color w:val="auto"/>
        </w:rPr>
      </w:pPr>
    </w:p>
    <w:p>
      <w:pPr>
        <w:ind w:left="1740" w:hanging="543"/>
        <w:spacing w:after="0" w:line="291" w:lineRule="auto"/>
        <w:tabs>
          <w:tab w:leader="none" w:pos="174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During the performance of Research Program SRAs by Licensor, the JSC will meet at least quarterly. Following the completion of Licensor’s performance of the Research Program SRAs, the Parties may agree to meet to discuss items previously addressed by the JSC, but the JSC shall no longer meet for such Indication. The JSC may meet in person, by videoconference or by teleconference. Notwithstanding the foregoing, at least [***] meetings per Calendar Year will be in person unless the parties mutually agree in writing to waive such requirement. In-person JSC meetings will be held at locations at Licensor’s facilities in Dallas. Meetings of the JSC will be effective only if all representatives of each Party are present or participating in such meeting. The JSC shall keep accurate minutes of its deliberations which shall record all proposed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19" w:name="page420"/>
    <w:bookmarkEnd w:id="419"/>
    <w:p>
      <w:pPr>
        <w:jc w:val="both"/>
        <w:ind w:left="17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decisions and all actions recommended or taken. The secretary of the JSC (as appointed by the members of the JSC) shall be responsible for the preparation of draft minutes. Draft minutes shall be sent to all members of the JSC within [***] after each meeting and shall be approved, if appropriate, at the next meeting. All records of the JSC shall at all times be available to both Licensor and Licensee.</w:t>
      </w:r>
    </w:p>
    <w:p>
      <w:pPr>
        <w:spacing w:after="0" w:line="92" w:lineRule="exact"/>
        <w:rPr>
          <w:sz w:val="20"/>
          <w:szCs w:val="20"/>
          <w:color w:val="auto"/>
        </w:rPr>
      </w:pPr>
    </w:p>
    <w:p>
      <w:pPr>
        <w:ind w:left="1740" w:right="40" w:hanging="543"/>
        <w:spacing w:after="0" w:line="293" w:lineRule="auto"/>
        <w:tabs>
          <w:tab w:leader="none" w:pos="174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Decision-Making</w:t>
      </w:r>
      <w:r>
        <w:rPr>
          <w:rFonts w:ascii="Arial" w:cs="Arial" w:eastAsia="Arial" w:hAnsi="Arial"/>
          <w:sz w:val="16"/>
          <w:szCs w:val="16"/>
          <w:color w:val="auto"/>
        </w:rPr>
        <w:t>. The representatives from each Party on the JSC will have, collectively, one (1) vote on behalf of that Party. If the JSC is unable to reach agreement on any issue or matter for which it is responsible, such disputed matter will be escalated to Licensee’s Chief Executive Officer and Licensor or their designee, for discussion in good faith. In the event that after escalation the Parties are unable to reach agreement with respect to the disputed matter, then [***]. If Licensee assumes performance of Licensor’s obligations under a Research Program SRA with respect to a particular Indication, Licensee shall pay Licensor all costs through the date of transition to Licensee per the budget of the Research Program SRA for such Indication.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LICENSES AND OTHER RIGHTS</w:t>
      </w:r>
    </w:p>
    <w:p>
      <w:pPr>
        <w:spacing w:after="0" w:line="112"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Grant of License</w:t>
      </w:r>
      <w:r>
        <w:rPr>
          <w:rFonts w:ascii="Arial" w:cs="Arial" w:eastAsia="Arial" w:hAnsi="Arial"/>
          <w:sz w:val="18"/>
          <w:szCs w:val="18"/>
          <w:color w:val="auto"/>
        </w:rPr>
        <w:t>. Subject to the terms and conditions of this Agreement, Licensor hereby grants to Licensee and its Affiliates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color w:val="auto"/>
        </w:rPr>
        <w:t>License</w:t>
      </w:r>
      <w:r>
        <w:rPr>
          <w:rFonts w:ascii="Arial" w:cs="Arial" w:eastAsia="Arial" w:hAnsi="Arial"/>
          <w:sz w:val="18"/>
          <w:szCs w:val="18"/>
          <w:color w:val="auto"/>
        </w:rPr>
        <w:t>”):</w:t>
      </w:r>
    </w:p>
    <w:p>
      <w:pPr>
        <w:spacing w:after="0" w:line="71" w:lineRule="exact"/>
        <w:rPr>
          <w:sz w:val="20"/>
          <w:szCs w:val="20"/>
          <w:color w:val="auto"/>
        </w:rPr>
      </w:pPr>
    </w:p>
    <w:p>
      <w:pPr>
        <w:ind w:left="1180" w:right="40" w:hanging="647"/>
        <w:spacing w:after="0" w:line="263" w:lineRule="auto"/>
        <w:tabs>
          <w:tab w:leader="none" w:pos="1160" w:val="left"/>
        </w:tabs>
        <w:rPr>
          <w:sz w:val="20"/>
          <w:szCs w:val="20"/>
          <w:color w:val="auto"/>
        </w:rPr>
      </w:pPr>
      <w:r>
        <w:rPr>
          <w:rFonts w:ascii="Arial" w:cs="Arial" w:eastAsia="Arial" w:hAnsi="Arial"/>
          <w:sz w:val="18"/>
          <w:szCs w:val="18"/>
          <w:color w:val="auto"/>
        </w:rPr>
        <w:t>3.1.1</w:t>
        <w:tab/>
        <w:t>an exclusive, worldwide, royalty-free, right and license (with the right to sublicense through multiple tiers, subject to the provisions of Section 3.4), under Licensor Patent Rights to make, have made, use, sell, offer for sale and import Licensed Products for the Indications in the Field of Use during the Term; and</w:t>
      </w:r>
    </w:p>
    <w:p>
      <w:pPr>
        <w:spacing w:after="0" w:line="89" w:lineRule="exact"/>
        <w:rPr>
          <w:sz w:val="20"/>
          <w:szCs w:val="20"/>
          <w:color w:val="auto"/>
        </w:rPr>
      </w:pPr>
    </w:p>
    <w:p>
      <w:pPr>
        <w:ind w:left="1180" w:right="80" w:hanging="647"/>
        <w:spacing w:after="0" w:line="259" w:lineRule="auto"/>
        <w:tabs>
          <w:tab w:leader="none" w:pos="1160" w:val="left"/>
        </w:tabs>
        <w:rPr>
          <w:sz w:val="20"/>
          <w:szCs w:val="20"/>
          <w:color w:val="auto"/>
        </w:rPr>
      </w:pPr>
      <w:r>
        <w:rPr>
          <w:rFonts w:ascii="Arial" w:cs="Arial" w:eastAsia="Arial" w:hAnsi="Arial"/>
          <w:sz w:val="18"/>
          <w:szCs w:val="18"/>
          <w:color w:val="auto"/>
        </w:rPr>
        <w:t>3.1.2</w:t>
        <w:tab/>
        <w:t>a non-exclusive, world-wide, royalty-free, right and license (with the right to sublicense through multiple tiers subject to the provisions of Section 3.4), under Licensed Know-How and Licensed Materials (and Licensor’s intellectual property rights therein) to use and practice the same in order to make, have made, use, sell, offer for sale and import Licensed Products for the Indications in the Field of Use during the Term.</w:t>
      </w:r>
    </w:p>
    <w:p>
      <w:pPr>
        <w:spacing w:after="0" w:line="88" w:lineRule="exact"/>
        <w:rPr>
          <w:sz w:val="20"/>
          <w:szCs w:val="20"/>
          <w:color w:val="auto"/>
        </w:rPr>
      </w:pPr>
    </w:p>
    <w:p>
      <w:pPr>
        <w:ind w:left="540" w:right="40" w:hanging="539"/>
        <w:spacing w:after="0" w:line="298" w:lineRule="auto"/>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Retained Rights</w:t>
      </w:r>
      <w:r>
        <w:rPr>
          <w:rFonts w:ascii="Arial" w:cs="Arial" w:eastAsia="Arial" w:hAnsi="Arial"/>
          <w:sz w:val="16"/>
          <w:szCs w:val="16"/>
          <w:color w:val="auto"/>
        </w:rPr>
        <w:t>. Notwithstanding the License, Licensor retains the right under Licensor Patent Rights to: (a) conduct educational,</w:t>
      </w:r>
      <w:r>
        <w:rPr>
          <w:rFonts w:ascii="Arial" w:cs="Arial" w:eastAsia="Arial" w:hAnsi="Arial"/>
          <w:sz w:val="16"/>
          <w:szCs w:val="16"/>
          <w:b w:val="1"/>
          <w:bCs w:val="1"/>
          <w:color w:val="auto"/>
        </w:rPr>
        <w:t xml:space="preserve"> </w:t>
      </w:r>
      <w:r>
        <w:rPr>
          <w:rFonts w:ascii="Arial" w:cs="Arial" w:eastAsia="Arial" w:hAnsi="Arial"/>
          <w:sz w:val="16"/>
          <w:szCs w:val="16"/>
          <w:color w:val="auto"/>
        </w:rPr>
        <w:t>non-commercial research, clinical activities and patient care activities itself, including, but not limited to sponsored research, and (b) authorize non-commercial Third Parties to conduct educational, non-commercial research and clinical activities and patient care activities; provided that in all cases clinical research may not be conducted with a specific vector and transgene combination once such is identified in a Research Program SRA or by the JSC, except as permitted in a clinical study agreement between the Parties or otherwise permitted by the Licensee.</w:t>
      </w:r>
    </w:p>
    <w:p>
      <w:pPr>
        <w:spacing w:after="0" w:line="59"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U.S. Government Rights</w:t>
      </w:r>
      <w:r>
        <w:rPr>
          <w:rFonts w:ascii="Arial" w:cs="Arial" w:eastAsia="Arial" w:hAnsi="Arial"/>
          <w:sz w:val="16"/>
          <w:szCs w:val="16"/>
          <w:color w:val="auto"/>
        </w:rPr>
        <w:t>. The License is expressly subject to all applicable provisions of any license to the United States Government executed</w:t>
      </w:r>
    </w:p>
    <w:p>
      <w:pPr>
        <w:spacing w:after="0" w:line="27"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by Licensor and is subject to any overriding obligations to the United States Federal Government under 35 U.S.C. §§200-212, applicable governmental implementing regulations, and the U.S. Government sponsored research agreement or other guidelines, including that products that result from intellectual property funded by the United States Federal Government that are sold in the United States be substantially manufactured in the United States.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20" w:name="page421"/>
    <w:bookmarkEnd w:id="42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5"/>
          <w:szCs w:val="15"/>
          <w:b w:val="1"/>
          <w:bCs w:val="1"/>
          <w:color w:val="auto"/>
        </w:rPr>
        <w:t>Grant of Sublicense by Licensee</w:t>
      </w:r>
      <w:r>
        <w:rPr>
          <w:rFonts w:ascii="Arial" w:cs="Arial" w:eastAsia="Arial" w:hAnsi="Arial"/>
          <w:sz w:val="15"/>
          <w:szCs w:val="15"/>
          <w:color w:val="auto"/>
        </w:rPr>
        <w:t>.</w:t>
      </w:r>
    </w:p>
    <w:p>
      <w:pPr>
        <w:spacing w:after="0" w:line="131" w:lineRule="exact"/>
        <w:rPr>
          <w:sz w:val="20"/>
          <w:szCs w:val="20"/>
          <w:color w:val="auto"/>
        </w:rPr>
      </w:pPr>
    </w:p>
    <w:p>
      <w:pPr>
        <w:ind w:left="1180" w:hanging="647"/>
        <w:spacing w:after="0" w:line="261" w:lineRule="auto"/>
        <w:tabs>
          <w:tab w:leader="none" w:pos="1160" w:val="left"/>
        </w:tabs>
        <w:rPr>
          <w:sz w:val="20"/>
          <w:szCs w:val="20"/>
          <w:color w:val="auto"/>
        </w:rPr>
      </w:pPr>
      <w:r>
        <w:rPr>
          <w:rFonts w:ascii="Arial" w:cs="Arial" w:eastAsia="Arial" w:hAnsi="Arial"/>
          <w:sz w:val="18"/>
          <w:szCs w:val="18"/>
          <w:color w:val="auto"/>
        </w:rPr>
        <w:t>3.4.1</w:t>
        <w:tab/>
        <w:t>Licensor grants to Licensee the right to grant sublicenses, in whole or in part, under the License (each, a “</w:t>
      </w:r>
      <w:r>
        <w:rPr>
          <w:rFonts w:ascii="Arial" w:cs="Arial" w:eastAsia="Arial" w:hAnsi="Arial"/>
          <w:sz w:val="18"/>
          <w:szCs w:val="18"/>
          <w:b w:val="1"/>
          <w:bCs w:val="1"/>
          <w:color w:val="auto"/>
        </w:rPr>
        <w:t>Sublicense</w:t>
      </w:r>
      <w:r>
        <w:rPr>
          <w:rFonts w:ascii="Arial" w:cs="Arial" w:eastAsia="Arial" w:hAnsi="Arial"/>
          <w:sz w:val="18"/>
          <w:szCs w:val="18"/>
          <w:color w:val="auto"/>
        </w:rPr>
        <w:t>”) subject to the terms and conditions of this Agreement and specifically this Section 3.4. The term Sublicense shall include any grant of rights under the License by a Sublicensee to any downstream Third Party, such downstream Third Party shall also be considered a Sublicensee for purposes of this Agreement.</w:t>
      </w:r>
    </w:p>
    <w:p>
      <w:pPr>
        <w:spacing w:after="0" w:line="89" w:lineRule="exact"/>
        <w:rPr>
          <w:sz w:val="20"/>
          <w:szCs w:val="20"/>
          <w:color w:val="auto"/>
        </w:rPr>
      </w:pPr>
    </w:p>
    <w:p>
      <w:pPr>
        <w:ind w:left="1180" w:right="220" w:hanging="647"/>
        <w:spacing w:after="0" w:line="275" w:lineRule="auto"/>
        <w:tabs>
          <w:tab w:leader="none" w:pos="11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color w:val="auto"/>
        </w:rPr>
        <w:t>All Sublicenses will (a) be issued in writing, and (b) to the extent applicable, include all of the rights of Licensor and require the performance of obligations due to Licensor (and, if applicable, the U.S. Government under 35 U.S.C. §§200-212). A Sublicense Document shall not grant rights in the Licensor Patent Rights, Licensed Know-How, or Licensed Materials that exceed the scope and rights granted to Licensee hereunder. Sublicensee must agree in writing to be bound by the applicable terms and conditions of this Agreement and shall indicate that Licensor is a third party beneficiary of the Sublicense Document.</w:t>
      </w:r>
    </w:p>
    <w:p>
      <w:pPr>
        <w:spacing w:after="0" w:line="82" w:lineRule="exact"/>
        <w:rPr>
          <w:sz w:val="20"/>
          <w:szCs w:val="20"/>
          <w:color w:val="auto"/>
        </w:rPr>
      </w:pPr>
    </w:p>
    <w:p>
      <w:pPr>
        <w:ind w:left="1180" w:right="360" w:hanging="647"/>
        <w:spacing w:after="0" w:line="259" w:lineRule="auto"/>
        <w:tabs>
          <w:tab w:leader="none" w:pos="1160" w:val="left"/>
        </w:tabs>
        <w:rPr>
          <w:sz w:val="20"/>
          <w:szCs w:val="20"/>
          <w:color w:val="auto"/>
        </w:rPr>
      </w:pPr>
      <w:r>
        <w:rPr>
          <w:rFonts w:ascii="Arial" w:cs="Arial" w:eastAsia="Arial" w:hAnsi="Arial"/>
          <w:sz w:val="18"/>
          <w:szCs w:val="18"/>
          <w:color w:val="auto"/>
        </w:rPr>
        <w:t>3.4.3</w:t>
        <w:tab/>
        <w:t>Licensee shall deliver to Licensor a true, complete, and correct copy of each Sublicense Document within [***] days following the applicable execution, modification, or termination of such Sublicense Document which agreement may be redacted to remove confidential information of sublicensee. If the Sublicense Document is not in English, Licensee shall provide Licensor an accurate English translation in addition to a copy of the original agreement.</w:t>
      </w:r>
    </w:p>
    <w:p>
      <w:pPr>
        <w:spacing w:after="0" w:line="88" w:lineRule="exact"/>
        <w:rPr>
          <w:sz w:val="20"/>
          <w:szCs w:val="20"/>
          <w:color w:val="auto"/>
        </w:rPr>
      </w:pPr>
    </w:p>
    <w:p>
      <w:pPr>
        <w:ind w:left="540" w:right="240" w:hanging="539"/>
        <w:spacing w:after="0" w:line="289"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color w:val="auto"/>
        </w:rPr>
        <w:t xml:space="preserve">Delivery of Know-How. </w:t>
      </w:r>
      <w:r>
        <w:rPr>
          <w:rFonts w:ascii="Arial" w:cs="Arial" w:eastAsia="Arial" w:hAnsi="Arial"/>
          <w:sz w:val="17"/>
          <w:szCs w:val="17"/>
          <w:color w:val="auto"/>
        </w:rPr>
        <w:t>Licensor shall upon Licensee’s reasonable request and at Licensee’s cost and expense, disclose and deliver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and/or Licensed Materials to Licensee, and will provide such technical assistance as may be reasonably needed for Licensee to interpret and use such Licensed Know-How and/or Licensed Materials for the exploitation of the License.</w:t>
      </w:r>
    </w:p>
    <w:p>
      <w:pPr>
        <w:spacing w:after="0" w:line="63" w:lineRule="exact"/>
        <w:rPr>
          <w:sz w:val="20"/>
          <w:szCs w:val="20"/>
          <w:color w:val="auto"/>
        </w:rPr>
      </w:pPr>
    </w:p>
    <w:p>
      <w:pPr>
        <w:ind w:left="540" w:right="40" w:hanging="539"/>
        <w:spacing w:after="0" w:line="281" w:lineRule="auto"/>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b w:val="1"/>
          <w:bCs w:val="1"/>
          <w:color w:val="auto"/>
        </w:rPr>
        <w:t xml:space="preserve">No Implied License. </w:t>
      </w:r>
      <w:r>
        <w:rPr>
          <w:rFonts w:ascii="Arial" w:cs="Arial" w:eastAsia="Arial" w:hAnsi="Arial"/>
          <w:sz w:val="17"/>
          <w:szCs w:val="17"/>
          <w:color w:val="auto"/>
        </w:rPr>
        <w:t>Each Party acknowledges that the rights and licenses granted in this Agreement are limited to the scope expressly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Accordingly, except for the rights expressly granted under this Agreement, no right, title, or interest of any nature whatsoever is granted whether by implication, estoppel, reliance, or otherwise, by either Party to the other Party. All rights with respect to any know-how, patent or other intellectual property right rights that are not specifically granted herein are reserved to the owner thereof.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PROVISIONS</w:t>
      </w:r>
    </w:p>
    <w:p>
      <w:pPr>
        <w:spacing w:after="0" w:line="234" w:lineRule="exact"/>
        <w:rPr>
          <w:sz w:val="20"/>
          <w:szCs w:val="20"/>
          <w:color w:val="auto"/>
        </w:rPr>
      </w:pPr>
    </w:p>
    <w:p>
      <w:pPr>
        <w:ind w:left="540" w:right="100" w:hanging="539"/>
        <w:spacing w:after="0" w:line="271"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Equity Issuance</w:t>
      </w:r>
      <w:r>
        <w:rPr>
          <w:rFonts w:ascii="Arial" w:cs="Arial" w:eastAsia="Arial" w:hAnsi="Arial"/>
          <w:sz w:val="17"/>
          <w:szCs w:val="17"/>
          <w:color w:val="auto"/>
        </w:rPr>
        <w:t>. On the Effective Date, and in partial consideration of the rights and licenses granted to Licensee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Licensee and Licensor shall enter into an Equity Issuance Agreement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Licensee shall issue Licensor shares of common stock of Licensee equal to [***] of the fully-diluted common stock of Licensee with assignable participation rights included in such Equity Issuance Agreement. The calculation of fully-diluted ownership in this Article 4 shall include all shares of common stock outstanding as of the date in question, assuming conversion of all convertible debt and equity and the exercise of all authorized capital stock and equity rights, including options, warrants, calls, rights, commitments, and agreements of any character (including any Simple Agreement for Future Equity) obligating Company to issue, deliver, or sell any shares of capital stock or that Company is obligated or committed to issue, deliver, or sell, including any such capital stock or equity rights that an investor has agreed may be authorized to be issued pursuant to any incentive compensation plan after the closing of a financing.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421" w:name="page422"/>
    <w:bookmarkEnd w:id="421"/>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CLINICAL DEVELOPMENT, REGULATORY AFFAIRS; COMMERCIALIZATION</w:t>
      </w:r>
    </w:p>
    <w:p>
      <w:pPr>
        <w:spacing w:after="0" w:line="234" w:lineRule="exact"/>
        <w:rPr>
          <w:sz w:val="20"/>
          <w:szCs w:val="20"/>
          <w:color w:val="auto"/>
        </w:rPr>
      </w:pPr>
    </w:p>
    <w:p>
      <w:pPr>
        <w:ind w:left="540" w:right="400" w:hanging="539"/>
        <w:spacing w:after="0" w:line="289"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Development</w:t>
      </w:r>
      <w:r>
        <w:rPr>
          <w:rFonts w:ascii="Arial" w:cs="Arial" w:eastAsia="Arial" w:hAnsi="Arial"/>
          <w:sz w:val="17"/>
          <w:szCs w:val="17"/>
          <w:color w:val="auto"/>
        </w:rPr>
        <w:t>. Licensee will be responsible for all post-TP Licensed Product development activities including all clinical testing,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approvals, marketing and commercialization (except for manufacturing of Licensed Products in support of these activities, which may be performed by Licensee and Licensor, pursuant to a mutually agreed upon manufacturing agreement with Licensee).</w:t>
      </w:r>
    </w:p>
    <w:p>
      <w:pPr>
        <w:spacing w:after="0" w:line="63" w:lineRule="exact"/>
        <w:rPr>
          <w:sz w:val="20"/>
          <w:szCs w:val="20"/>
          <w:color w:val="auto"/>
        </w:rPr>
      </w:pPr>
    </w:p>
    <w:p>
      <w:pPr>
        <w:ind w:left="540" w:hanging="539"/>
        <w:spacing w:after="0" w:line="294" w:lineRule="auto"/>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Clinical</w:t>
      </w:r>
      <w:r>
        <w:rPr>
          <w:rFonts w:ascii="Arial" w:cs="Arial" w:eastAsia="Arial" w:hAnsi="Arial"/>
          <w:sz w:val="16"/>
          <w:szCs w:val="16"/>
          <w:color w:val="auto"/>
        </w:rPr>
        <w:t>. Licensee shall be responsible for all clinical activities and lead regulatory interactions for the Licensed Products for each Indication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Without limiting the foregoing, Licensee may, but does not have the obligation, to contract with Licensor to conduct a FIH Clinical Study for each Licensed Product developed under the Research Program. Licensee will consider in good faith using Licensor as a study site for one or more studies where Licensor can reasonably demonstrate that Licensor’s capabilities and costs are reasonably comparable to other potential study sites. If Licensor is willing and able to conduct a Clinical Study for a Licensed Product developed under the Research Program, the Parties will negotiate a separate clinical study agreement and a separate clinical study budget prior to initiation of such Clinical Study.</w:t>
      </w:r>
    </w:p>
    <w:p>
      <w:pPr>
        <w:spacing w:after="0" w:line="65" w:lineRule="exact"/>
        <w:rPr>
          <w:sz w:val="20"/>
          <w:szCs w:val="20"/>
          <w:color w:val="auto"/>
        </w:rPr>
      </w:pPr>
    </w:p>
    <w:p>
      <w:pPr>
        <w:ind w:left="540" w:right="260" w:hanging="539"/>
        <w:spacing w:after="0" w:line="347"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Commercialization</w:t>
      </w:r>
      <w:r>
        <w:rPr>
          <w:rFonts w:ascii="Arial" w:cs="Arial" w:eastAsia="Arial" w:hAnsi="Arial"/>
          <w:sz w:val="16"/>
          <w:szCs w:val="16"/>
          <w:color w:val="auto"/>
        </w:rPr>
        <w:t>. Licensee will have sole responsibility for and sole decision-making over all commercialization activities of the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for the Indications in the Field of Use, and will be solely responsible for the associated costs of such commercialization activities.</w:t>
      </w:r>
    </w:p>
    <w:p>
      <w:pPr>
        <w:spacing w:after="0" w:line="21" w:lineRule="exact"/>
        <w:rPr>
          <w:sz w:val="20"/>
          <w:szCs w:val="20"/>
          <w:color w:val="auto"/>
        </w:rPr>
      </w:pPr>
    </w:p>
    <w:p>
      <w:pPr>
        <w:ind w:left="540" w:right="80" w:hanging="539"/>
        <w:spacing w:after="0" w:line="258"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Manufacturing</w:t>
      </w:r>
      <w:r>
        <w:rPr>
          <w:rFonts w:ascii="Arial" w:cs="Arial" w:eastAsia="Arial" w:hAnsi="Arial"/>
          <w:sz w:val="18"/>
          <w:szCs w:val="18"/>
          <w:color w:val="auto"/>
        </w:rPr>
        <w:t>. Except as otherwise provided in this Agreement or in a Research Program SRA, Licensee will have responsibility for and</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decision-making authority over all manufacturing activities and associated costs for the clinical development (including GMP manufacturing for Clinical Studies, even if performed by Licensor) and commercialization of the Licensed Products in the Field of Use for the Indications post-TP for such Licensed Product. The Parties may enter into a manufacturing agreement for GMP manufacturing of Licensed Products (including components thereof).</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Regulatory</w:t>
      </w:r>
      <w:r>
        <w:rPr>
          <w:rFonts w:ascii="Arial" w:cs="Arial" w:eastAsia="Arial" w:hAnsi="Arial"/>
          <w:sz w:val="16"/>
          <w:szCs w:val="16"/>
          <w:color w:val="auto"/>
        </w:rPr>
        <w:t>.</w:t>
      </w:r>
    </w:p>
    <w:p>
      <w:pPr>
        <w:spacing w:after="0" w:line="135" w:lineRule="exact"/>
        <w:rPr>
          <w:sz w:val="20"/>
          <w:szCs w:val="20"/>
          <w:color w:val="auto"/>
        </w:rPr>
      </w:pPr>
    </w:p>
    <w:p>
      <w:pPr>
        <w:ind w:left="1180" w:right="100" w:hanging="647"/>
        <w:spacing w:after="0" w:line="272" w:lineRule="auto"/>
        <w:tabs>
          <w:tab w:leader="none" w:pos="116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7"/>
          <w:szCs w:val="17"/>
          <w:color w:val="auto"/>
        </w:rPr>
        <w:t>Licensee will have responsibility for and decision-making over regulatory activities for the Licensed Products for the Indications in the Field of Use. Licensee will have the right to conduct all communications with Regulatory Authorities, including all meetings, conferences and discussions (including advisory committee meetings), with regard to Licensed Products for the Indications in the Field of Use. Licensee will lead and have control over preparing and submitting all regulatory filings related to the Licensed Products for the Indications in the Field of Use, including all applications for Regulatory Approval. Licensee will own any and all applications for Regulatory Approvals (including INDs), Regulatory Approvals, and other regulatory filings related to the Licensed Product for the Indication in the Field of Use, which will be held in the name of Licensee or its designees.</w:t>
      </w:r>
    </w:p>
    <w:p>
      <w:pPr>
        <w:spacing w:after="0" w:line="83" w:lineRule="exact"/>
        <w:rPr>
          <w:sz w:val="20"/>
          <w:szCs w:val="20"/>
          <w:color w:val="auto"/>
        </w:rPr>
      </w:pPr>
    </w:p>
    <w:p>
      <w:pPr>
        <w:ind w:left="1180" w:right="40" w:hanging="647"/>
        <w:spacing w:after="0" w:line="257" w:lineRule="auto"/>
        <w:tabs>
          <w:tab w:leader="none" w:pos="1160" w:val="left"/>
        </w:tabs>
        <w:rPr>
          <w:sz w:val="20"/>
          <w:szCs w:val="20"/>
          <w:color w:val="auto"/>
        </w:rPr>
      </w:pPr>
      <w:r>
        <w:rPr>
          <w:rFonts w:ascii="Arial" w:cs="Arial" w:eastAsia="Arial" w:hAnsi="Arial"/>
          <w:sz w:val="18"/>
          <w:szCs w:val="18"/>
          <w:color w:val="auto"/>
        </w:rPr>
        <w:t>5.5.2</w:t>
        <w:tab/>
        <w:t>Licensor will cooperate with any reasonable request from Licensee with respect to obtaining any Regulatory Approval for a Licensed Product for the Indication in the Field of Use including, at Licensee’s cost: (a) making its faculty, employees, consultants and other staff available to assist Licensee upon reasonable notice, (b) responding to questions raised by Licensee, and (c) making available to Licensee, in the form requested by Licensee, information related to the Licensed Products that is necessary to prepare, file, obtain and maintain any Regulatory Approval for such Licensed Product.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22" w:name="page423"/>
    <w:bookmarkEnd w:id="422"/>
    <w:p>
      <w:pPr>
        <w:ind w:left="540" w:right="40" w:hanging="539"/>
        <w:spacing w:after="0" w:line="26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5.6</w:t>
      </w:r>
      <w:r>
        <w:rPr>
          <w:sz w:val="20"/>
          <w:szCs w:val="20"/>
          <w:color w:val="auto"/>
        </w:rPr>
        <w:tab/>
      </w:r>
      <w:r>
        <w:rPr>
          <w:rFonts w:ascii="Arial" w:cs="Arial" w:eastAsia="Arial" w:hAnsi="Arial"/>
          <w:sz w:val="18"/>
          <w:szCs w:val="18"/>
          <w:b w:val="1"/>
          <w:bCs w:val="1"/>
          <w:color w:val="auto"/>
        </w:rPr>
        <w:t>General Diligence</w:t>
      </w:r>
      <w:r>
        <w:rPr>
          <w:rFonts w:ascii="Arial" w:cs="Arial" w:eastAsia="Arial" w:hAnsi="Arial"/>
          <w:sz w:val="18"/>
          <w:szCs w:val="18"/>
          <w:color w:val="auto"/>
        </w:rPr>
        <w:t>. Licensee by itself or through its Affiliates and Sublicensees will use Commercially Reasonable Efforts to actively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obtain Regulatory Approval and commercialize at least one Licensed Product within the Field of Use. This obligation shall not prohibit Licensee from terminating this Agreement at any time with respect to any Indication, after which Licensee’s obligation under this Section 5.6 shall only apply to the remaining Indications.</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color w:val="auto"/>
        </w:rPr>
        <w:t>Progress Reports</w:t>
      </w:r>
      <w:r>
        <w:rPr>
          <w:rFonts w:ascii="Arial" w:cs="Arial" w:eastAsia="Arial" w:hAnsi="Arial"/>
          <w:sz w:val="16"/>
          <w:szCs w:val="16"/>
          <w:color w:val="auto"/>
        </w:rPr>
        <w:t>. After the performance of Research Program SRAs by Licensor but prior to the First Commercial Sale of a Licensed Product</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the respective Indication, Licensee on an [***] basis, but in no event later than [***], shall submit to Licensor a progress report (each, a</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Progress Report</w:t>
      </w:r>
      <w:r>
        <w:rPr>
          <w:rFonts w:ascii="Arial" w:cs="Arial" w:eastAsia="Arial" w:hAnsi="Arial"/>
          <w:sz w:val="16"/>
          <w:szCs w:val="16"/>
          <w:color w:val="auto"/>
        </w:rPr>
        <w:t>”) covering Licensee’s (and any Affiliates’ and Sublicensees’) activities related to the development of all Licensed Products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Indication and the obtaining of Regulatory Approvals necessary for commercialization of Licensed Products.</w:t>
      </w:r>
    </w:p>
    <w:p>
      <w:pPr>
        <w:spacing w:after="0" w:line="112"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b w:val="1"/>
          <w:bCs w:val="1"/>
          <w:color w:val="auto"/>
        </w:rPr>
        <w:t>Government and Economic Development Reporting</w:t>
      </w:r>
      <w:r>
        <w:rPr>
          <w:rFonts w:ascii="Arial" w:cs="Arial" w:eastAsia="Arial" w:hAnsi="Arial"/>
          <w:sz w:val="18"/>
          <w:szCs w:val="18"/>
          <w:color w:val="auto"/>
        </w:rPr>
        <w:t>. If Licensor requests, Licensee will provide information for Licensor’s Government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development reporting purposes, including the following:</w:t>
      </w:r>
    </w:p>
    <w:p>
      <w:pPr>
        <w:spacing w:after="0" w:line="71" w:lineRule="exact"/>
        <w:rPr>
          <w:sz w:val="20"/>
          <w:szCs w:val="20"/>
          <w:color w:val="auto"/>
        </w:rPr>
      </w:pPr>
    </w:p>
    <w:p>
      <w:pPr>
        <w:ind w:left="1180" w:right="540" w:hanging="647"/>
        <w:spacing w:after="0" w:line="277" w:lineRule="auto"/>
        <w:tabs>
          <w:tab w:leader="none" w:pos="1160" w:val="left"/>
        </w:tabs>
        <w:rPr>
          <w:sz w:val="20"/>
          <w:szCs w:val="20"/>
          <w:color w:val="auto"/>
        </w:rPr>
      </w:pPr>
      <w:r>
        <w:rPr>
          <w:rFonts w:ascii="Arial" w:cs="Arial" w:eastAsia="Arial" w:hAnsi="Arial"/>
          <w:sz w:val="18"/>
          <w:szCs w:val="18"/>
          <w:color w:val="auto"/>
        </w:rPr>
        <w:t>5.9.1</w:t>
        <w:tab/>
        <w:t>Number and geographic location of new full-time employees created during the past Contract Year; total number and geographic location of full time employees of Licensee at the end of such Contract Year;</w:t>
      </w:r>
    </w:p>
    <w:p>
      <w:pPr>
        <w:spacing w:after="0" w:line="76" w:lineRule="exact"/>
        <w:rPr>
          <w:sz w:val="20"/>
          <w:szCs w:val="20"/>
          <w:color w:val="auto"/>
        </w:rPr>
      </w:pPr>
    </w:p>
    <w:p>
      <w:pPr>
        <w:ind w:left="1180" w:right="20" w:hanging="647"/>
        <w:spacing w:after="0" w:line="277" w:lineRule="auto"/>
        <w:tabs>
          <w:tab w:leader="none" w:pos="1160" w:val="left"/>
        </w:tabs>
        <w:rPr>
          <w:sz w:val="20"/>
          <w:szCs w:val="20"/>
          <w:color w:val="auto"/>
        </w:rPr>
      </w:pPr>
      <w:r>
        <w:rPr>
          <w:rFonts w:ascii="Arial" w:cs="Arial" w:eastAsia="Arial" w:hAnsi="Arial"/>
          <w:sz w:val="18"/>
          <w:szCs w:val="18"/>
          <w:color w:val="auto"/>
        </w:rPr>
        <w:t>5.9.2</w:t>
        <w:tab/>
        <w:t>Dollar amount of new equity financing received by Licensee during the past Contract Year, and current capitalization, including number and class of outstanding securities;</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5.9.3</w:t>
      </w:r>
      <w:r>
        <w:rPr>
          <w:sz w:val="20"/>
          <w:szCs w:val="20"/>
          <w:color w:val="auto"/>
        </w:rPr>
        <w:tab/>
      </w:r>
      <w:r>
        <w:rPr>
          <w:rFonts w:ascii="Arial" w:cs="Arial" w:eastAsia="Arial" w:hAnsi="Arial"/>
          <w:sz w:val="16"/>
          <w:szCs w:val="16"/>
          <w:color w:val="auto"/>
        </w:rPr>
        <w:t>Location and square footage of facilities; and</w:t>
      </w:r>
    </w:p>
    <w:p>
      <w:pPr>
        <w:spacing w:after="0" w:line="131"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5.9.4</w:t>
      </w:r>
      <w:r>
        <w:rPr>
          <w:sz w:val="20"/>
          <w:szCs w:val="20"/>
          <w:color w:val="auto"/>
        </w:rPr>
        <w:tab/>
      </w:r>
      <w:r>
        <w:rPr>
          <w:rFonts w:ascii="Arial" w:cs="Arial" w:eastAsia="Arial" w:hAnsi="Arial"/>
          <w:sz w:val="16"/>
          <w:szCs w:val="16"/>
          <w:color w:val="auto"/>
        </w:rPr>
        <w:t>Other information required under Federal and state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Patent Filing Prosecution and Maintenance</w:t>
      </w:r>
      <w:r>
        <w:rPr>
          <w:rFonts w:ascii="Arial" w:cs="Arial" w:eastAsia="Arial" w:hAnsi="Arial"/>
          <w:sz w:val="16"/>
          <w:szCs w:val="16"/>
          <w:color w:val="auto"/>
        </w:rPr>
        <w:t>.</w:t>
      </w:r>
    </w:p>
    <w:p>
      <w:pPr>
        <w:spacing w:after="0" w:line="135" w:lineRule="exact"/>
        <w:rPr>
          <w:sz w:val="20"/>
          <w:szCs w:val="20"/>
          <w:color w:val="auto"/>
        </w:rPr>
      </w:pPr>
    </w:p>
    <w:p>
      <w:pPr>
        <w:ind w:left="1180" w:hanging="647"/>
        <w:spacing w:after="0" w:line="270" w:lineRule="auto"/>
        <w:tabs>
          <w:tab w:leader="none" w:pos="11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Licensor Patent Rights will be held in the name of Licensor and obtained with counsel authorized to represent Licensor and mutually agreed upon by the Parties (“</w:t>
      </w:r>
      <w:r>
        <w:rPr>
          <w:rFonts w:ascii="Arial" w:cs="Arial" w:eastAsia="Arial" w:hAnsi="Arial"/>
          <w:sz w:val="17"/>
          <w:szCs w:val="17"/>
          <w:b w:val="1"/>
          <w:bCs w:val="1"/>
          <w:color w:val="auto"/>
        </w:rPr>
        <w:t>Patent Counsel</w:t>
      </w:r>
      <w:r>
        <w:rPr>
          <w:rFonts w:ascii="Arial" w:cs="Arial" w:eastAsia="Arial" w:hAnsi="Arial"/>
          <w:sz w:val="17"/>
          <w:szCs w:val="17"/>
          <w:color w:val="auto"/>
        </w:rPr>
        <w:t>”). Licensor will provide Licensee with advance copies of filings of the Licensor Patent Rights and will implement any reasonable comments or suggestions by Licensee with respect to same. Licensor will instruct Patent Counsel to copy Licensee on all correspondence related to Licensor Patent Rights (including copies of each patent application, office action, response to office action, request for terminal disclaimer, and request for reissue or reexamination of any patent or patent application) and to interact with Licensee with respect to the preparation, filing, prosecution and maintenance of Licensor Patent Rights. In the event of a disagreement between Licensee and Licensor regarding a filing for the Licensor Patent Rights or any strategy relating to the filing, prosecution or maintenance of the Licensor Patent Rights, Licensee shall have final decision making with respect to the strategy and any such filing, prosecution or maintenance. Provided that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423" w:name="page424"/>
    <w:bookmarkEnd w:id="423"/>
    <w:p>
      <w:pPr>
        <w:ind w:left="1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Licensee is not in breach with respect to reimbursement of Patent Costs, Licensor shall not allow any Licensor Patent Rights for which Licensee is licensed to lapse or become abandoned without Licensee’s written authorization under this Agreement, even if such lapse or abandonment is associated with the filing of continuations, divisionals, or the like that substitute for the lapsed application. For the purposes of this Agreement, “maintenance” of the Licensor Patent Rights includes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patent review proceedings before the USPTO or a similar patent administration outside the US. For further clarity, validity challenges raised in infringement litigation will be handled per Section 6.3, Infringement.</w:t>
      </w:r>
    </w:p>
    <w:p>
      <w:pPr>
        <w:spacing w:after="0" w:line="98" w:lineRule="exact"/>
        <w:rPr>
          <w:sz w:val="20"/>
          <w:szCs w:val="20"/>
          <w:color w:val="auto"/>
        </w:rPr>
      </w:pPr>
    </w:p>
    <w:p>
      <w:pPr>
        <w:ind w:left="1180" w:right="160" w:hanging="647"/>
        <w:spacing w:after="0" w:line="277" w:lineRule="auto"/>
        <w:tabs>
          <w:tab w:leader="none" w:pos="1160" w:val="left"/>
        </w:tabs>
        <w:rPr>
          <w:sz w:val="20"/>
          <w:szCs w:val="20"/>
          <w:color w:val="auto"/>
        </w:rPr>
      </w:pPr>
      <w:r>
        <w:rPr>
          <w:rFonts w:ascii="Arial" w:cs="Arial" w:eastAsia="Arial" w:hAnsi="Arial"/>
          <w:sz w:val="18"/>
          <w:szCs w:val="18"/>
          <w:color w:val="auto"/>
        </w:rPr>
        <w:t>6.1.2</w:t>
        <w:tab/>
        <w:t>Licensee has the right to request a country filing via a written request to Licensor [***] prior to the deadline set by the patent office in the territory in which filing is to take place (“</w:t>
      </w:r>
      <w:r>
        <w:rPr>
          <w:rFonts w:ascii="Arial" w:cs="Arial" w:eastAsia="Arial" w:hAnsi="Arial"/>
          <w:sz w:val="18"/>
          <w:szCs w:val="18"/>
          <w:b w:val="1"/>
          <w:bCs w:val="1"/>
          <w:color w:val="auto"/>
        </w:rPr>
        <w:t>Prosecution Request</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Patent Costs</w:t>
      </w:r>
      <w:r>
        <w:rPr>
          <w:rFonts w:ascii="Arial" w:cs="Arial" w:eastAsia="Arial" w:hAnsi="Arial"/>
          <w:sz w:val="15"/>
          <w:szCs w:val="15"/>
          <w:color w:val="auto"/>
        </w:rPr>
        <w:t>.</w:t>
      </w:r>
    </w:p>
    <w:p>
      <w:pPr>
        <w:spacing w:after="0" w:line="131" w:lineRule="exact"/>
        <w:rPr>
          <w:sz w:val="20"/>
          <w:szCs w:val="20"/>
          <w:color w:val="auto"/>
        </w:rPr>
      </w:pPr>
    </w:p>
    <w:p>
      <w:pPr>
        <w:ind w:left="1180" w:right="40" w:hanging="647"/>
        <w:spacing w:after="0" w:line="271" w:lineRule="auto"/>
        <w:tabs>
          <w:tab w:leader="none" w:pos="11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Licensee will bear all Patent Costs incurred during the Term after the Effective Date (“</w:t>
      </w:r>
      <w:r>
        <w:rPr>
          <w:rFonts w:ascii="Arial" w:cs="Arial" w:eastAsia="Arial" w:hAnsi="Arial"/>
          <w:sz w:val="17"/>
          <w:szCs w:val="17"/>
          <w:b w:val="1"/>
          <w:bCs w:val="1"/>
          <w:color w:val="auto"/>
        </w:rPr>
        <w:t>Ongoing Patent Costs</w:t>
      </w:r>
      <w:r>
        <w:rPr>
          <w:rFonts w:ascii="Arial" w:cs="Arial" w:eastAsia="Arial" w:hAnsi="Arial"/>
          <w:sz w:val="17"/>
          <w:szCs w:val="17"/>
          <w:color w:val="auto"/>
        </w:rPr>
        <w:t xml:space="preserve">”), on a pro rata basis (as described below) where applicable. Notwithstanding anything to the contrary in this Agreement, Licensee shall have no obligation to reimburse or bear any Patent Costs for any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patent review proceedings or other post-grant proceedings before the USPTO or any similar patent administration outside the US, to the extent such proceedings are undertaken or such Patent Costs are otherwise incurred without Licensee’s consent or without Licensee’s involvement in such proceedings. For Licensor Patent Rights that are also licensed to one or more other commercial Third Parties, Licensee shall be responsible for payment to Licensor of a pro rata share of such Ongoing Patent Costs based on the number of such licensees for such Licensor Patent Rights. “</w:t>
      </w:r>
      <w:r>
        <w:rPr>
          <w:rFonts w:ascii="Arial" w:cs="Arial" w:eastAsia="Arial" w:hAnsi="Arial"/>
          <w:sz w:val="17"/>
          <w:szCs w:val="17"/>
          <w:b w:val="1"/>
          <w:bCs w:val="1"/>
          <w:color w:val="auto"/>
        </w:rPr>
        <w:t>Patent Costs</w:t>
      </w:r>
      <w:r>
        <w:rPr>
          <w:rFonts w:ascii="Arial" w:cs="Arial" w:eastAsia="Arial" w:hAnsi="Arial"/>
          <w:sz w:val="17"/>
          <w:szCs w:val="17"/>
          <w:color w:val="auto"/>
        </w:rPr>
        <w:t>” means all out-of-pocket costs for the filing, prosecution and maintenance of Licensor Patent Rights, including all accrued attorney fees, expenses, official and filing fees incurred after the Effective Date.</w:t>
      </w:r>
    </w:p>
    <w:p>
      <w:pPr>
        <w:spacing w:after="0" w:line="83" w:lineRule="exact"/>
        <w:rPr>
          <w:sz w:val="20"/>
          <w:szCs w:val="20"/>
          <w:color w:val="auto"/>
        </w:rPr>
      </w:pPr>
    </w:p>
    <w:p>
      <w:pPr>
        <w:jc w:val="both"/>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6.2.2</w:t>
        <w:tab/>
        <w:t>Licensee shall pay such Patent Costs within [***] of receipt of an invoice for such patent actions. For clarity, this Section 6.2.2 shall not apply during any period during the Term where a separate agreement between Licensor and Licensee is in effect regarding direct billing of Licensee by Patent Counsel.</w:t>
      </w:r>
    </w:p>
    <w:p>
      <w:pPr>
        <w:spacing w:after="0" w:line="89" w:lineRule="exact"/>
        <w:rPr>
          <w:sz w:val="20"/>
          <w:szCs w:val="20"/>
          <w:color w:val="auto"/>
        </w:rPr>
      </w:pPr>
    </w:p>
    <w:p>
      <w:pPr>
        <w:jc w:val="both"/>
        <w:ind w:left="1180" w:right="40" w:hanging="647"/>
        <w:spacing w:after="0" w:line="311" w:lineRule="auto"/>
        <w:tabs>
          <w:tab w:leader="none" w:pos="116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Licensee may, upon [***] advance written notice to Licensor, elect to abandon any patent or patent application included in the Licensor Patent Rights. Upon the effective date of such notice, such patent or patent application shall no longer be part of the License granted to Licensee in Section 3.1 or the Licensor Patent Rights for purposes of this Agreement (including the provisions of this Section 6.2).</w:t>
      </w:r>
    </w:p>
    <w:p>
      <w:pPr>
        <w:spacing w:after="0" w:line="1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Infringement</w:t>
      </w:r>
      <w:r>
        <w:rPr>
          <w:rFonts w:ascii="Arial" w:cs="Arial" w:eastAsia="Arial" w:hAnsi="Arial"/>
          <w:sz w:val="16"/>
          <w:szCs w:val="16"/>
          <w:color w:val="auto"/>
        </w:rPr>
        <w:t>.</w:t>
      </w:r>
    </w:p>
    <w:p>
      <w:pPr>
        <w:spacing w:after="0" w:line="135" w:lineRule="exact"/>
        <w:rPr>
          <w:sz w:val="20"/>
          <w:szCs w:val="20"/>
          <w:color w:val="auto"/>
        </w:rPr>
      </w:pPr>
    </w:p>
    <w:p>
      <w:pPr>
        <w:jc w:val="right"/>
        <w:ind w:left="540" w:right="160"/>
        <w:spacing w:after="0" w:line="291" w:lineRule="auto"/>
        <w:rPr>
          <w:sz w:val="20"/>
          <w:szCs w:val="20"/>
          <w:color w:val="auto"/>
        </w:rPr>
      </w:pPr>
      <w:r>
        <w:rPr>
          <w:rFonts w:ascii="Arial" w:cs="Arial" w:eastAsia="Arial" w:hAnsi="Arial"/>
          <w:sz w:val="16"/>
          <w:szCs w:val="16"/>
          <w:color w:val="auto"/>
        </w:rPr>
        <w:t>6.3.1   If either Party believes that an infringement by a Third Party with respect to any Licensor Patent Right is occurring or may potentially occur, the knowledgeable Party will provide the other Party with (a) written notice of such infringement or potential infringement and</w:t>
      </w:r>
    </w:p>
    <w:p>
      <w:pPr>
        <w:ind w:left="1180" w:right="60" w:firstLine="4"/>
        <w:spacing w:after="0" w:line="273" w:lineRule="auto"/>
        <w:tabs>
          <w:tab w:leader="none" w:pos="143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evidence of such infringement or potential infringement (the “</w:t>
      </w:r>
      <w:r>
        <w:rPr>
          <w:rFonts w:ascii="Arial" w:cs="Arial" w:eastAsia="Arial" w:hAnsi="Arial"/>
          <w:sz w:val="17"/>
          <w:szCs w:val="17"/>
          <w:b w:val="1"/>
          <w:bCs w:val="1"/>
          <w:color w:val="auto"/>
        </w:rPr>
        <w:t>Infringement Notice</w:t>
      </w:r>
      <w:r>
        <w:rPr>
          <w:rFonts w:ascii="Arial" w:cs="Arial" w:eastAsia="Arial" w:hAnsi="Arial"/>
          <w:sz w:val="17"/>
          <w:szCs w:val="17"/>
          <w:color w:val="auto"/>
        </w:rPr>
        <w:t>”). Licensee shall not notify such a Third Party (including the infringer) of infringement or put such Third Party on notice of the existence of Licensor Patent Rights without first obtaining the written consent of Licensor, which consent will not be unreasonably withheld, conditioned or delayed. Both Licensor and Licensee will use reasonable efforts to cooperate with each other to terminate such infringement without litigation.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424" w:name="page425"/>
    <w:bookmarkEnd w:id="424"/>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6.3.2</w:t>
      </w:r>
      <w:r>
        <w:rPr>
          <w:sz w:val="20"/>
          <w:szCs w:val="20"/>
          <w:color w:val="auto"/>
        </w:rPr>
        <w:tab/>
      </w:r>
      <w:r>
        <w:rPr>
          <w:rFonts w:ascii="Arial" w:cs="Arial" w:eastAsia="Arial" w:hAnsi="Arial"/>
          <w:sz w:val="16"/>
          <w:szCs w:val="16"/>
          <w:color w:val="auto"/>
        </w:rPr>
        <w:t>If infringing activity of potential commercial significance has not been abated within [***] following the date the Infringement Notice for such activity was provided, then during the period in which, and in the jurisdiction where, Licensee is the sole licensee of such infringed Licensor Patent Right, Licensee may institute suit for patent infringement of a Licensor Patent Right against the infringer. Licensor may voluntarily join such suit at Licensee’s reasonable expense, but may not thereafter commence suit against the infringer for the acts of infringement that are the subject of Licensee’s suit or any judgment rendered in such suit. If in a suit initiated by Licensee, Licensor is involuntarily joined other than by Licensee, then Licensee will pay any costs reasonably incurred by Licensor arising out of such suit, including any reasonable legal fees of counsel that Licensor selects and retains to represent it in the suit. Licensee shall be free to enter into a settlement, consent judgment or other voluntary disposition, provided that any settlement, consent judgment or other voluntary disposition that (i) limits the scope, validity or enforcement of Licensor Patent Rights or (ii) admits fault or wrongdoing on the part of Licensor must be approved in advance by Licensor in writing. Licensor shall provide Licensee notice of its approval or denial within [***] of any request for such approval by Licensee, provided that (x) in the event Licensor wishes to deny such approval, such notice shall include a detailed written description of Licensor’s reasonable objections to the proposed settlement, consent judgment, or other voluntary disposition and (y) Licensor shall be deemed to have approved of such proposed settlement, consent judgment, or other voluntary disposition in the event it fails to provide such notice within such [***] period in accordance herewith.</w:t>
      </w:r>
    </w:p>
    <w:p>
      <w:pPr>
        <w:spacing w:after="0" w:line="76" w:lineRule="exact"/>
        <w:rPr>
          <w:sz w:val="20"/>
          <w:szCs w:val="20"/>
          <w:color w:val="auto"/>
        </w:rPr>
      </w:pPr>
    </w:p>
    <w:p>
      <w:pPr>
        <w:ind w:left="640" w:right="140" w:hanging="647"/>
        <w:spacing w:after="0" w:line="257" w:lineRule="auto"/>
        <w:tabs>
          <w:tab w:leader="none" w:pos="620" w:val="left"/>
        </w:tabs>
        <w:rPr>
          <w:sz w:val="20"/>
          <w:szCs w:val="20"/>
          <w:color w:val="auto"/>
        </w:rPr>
      </w:pPr>
      <w:r>
        <w:rPr>
          <w:rFonts w:ascii="Arial" w:cs="Arial" w:eastAsia="Arial" w:hAnsi="Arial"/>
          <w:sz w:val="18"/>
          <w:szCs w:val="18"/>
          <w:color w:val="auto"/>
        </w:rPr>
        <w:t>6.3.3</w:t>
        <w:tab/>
        <w:t>If, within [***] following the date the Infringement Notice was provided, infringing activity of potential commercial significance has not been abated and if Licensee has not brought suit against the infringer, then Licensor may institute suit for patent infringement against the infringer. If Licensor institutes such suit, then Licensee may not join such suit without the prior written consent of Licensor and may not thereafter commence suit against the infringer for the acts of infringement that are the subject of Licensor’s suit or any judgment rendered in such suit.</w:t>
      </w:r>
    </w:p>
    <w:p>
      <w:pPr>
        <w:spacing w:after="0" w:line="93" w:lineRule="exact"/>
        <w:rPr>
          <w:sz w:val="20"/>
          <w:szCs w:val="20"/>
          <w:color w:val="auto"/>
        </w:rPr>
      </w:pPr>
    </w:p>
    <w:p>
      <w:pPr>
        <w:ind w:left="640" w:right="140" w:hanging="647"/>
        <w:spacing w:after="0" w:line="279" w:lineRule="auto"/>
        <w:tabs>
          <w:tab w:leader="none" w:pos="62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7"/>
          <w:szCs w:val="17"/>
          <w:color w:val="auto"/>
        </w:rPr>
        <w:t>Notwithstanding Sections 6.3.2 and 6.3.3, (a) in the event that any Licensor Patent Rights are infringed by a Third Party prior to the First Commercial Sale of a Licensed Product in the United States or (b) if any of the infringed Licensor Patent Rights are also licensed by Licensor to a Third Party prior to any enforcement action being taken by either Party regarding such infringement, the Parties shall discuss, and will mutually agree, in writing, as to how to handle such infringement by such Third Party.</w:t>
      </w:r>
    </w:p>
    <w:p>
      <w:pPr>
        <w:spacing w:after="0" w:line="77" w:lineRule="exact"/>
        <w:rPr>
          <w:sz w:val="20"/>
          <w:szCs w:val="20"/>
          <w:color w:val="auto"/>
        </w:rPr>
      </w:pPr>
    </w:p>
    <w:p>
      <w:pPr>
        <w:ind w:left="640" w:right="60" w:hanging="647"/>
        <w:spacing w:after="0" w:line="311" w:lineRule="auto"/>
        <w:tabs>
          <w:tab w:leader="none" w:pos="620" w:val="left"/>
        </w:tabs>
        <w:rPr>
          <w:sz w:val="20"/>
          <w:szCs w:val="20"/>
          <w:color w:val="auto"/>
        </w:rPr>
      </w:pPr>
      <w:r>
        <w:rPr>
          <w:rFonts w:ascii="Arial" w:cs="Arial" w:eastAsia="Arial" w:hAnsi="Arial"/>
          <w:sz w:val="18"/>
          <w:szCs w:val="18"/>
          <w:color w:val="auto"/>
        </w:rPr>
        <w:t>6.3.5</w:t>
      </w:r>
      <w:r>
        <w:rPr>
          <w:sz w:val="20"/>
          <w:szCs w:val="20"/>
          <w:color w:val="auto"/>
        </w:rPr>
        <w:tab/>
      </w:r>
      <w:r>
        <w:rPr>
          <w:rFonts w:ascii="Arial" w:cs="Arial" w:eastAsia="Arial" w:hAnsi="Arial"/>
          <w:sz w:val="16"/>
          <w:szCs w:val="16"/>
          <w:color w:val="auto"/>
        </w:rPr>
        <w:t>Any recovery or settlement received in connection with any suit will first be shared by Licensor and Licensee equally to cover any litigation costs each incurred [***]. Any remaining recoveries shall be allocated to Licensee; except for any suit that is initiated by Licensor and in which Licensee was not a party in the litigation, then such recovery in excess of litigation costs will belong to Licensor.</w:t>
      </w:r>
    </w:p>
    <w:p>
      <w:pPr>
        <w:spacing w:after="0" w:line="54" w:lineRule="exact"/>
        <w:rPr>
          <w:sz w:val="20"/>
          <w:szCs w:val="20"/>
          <w:color w:val="auto"/>
        </w:rPr>
      </w:pPr>
    </w:p>
    <w:p>
      <w:pPr>
        <w:ind w:left="640" w:right="140" w:hanging="647"/>
        <w:spacing w:after="0" w:line="263" w:lineRule="auto"/>
        <w:tabs>
          <w:tab w:leader="none" w:pos="620" w:val="left"/>
        </w:tabs>
        <w:rPr>
          <w:sz w:val="20"/>
          <w:szCs w:val="20"/>
          <w:color w:val="auto"/>
        </w:rPr>
      </w:pPr>
      <w:r>
        <w:rPr>
          <w:rFonts w:ascii="Arial" w:cs="Arial" w:eastAsia="Arial" w:hAnsi="Arial"/>
          <w:sz w:val="18"/>
          <w:szCs w:val="18"/>
          <w:color w:val="auto"/>
        </w:rPr>
        <w:t>6.3.6</w:t>
        <w:tab/>
        <w:t>Each Party will reasonably cooperate and assist with the other in litigation proceedings instituted hereunder but at the expense of the Party who initiated the suit (unless such suit is being jointly prosecuted by the Parties). For clarity, such requirement does not require a Party to join a suit unless otherwise specifically required under this Agreement.</w:t>
      </w:r>
    </w:p>
    <w:p>
      <w:pPr>
        <w:spacing w:after="0" w:line="1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80"/>
          </w:cols>
          <w:pgMar w:left="980" w:top="274" w:right="439" w:bottom="1440" w:gutter="0" w:footer="0" w:header="0"/>
        </w:sectPr>
      </w:pPr>
    </w:p>
    <w:bookmarkStart w:id="425" w:name="page426"/>
    <w:bookmarkEnd w:id="425"/>
    <w:p>
      <w:pPr>
        <w:ind w:left="540" w:right="2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w:t>
      </w:r>
      <w:r>
        <w:rPr>
          <w:sz w:val="20"/>
          <w:szCs w:val="20"/>
          <w:color w:val="auto"/>
        </w:rPr>
        <w:tab/>
      </w:r>
      <w:r>
        <w:rPr>
          <w:rFonts w:ascii="Arial" w:cs="Arial" w:eastAsia="Arial" w:hAnsi="Arial"/>
          <w:sz w:val="18"/>
          <w:szCs w:val="18"/>
          <w:b w:val="1"/>
          <w:bCs w:val="1"/>
          <w:color w:val="auto"/>
        </w:rPr>
        <w:t>Patent Marking</w:t>
      </w:r>
      <w:r>
        <w:rPr>
          <w:rFonts w:ascii="Arial" w:cs="Arial" w:eastAsia="Arial" w:hAnsi="Arial"/>
          <w:sz w:val="18"/>
          <w:szCs w:val="18"/>
          <w:color w:val="auto"/>
        </w:rPr>
        <w:t>. Licensee shall place in a conspicuous location on any Licensed Product (or its packaging where appropriate and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made or sold under this Agreement a patent notice in accordance with the Laws concerning the marking of patented articles where such Licensed Product is made or sold, as applicable.</w:t>
      </w:r>
    </w:p>
    <w:p>
      <w:pPr>
        <w:spacing w:after="0" w:line="81"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b w:val="1"/>
          <w:bCs w:val="1"/>
          <w:color w:val="auto"/>
        </w:rPr>
        <w:t>Research Program SRAs</w:t>
      </w:r>
      <w:r>
        <w:rPr>
          <w:rFonts w:ascii="Arial" w:cs="Arial" w:eastAsia="Arial" w:hAnsi="Arial"/>
          <w:sz w:val="18"/>
          <w:szCs w:val="18"/>
          <w:color w:val="auto"/>
        </w:rPr>
        <w:t>. For clarity, all intellectual property arising from or generated during the performance of a Research Program SRA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governed by the terms and conditions of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CONFIDENTIALITY &amp; PUBLICATION</w:t>
      </w:r>
    </w:p>
    <w:p>
      <w:pPr>
        <w:spacing w:after="0" w:line="234" w:lineRule="exact"/>
        <w:rPr>
          <w:sz w:val="20"/>
          <w:szCs w:val="20"/>
          <w:color w:val="auto"/>
        </w:rPr>
      </w:pPr>
    </w:p>
    <w:p>
      <w:pPr>
        <w:ind w:left="540" w:right="20" w:hanging="539"/>
        <w:spacing w:after="0" w:line="269"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Confidential Information</w:t>
      </w:r>
      <w:r>
        <w:rPr>
          <w:rFonts w:ascii="Arial" w:cs="Arial" w:eastAsia="Arial" w:hAnsi="Arial"/>
          <w:sz w:val="17"/>
          <w:szCs w:val="17"/>
          <w:color w:val="auto"/>
        </w:rPr>
        <w:t>. Licensee shall not disclose Confidential Information to Licensor unless it is anticipated to be necessary or useful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of the Research Program or is reasonably responsive to Licensee’s reporting obligations under this Agreement or any other request of Licensor. Except to the extent expressly authorized by this Agreement or otherwise agreed in writing, the Parties agree that, during the Term and for [***] thereafter, the receiving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and its Affiliates will keep confidential and will not publish or otherwise disclose or use for any purpose, other than as provided for in this Agreement, any confidential or proprietary information or materials, patentable or otherwise, in any form (written, oral, photographic, electronic, magnetic, or otherwise), including trade secrets, Know-How, inventions or discoveries, proprietary information, formulae, processes, techniques and information relating to the past, present and future marketing, financial, and research and development activities of any product or potential product or useful technology of the Disclosing Party or its Affiliates and the pricing thereof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which is disclosed to it by the other Party (the “</w:t>
      </w:r>
      <w:r>
        <w:rPr>
          <w:rFonts w:ascii="Arial" w:cs="Arial" w:eastAsia="Arial" w:hAnsi="Arial"/>
          <w:sz w:val="17"/>
          <w:szCs w:val="17"/>
          <w:b w:val="1"/>
          <w:bCs w:val="1"/>
          <w:color w:val="auto"/>
        </w:rPr>
        <w:t>Disclosing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or its Affiliates or otherwise received or accessed by a Receiving Party in the course of performing its obligations or exercising its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w:t>
      </w:r>
    </w:p>
    <w:p>
      <w:pPr>
        <w:spacing w:after="0" w:line="87" w:lineRule="exact"/>
        <w:rPr>
          <w:sz w:val="20"/>
          <w:szCs w:val="20"/>
          <w:color w:val="auto"/>
        </w:rPr>
      </w:pPr>
    </w:p>
    <w:p>
      <w:pPr>
        <w:ind w:left="540" w:hanging="539"/>
        <w:spacing w:after="0" w:line="269" w:lineRule="auto"/>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b w:val="1"/>
          <w:bCs w:val="1"/>
          <w:color w:val="auto"/>
        </w:rPr>
        <w:t>Exceptions to Confidentiality</w:t>
      </w:r>
      <w:r>
        <w:rPr>
          <w:rFonts w:ascii="Arial" w:cs="Arial" w:eastAsia="Arial" w:hAnsi="Arial"/>
          <w:sz w:val="17"/>
          <w:szCs w:val="17"/>
          <w:color w:val="auto"/>
        </w:rPr>
        <w:t>. “Confidential Information” does not include information that (a) was in the lawful knowledge and possession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Receiving Party or its Affiliates prior to the time it was disclosed to, or learned by, the Receiving Party or its Affiliates, or was otherwise developed independently by the Receiving Party or its Affiliates, as evidenced by written records kept in the ordinary course of business, or other documentary proof of actual use by the Receiving Party or its Affiliates; (b) was generally available to the public or otherwise part of the public domain at the time of its disclosure to the Receiving Party or its Affiliates, as evidenced by written records of the Receiving Party or its Affiliates; (c) became generally available to the public or otherwise part of the public domain after its disclosure and other than through any act or omission of the Receiving Party or its Affiliates in breach of this Agreement; or (d) was disclosed to the Receiving Party or its Affiliates, other than under an obligation of confidentiality, by a Third Party who had no obligation to the Disclosing Party or its Affiliates not to disclose such information to others. In the event a Receiving Party is required to make a disclosure under Law or regulation, the order of a court of competent jurisdiction, or the rules of the U.S. Securities and Exchange Commission (including by reason of any securities offering by Licensee), any stock exchange or listing entity, such disclosure will not constitute a breach of this Article 7 provided such Receiving Party shall provide prompt written notice to the Disclosing Party and take all reasonable steps to limit the extent of the disclosure and obtain confidential treatment for any remaining required disclosure.</w:t>
      </w:r>
    </w:p>
    <w:p>
      <w:pPr>
        <w:spacing w:after="0" w:line="81" w:lineRule="exact"/>
        <w:rPr>
          <w:sz w:val="20"/>
          <w:szCs w:val="20"/>
          <w:color w:val="auto"/>
        </w:rPr>
      </w:pPr>
    </w:p>
    <w:p>
      <w:pPr>
        <w:ind w:left="540" w:right="340" w:hanging="539"/>
        <w:spacing w:after="0" w:line="266"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 Licensor shall have the first right to publish, publicly present or otherwise publicly disclose Research Results for any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provisions; provided, however, that if Licensee provides written request to Licensor to publish, publicly present or otherwise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426" w:name="page427"/>
    <w:bookmarkEnd w:id="426"/>
    <w:p>
      <w:pPr>
        <w:ind w:left="54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publicly disclose the Research Results, and Licensor does not publish, publicly present or otherwise publicly disclose such Research Results within [***] of such written request, Licensee shall be entitled to publish, publicly present or otherwise publicly disclose such Research Results in accordance with the provisions of this Section 7.3. Any disagreement regarding publications of Research Results during the Research Term shall be determined by the JSC. Licensor shall furnish the Licensee with a copy of any proposed publication, presentation, or other public disclosure at least [***] in advance of the date of such presentation or public disclosure or the submission of said proposed publication in order for Licensee to review and comment on said proposed publication, presentation, or other public disclosure to (a) determine whether such contains any Licensee Confidential Information and (b) enable Licensee to identify any Licensor intellectual property that it wishes Licensor to file patent applications on or to seek other intellectual property protection for. If within the [***] review period (i) Licensee notifies Licensor in writing that the Licensee requires deletion of Licensee Confidential Information from the publication, presentation, or other disclosure, the Parties will cooperate to modify the same to ensure Licensee Confidential Information is not disclosed or (ii) if Licensee requests in writing that publication, presentation, or other disclosure be delayed to allow for patent filings or other intellectual property protection on certain items in the proposed publication, presentation, or other disclosure, Licensor shall delay the same for up to [***] to allow for the filing of patent applications or other intellectual property protection.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WARRANTIES AND COVENANTS</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Mutual Representations and Warranties</w:t>
      </w:r>
      <w:r>
        <w:rPr>
          <w:rFonts w:ascii="Arial" w:cs="Arial" w:eastAsia="Arial" w:hAnsi="Arial"/>
          <w:sz w:val="16"/>
          <w:szCs w:val="16"/>
          <w:color w:val="auto"/>
        </w:rPr>
        <w:t>. Each Party represents and warrants to the other Party that, as of the Effective Date:</w:t>
      </w:r>
    </w:p>
    <w:p>
      <w:pPr>
        <w:spacing w:after="0" w:line="135"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such Party is duly organized and validly existing under the Laws of the jurisdiction of its incorporation or organization;</w:t>
      </w:r>
    </w:p>
    <w:p>
      <w:pPr>
        <w:spacing w:after="0" w:line="131" w:lineRule="exact"/>
        <w:rPr>
          <w:sz w:val="20"/>
          <w:szCs w:val="20"/>
          <w:color w:val="auto"/>
        </w:rPr>
      </w:pPr>
    </w:p>
    <w:p>
      <w:pPr>
        <w:ind w:left="1180" w:right="740" w:hanging="647"/>
        <w:spacing w:after="0" w:line="277" w:lineRule="auto"/>
        <w:tabs>
          <w:tab w:leader="none" w:pos="1160" w:val="left"/>
        </w:tabs>
        <w:rPr>
          <w:sz w:val="20"/>
          <w:szCs w:val="20"/>
          <w:color w:val="auto"/>
        </w:rPr>
      </w:pPr>
      <w:r>
        <w:rPr>
          <w:rFonts w:ascii="Arial" w:cs="Arial" w:eastAsia="Arial" w:hAnsi="Arial"/>
          <w:sz w:val="18"/>
          <w:szCs w:val="18"/>
          <w:color w:val="auto"/>
        </w:rPr>
        <w:t>8.1.2</w:t>
        <w:tab/>
        <w:t>such Party has taken all action necessary to authorize the execution and delivery of this Agreement and the performance of its obligations under this Agreement;</w:t>
      </w:r>
    </w:p>
    <w:p>
      <w:pPr>
        <w:spacing w:after="0" w:line="76" w:lineRule="exact"/>
        <w:rPr>
          <w:sz w:val="20"/>
          <w:szCs w:val="20"/>
          <w:color w:val="auto"/>
        </w:rPr>
      </w:pPr>
    </w:p>
    <w:p>
      <w:pPr>
        <w:jc w:val="both"/>
        <w:ind w:left="1180" w:right="120" w:hanging="647"/>
        <w:spacing w:after="0" w:line="311" w:lineRule="auto"/>
        <w:tabs>
          <w:tab w:leader="none" w:pos="11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and</w:t>
      </w:r>
    </w:p>
    <w:p>
      <w:pPr>
        <w:spacing w:after="0" w:line="54" w:lineRule="exact"/>
        <w:rPr>
          <w:sz w:val="20"/>
          <w:szCs w:val="20"/>
          <w:color w:val="auto"/>
        </w:rPr>
      </w:pPr>
    </w:p>
    <w:p>
      <w:pPr>
        <w:jc w:val="center"/>
        <w:ind w:right="440"/>
        <w:spacing w:after="0"/>
        <w:tabs>
          <w:tab w:leader="none" w:pos="26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color w:val="auto"/>
        </w:rPr>
        <w:t>such Party has all right, power and authority to enter into this Agreement, to perform its obligations under this Agreement.</w:t>
      </w:r>
    </w:p>
    <w:p>
      <w:pPr>
        <w:spacing w:after="0" w:line="127" w:lineRule="exact"/>
        <w:rPr>
          <w:sz w:val="20"/>
          <w:szCs w:val="20"/>
          <w:color w:val="auto"/>
        </w:rPr>
      </w:pPr>
    </w:p>
    <w:p>
      <w:pPr>
        <w:ind w:left="540" w:hanging="539"/>
        <w:spacing w:after="0" w:line="291"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 xml:space="preserve">Representation and Warranties of Licensor. </w:t>
      </w:r>
      <w:r>
        <w:rPr>
          <w:rFonts w:ascii="Arial" w:cs="Arial" w:eastAsia="Arial" w:hAnsi="Arial"/>
          <w:sz w:val="16"/>
          <w:szCs w:val="16"/>
          <w:color w:val="auto"/>
        </w:rPr>
        <w:t>Except for the rights, if any, of the Governmental Body, Licensor represents and warrants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that: (i) Licensor is the owner or agent of the entire right, title, and interest in and to Licensor Patent Rights (other than the right, title and interest of any joint owner identified in Exhibit A), (ii) Licensor has the right to grant licenses hereunder, (iii) to the knowledge of Licensor’s designated office for technology commercialization, Licensor has not knowingly granted and will not grant licenses or other rights under the Licensor Patent Rights that are in conflict with the terms and conditions in the Agreement and (iv) to the knowledge of Licensor’s designated office for technology commercialization, Licensor has not received: (a) any written notice that any of the Licensor Patent Rights are invalid or unenforceable, or (b) any written notice of any actual or threatened claims that the use of or practice of the Licensor Patent Rights, Licensor Know-How, or Licensor Material infringes or misappropriates (or has infringed or misappropriated) the intellectual property of any Third Party.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427" w:name="page428"/>
    <w:bookmarkEnd w:id="42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w:t>
      </w:r>
      <w:r>
        <w:rPr>
          <w:sz w:val="20"/>
          <w:szCs w:val="20"/>
          <w:color w:val="auto"/>
        </w:rPr>
        <w:tab/>
      </w:r>
      <w:r>
        <w:rPr>
          <w:rFonts w:ascii="Arial" w:cs="Arial" w:eastAsia="Arial" w:hAnsi="Arial"/>
          <w:sz w:val="16"/>
          <w:szCs w:val="16"/>
          <w:b w:val="1"/>
          <w:bCs w:val="1"/>
          <w:color w:val="auto"/>
        </w:rPr>
        <w:t>Disclaimer of Representations and Warranties</w:t>
      </w:r>
      <w:r>
        <w:rPr>
          <w:rFonts w:ascii="Arial" w:cs="Arial" w:eastAsia="Arial" w:hAnsi="Arial"/>
          <w:sz w:val="16"/>
          <w:szCs w:val="16"/>
          <w:color w:val="auto"/>
        </w:rPr>
        <w:t>. Other than the representations and warranties provided in Sections 8.1 and 8.2 above,</w:t>
      </w:r>
    </w:p>
    <w:p>
      <w:pPr>
        <w:spacing w:after="0" w:line="27" w:lineRule="exact"/>
        <w:rPr>
          <w:sz w:val="20"/>
          <w:szCs w:val="20"/>
          <w:color w:val="auto"/>
        </w:rPr>
      </w:pPr>
    </w:p>
    <w:p>
      <w:pPr>
        <w:ind w:left="540" w:right="940"/>
        <w:spacing w:after="0" w:line="260" w:lineRule="auto"/>
        <w:rPr>
          <w:sz w:val="20"/>
          <w:szCs w:val="20"/>
          <w:color w:val="auto"/>
        </w:rPr>
      </w:pPr>
      <w:r>
        <w:rPr>
          <w:rFonts w:ascii="Arial" w:cs="Arial" w:eastAsia="Arial" w:hAnsi="Arial"/>
          <w:sz w:val="18"/>
          <w:szCs w:val="18"/>
          <w:b w:val="1"/>
          <w:bCs w:val="1"/>
          <w:color w:val="auto"/>
        </w:rPr>
        <w:t>NEITHER PARTY MAKES ANY REPRESENTATIONS OR WARRANTIES, WHETHER EXPRESS OR IMPLIED, AND EXPLICITLY DISCLAIMS ANY REPRESENTATION AND WARRANTY</w:t>
      </w:r>
      <w:r>
        <w:rPr>
          <w:rFonts w:ascii="Arial" w:cs="Arial" w:eastAsia="Arial" w:hAnsi="Arial"/>
          <w:sz w:val="18"/>
          <w:szCs w:val="18"/>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 INSURANCE AND LIMITATION OF LIABILITY</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Indemnification by Licensee</w:t>
      </w:r>
      <w:r>
        <w:rPr>
          <w:rFonts w:ascii="Arial" w:cs="Arial" w:eastAsia="Arial" w:hAnsi="Arial"/>
          <w:sz w:val="16"/>
          <w:szCs w:val="16"/>
          <w:color w:val="auto"/>
        </w:rPr>
        <w:t>.</w:t>
      </w:r>
    </w:p>
    <w:p>
      <w:pPr>
        <w:spacing w:after="0" w:line="135" w:lineRule="exact"/>
        <w:rPr>
          <w:sz w:val="20"/>
          <w:szCs w:val="20"/>
          <w:color w:val="auto"/>
        </w:rPr>
      </w:pPr>
    </w:p>
    <w:p>
      <w:pPr>
        <w:ind w:left="1180" w:right="220" w:hanging="647"/>
        <w:spacing w:after="0" w:line="263" w:lineRule="auto"/>
        <w:tabs>
          <w:tab w:leader="none" w:pos="1160" w:val="left"/>
        </w:tabs>
        <w:rPr>
          <w:sz w:val="20"/>
          <w:szCs w:val="20"/>
          <w:color w:val="auto"/>
        </w:rPr>
      </w:pPr>
      <w:r>
        <w:rPr>
          <w:rFonts w:ascii="Arial" w:cs="Arial" w:eastAsia="Arial" w:hAnsi="Arial"/>
          <w:sz w:val="18"/>
          <w:szCs w:val="18"/>
          <w:color w:val="auto"/>
        </w:rPr>
        <w:t>9.1.1</w:t>
        <w:tab/>
        <w:t>Licensee shall defend, indemnify and hold Licensor and its respective trustees, officers, faculty, students, employees, contractors and agents (the “</w:t>
      </w:r>
      <w:r>
        <w:rPr>
          <w:rFonts w:ascii="Arial" w:cs="Arial" w:eastAsia="Arial" w:hAnsi="Arial"/>
          <w:sz w:val="18"/>
          <w:szCs w:val="18"/>
          <w:b w:val="1"/>
          <w:bCs w:val="1"/>
          <w:color w:val="auto"/>
        </w:rPr>
        <w:t>Licensor Indemnitees</w:t>
      </w:r>
      <w:r>
        <w:rPr>
          <w:rFonts w:ascii="Arial" w:cs="Arial" w:eastAsia="Arial" w:hAnsi="Arial"/>
          <w:sz w:val="18"/>
          <w:szCs w:val="18"/>
          <w:color w:val="auto"/>
        </w:rPr>
        <w:t>”) harmless from and against any and all liability, damage, loss, cost or expense, to the extent directly arising from Third Party claims or suits to the extent directly arising from:</w:t>
      </w:r>
    </w:p>
    <w:p>
      <w:pPr>
        <w:spacing w:after="0" w:line="89" w:lineRule="exact"/>
        <w:rPr>
          <w:sz w:val="20"/>
          <w:szCs w:val="20"/>
          <w:color w:val="auto"/>
        </w:rPr>
      </w:pPr>
    </w:p>
    <w:p>
      <w:pPr>
        <w:ind w:left="1740" w:right="60" w:hanging="543"/>
        <w:spacing w:after="0" w:line="263" w:lineRule="auto"/>
        <w:tabs>
          <w:tab w:leader="none" w:pos="1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gross negligence, recklessness or wrongful intentional acts or omissions of Licensee, its Affiliates or Sublicensees and its or their respective directors, officers, employees and agents, in connection with Licensee’s performance of its obligations or exercise of its rights under this Agreement;</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material breach of this Agreement by Licensee; or</w:t>
      </w:r>
    </w:p>
    <w:p>
      <w:pPr>
        <w:spacing w:after="0" w:line="130" w:lineRule="exact"/>
        <w:rPr>
          <w:rFonts w:ascii="Arial" w:cs="Arial" w:eastAsia="Arial" w:hAnsi="Arial"/>
          <w:sz w:val="18"/>
          <w:szCs w:val="18"/>
          <w:color w:val="auto"/>
        </w:rPr>
      </w:pPr>
    </w:p>
    <w:p>
      <w:pPr>
        <w:ind w:left="1740" w:right="20" w:hanging="543"/>
        <w:spacing w:after="0" w:line="277" w:lineRule="auto"/>
        <w:tabs>
          <w:tab w:leader="none" w:pos="17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development, manufacturing (unless manufactured by Licensor) or commercialization of a Licensed Product by or on behalf of Licensee or its Affiliates or Sublicensees;</w:t>
      </w:r>
    </w:p>
    <w:p>
      <w:pPr>
        <w:spacing w:after="0" w:line="62" w:lineRule="exact"/>
        <w:rPr>
          <w:sz w:val="20"/>
          <w:szCs w:val="20"/>
          <w:color w:val="auto"/>
        </w:rPr>
      </w:pPr>
    </w:p>
    <w:p>
      <w:pPr>
        <w:ind w:left="1200" w:right="140"/>
        <w:spacing w:after="0" w:line="277" w:lineRule="auto"/>
        <w:rPr>
          <w:sz w:val="20"/>
          <w:szCs w:val="20"/>
          <w:color w:val="auto"/>
        </w:rPr>
      </w:pPr>
      <w:r>
        <w:rPr>
          <w:rFonts w:ascii="Arial" w:cs="Arial" w:eastAsia="Arial" w:hAnsi="Arial"/>
          <w:sz w:val="18"/>
          <w:szCs w:val="18"/>
          <w:color w:val="auto"/>
        </w:rPr>
        <w:t>provided that Licensee’s obligations pursuant to this Section 9.1 shall not apply to the extent such claims or suits result from the gross negligence or willful misconduct of any of Licensor Indemnitees as determined by a court of law.</w:t>
      </w:r>
    </w:p>
    <w:p>
      <w:pPr>
        <w:spacing w:after="0" w:line="76" w:lineRule="exact"/>
        <w:rPr>
          <w:sz w:val="20"/>
          <w:szCs w:val="20"/>
          <w:color w:val="auto"/>
        </w:rPr>
      </w:pPr>
    </w:p>
    <w:p>
      <w:pPr>
        <w:ind w:left="1180" w:right="80" w:hanging="647"/>
        <w:spacing w:after="0" w:line="288" w:lineRule="auto"/>
        <w:tabs>
          <w:tab w:leader="none" w:pos="11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As a condition to a Licensor Indemnitee’s right to receive indemnification under this Section 9.1, Licensor shall: (a) promptly notify Licensee as soon as it becomes aware of a claim or suit for which indemnification may be sought pursuant hereto; (b) reasonably cooperate, and cause the individual Licensor Indemnitees to reasonably cooperate, with Licensee in the defense, settlement or compromise of such claim or suit; and (c) permit the Licensee to control the defense, settlement or compromise of such claim or suit, including the right to select defense counsel. In no event, however, may Licensee compromise or settle any claim or suit in a manner which (a) admits fault or negligence on the part of Licensor or any other Licensor Indemnitee; (b) commits Licensor or any other Licensor Indemnitee to take, or forbear to take, any action, without the prior written consent of Licensor, or (c) grant any rights under the Licensor Patent Rights except for Sublicenses permitted under Article 2. Licensor shall reasonably cooperate with Licensee and its counsel in the course of the defense of any such suit, claim or demand, such cooperation to include without limitation using reasonable efforts to provide or make available documents, information and witnesses.</w:t>
      </w:r>
    </w:p>
    <w:p>
      <w:pPr>
        <w:spacing w:after="0" w:line="70"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Insurance</w:t>
      </w:r>
      <w:r>
        <w:rPr>
          <w:rFonts w:ascii="Arial" w:cs="Arial" w:eastAsia="Arial" w:hAnsi="Arial"/>
          <w:sz w:val="18"/>
          <w:szCs w:val="18"/>
          <w:color w:val="auto"/>
        </w:rPr>
        <w:t>. Prior to commencement of a Clinical Study of a Licensed Product, Licensee shall maintain insurance during the Term, at its sole cost</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 of the types and in amounts which</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428" w:name="page429"/>
    <w:bookmarkEnd w:id="428"/>
    <w:p>
      <w:pPr>
        <w:ind w:left="5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reasonable and customary in the U.S. Pharmaceutical industry for companies of comparable size and activities obtained from a reputable insurer to protect against potential liabilities and risk arising out of the activities to be performed under this Agreement and upon such terms (including coverages and deductible limits) as are customary in the U.S. pharmaceutical industry generally for that activities to be conducted by Licensee under this Agreement. Upon written request from Licensor, Licensee shall provide written evidence (e.g., certificates) of such insurance to Licensor.</w:t>
      </w:r>
    </w:p>
    <w:p>
      <w:pPr>
        <w:spacing w:after="0" w:line="89" w:lineRule="exact"/>
        <w:rPr>
          <w:sz w:val="20"/>
          <w:szCs w:val="20"/>
          <w:color w:val="auto"/>
        </w:rPr>
      </w:pPr>
    </w:p>
    <w:p>
      <w:pPr>
        <w:ind w:left="540" w:right="380" w:hanging="539"/>
        <w:spacing w:after="0" w:line="258" w:lineRule="auto"/>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color w:val="auto"/>
        </w:rPr>
        <w:t>LIMITATION OF LIABILITY</w:t>
      </w:r>
      <w:r>
        <w:rPr>
          <w:rFonts w:ascii="Arial" w:cs="Arial" w:eastAsia="Arial" w:hAnsi="Arial"/>
          <w:sz w:val="18"/>
          <w:szCs w:val="18"/>
          <w:color w:val="auto"/>
        </w:rPr>
        <w:t>. EXCEPT FOR DAMAGES ARISING FROM A BREACH OF ARTICLE 7, IN NO EVENT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34"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and, unless terminated sooner as provided below,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on a country-by-country and Licensed Product-by-Licensed Product basis until the expiration of the last Valid Claim of the Licensor Patent Rights in such country for such Licensed Product. Upon expiration of such Agreement with respect to such Licensed Product, Licensee shall have a fully-paid up right and license.</w:t>
      </w:r>
    </w:p>
    <w:p>
      <w:pPr>
        <w:spacing w:after="0" w:line="85" w:lineRule="exact"/>
        <w:rPr>
          <w:sz w:val="20"/>
          <w:szCs w:val="20"/>
          <w:color w:val="auto"/>
        </w:rPr>
      </w:pPr>
    </w:p>
    <w:p>
      <w:pPr>
        <w:ind w:left="540" w:right="220" w:hanging="539"/>
        <w:spacing w:after="0" w:line="289"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Termination of the Agreement for Convenience</w:t>
      </w:r>
      <w:r>
        <w:rPr>
          <w:rFonts w:ascii="Arial" w:cs="Arial" w:eastAsia="Arial" w:hAnsi="Arial"/>
          <w:sz w:val="17"/>
          <w:szCs w:val="17"/>
          <w:color w:val="auto"/>
        </w:rPr>
        <w:t>. At any time after the Research Term, Licensee may, at its convenience, terminate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its entirety or terminate this Agreement with respect to any Licensed Product for an Indication in the Field of Use on a Licensed Product-by-Licensed Product basis, upon providing at least [***] prior written notice to Licensor of such termination.</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Termination For Cause</w:t>
      </w:r>
      <w:r>
        <w:rPr>
          <w:rFonts w:ascii="Arial" w:cs="Arial" w:eastAsia="Arial" w:hAnsi="Arial"/>
          <w:sz w:val="16"/>
          <w:szCs w:val="16"/>
          <w:color w:val="auto"/>
        </w:rPr>
        <w:t>.</w:t>
      </w:r>
    </w:p>
    <w:p>
      <w:pPr>
        <w:spacing w:after="0" w:line="135" w:lineRule="exact"/>
        <w:rPr>
          <w:sz w:val="20"/>
          <w:szCs w:val="20"/>
          <w:color w:val="auto"/>
        </w:rPr>
      </w:pPr>
    </w:p>
    <w:p>
      <w:pPr>
        <w:ind w:left="1180" w:hanging="647"/>
        <w:spacing w:after="0" w:line="296" w:lineRule="auto"/>
        <w:tabs>
          <w:tab w:leader="none" w:pos="11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If either Party materially breaches any of its material obligations under this Agreement, the non-breaching Party may give to the breach Party a written notice specifying the nature of the default, requiring it to cure such breach, and stating its intention to terminate this Agreement. If such breach is not cured within [***] of such notice, such termination shall become effective upon a notice of termination by the terminating Party thereafter. Provided however, if there is a dispute on whether a material breach occurred or if a breach was material such termination is tolled pending resolution of such dispute and the License shall remain in effect during such period.</w:t>
      </w:r>
    </w:p>
    <w:p>
      <w:pPr>
        <w:spacing w:after="0" w:line="67" w:lineRule="exact"/>
        <w:rPr>
          <w:sz w:val="20"/>
          <w:szCs w:val="20"/>
          <w:color w:val="auto"/>
        </w:rPr>
      </w:pPr>
    </w:p>
    <w:p>
      <w:pPr>
        <w:ind w:left="1180" w:right="60" w:hanging="647"/>
        <w:spacing w:after="0" w:line="254" w:lineRule="auto"/>
        <w:tabs>
          <w:tab w:leader="none" w:pos="1160" w:val="left"/>
        </w:tabs>
        <w:rPr>
          <w:sz w:val="20"/>
          <w:szCs w:val="20"/>
          <w:color w:val="auto"/>
        </w:rPr>
      </w:pPr>
      <w:r>
        <w:rPr>
          <w:rFonts w:ascii="Arial" w:cs="Arial" w:eastAsia="Arial" w:hAnsi="Arial"/>
          <w:sz w:val="18"/>
          <w:szCs w:val="18"/>
          <w:color w:val="auto"/>
        </w:rPr>
        <w:t>10.3.2</w:t>
        <w:tab/>
        <w:t>Either Party may terminate this Agreement, upon written notice, with immediate effect if, at any time, the other Party is unable to pay its debts when they come due, or files in any court or agency pursuant to any statute or regulation of any state, country or jurisdiction, a petition for the appointment of a receiver or trustee of such Party or of its assets, or if such Party proposes a written agreement of composition or extension of its debts, or if such Party is served with an involuntary petition against it, filed in any insolvency proceeding, and such petition is not dismissed within [***] after the filing thereof, or if such Party is a party to any dissolution or liquidation, or if such Party makes an assignment for the benefit of its creditors of all or substantially all its assets (in each case, “</w:t>
      </w:r>
      <w:r>
        <w:rPr>
          <w:rFonts w:ascii="Arial" w:cs="Arial" w:eastAsia="Arial" w:hAnsi="Arial"/>
          <w:sz w:val="18"/>
          <w:szCs w:val="18"/>
          <w:b w:val="1"/>
          <w:bCs w:val="1"/>
          <w:color w:val="auto"/>
        </w:rPr>
        <w:t>Bankruptcy Action</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29" w:name="page430"/>
    <w:bookmarkEnd w:id="42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10.4</w:t>
      </w:r>
      <w:r>
        <w:rPr>
          <w:sz w:val="20"/>
          <w:szCs w:val="20"/>
          <w:color w:val="auto"/>
        </w:rPr>
        <w:tab/>
      </w:r>
      <w:r>
        <w:rPr>
          <w:rFonts w:ascii="Arial" w:cs="Arial" w:eastAsia="Arial" w:hAnsi="Arial"/>
          <w:sz w:val="16"/>
          <w:szCs w:val="16"/>
          <w:b w:val="1"/>
          <w:bCs w:val="1"/>
          <w:color w:val="auto"/>
        </w:rPr>
        <w:t>Effects of Termination</w:t>
      </w:r>
      <w:r>
        <w:rPr>
          <w:rFonts w:ascii="Arial" w:cs="Arial" w:eastAsia="Arial" w:hAnsi="Arial"/>
          <w:sz w:val="16"/>
          <w:szCs w:val="16"/>
          <w:color w:val="auto"/>
        </w:rPr>
        <w:t>.</w:t>
      </w:r>
    </w:p>
    <w:p>
      <w:pPr>
        <w:spacing w:after="0" w:line="135" w:lineRule="exact"/>
        <w:rPr>
          <w:sz w:val="20"/>
          <w:szCs w:val="20"/>
          <w:color w:val="auto"/>
        </w:rPr>
      </w:pPr>
    </w:p>
    <w:p>
      <w:pPr>
        <w:ind w:left="1180" w:hanging="647"/>
        <w:spacing w:after="0" w:line="286" w:lineRule="auto"/>
        <w:tabs>
          <w:tab w:leader="none" w:pos="11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Notwithstanding the termination of this Agreement, the following provisions shall survive: Sections 6.2, and 10.4 and Articles 1, 7, 8, 9, and 11. Furthermore, where this Agreement is terminated in relation to fewer than all of the Indications or Licensed Products (as provided above), it will remain in effect as to the non-terminated Indication(s) or non-terminated Licensed Product(s).</w:t>
      </w:r>
    </w:p>
    <w:p>
      <w:pPr>
        <w:spacing w:after="0" w:line="71" w:lineRule="exact"/>
        <w:rPr>
          <w:sz w:val="20"/>
          <w:szCs w:val="20"/>
          <w:color w:val="auto"/>
        </w:rPr>
      </w:pPr>
    </w:p>
    <w:p>
      <w:pPr>
        <w:jc w:val="both"/>
        <w:ind w:left="1180" w:right="240" w:hanging="647"/>
        <w:spacing w:after="0" w:line="279" w:lineRule="auto"/>
        <w:tabs>
          <w:tab w:leader="none" w:pos="11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7"/>
          <w:szCs w:val="17"/>
          <w:color w:val="auto"/>
        </w:rPr>
        <w:t>Termination of this Agreement shall not relieve the Parties of any obligation or liability that, at the time of termination, has already accrued hereunder, or which is attributable to a period prior to the effective date of such termination.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77" w:lineRule="exact"/>
        <w:rPr>
          <w:sz w:val="20"/>
          <w:szCs w:val="20"/>
          <w:color w:val="auto"/>
        </w:rPr>
      </w:pPr>
    </w:p>
    <w:p>
      <w:pPr>
        <w:ind w:left="1180" w:right="40" w:hanging="647"/>
        <w:spacing w:after="0" w:line="270" w:lineRule="auto"/>
        <w:tabs>
          <w:tab w:leader="none" w:pos="116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If this Agreement is terminated for any reason, all outstanding Sublicenses (including all Sublicense Documents for each Sublicense) not in default will be assigned by Licensee to Licensor, and such assignment will be accepted by Licensor. Each assigned Sublicense will remain in full force and effect with Licensor as the licensor or sublicensor instead of Licensee, but the duties and obligations of Licensor under the assigned Sublicenses will not be greater than the duties of Licensor under this Agreement, and the rights of Licensor under the assigned Sublicenses will not be less than the rights of Licensor under this Agreement, including all financial consideration and other rights of Licensor. Licensor may, at its reasonable discretion, amend such outstanding Sublicenses to contain the terms and conditions found in this Agreement. [***]. Where this Agreement is terminated in relation to fewer than all of the Indications or Licensed Products (as provided above), the foregoing paragraph will not apply to the extent any Sublicense pertains to any non-terminated Indication(s) or Licensed Product(s).</w:t>
      </w:r>
    </w:p>
    <w:p>
      <w:pPr>
        <w:spacing w:after="0" w:line="86" w:lineRule="exact"/>
        <w:rPr>
          <w:sz w:val="20"/>
          <w:szCs w:val="20"/>
          <w:color w:val="auto"/>
        </w:rPr>
      </w:pPr>
    </w:p>
    <w:p>
      <w:pPr>
        <w:ind w:left="1180" w:hanging="647"/>
        <w:spacing w:after="0" w:line="272" w:lineRule="auto"/>
        <w:tabs>
          <w:tab w:leader="none" w:pos="116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7"/>
          <w:szCs w:val="17"/>
          <w:color w:val="auto"/>
        </w:rPr>
        <w:t>Within [***] days of termination of this Agreement or any Indication (other than termination by Licensee pursuant to Section 10.3), Licensee shall pay Licensor all costs through the effective termination date per any Research Program SRA as well as all commitments related to the performance of the Research Program SRAs (i.e., all costs or non-cancellable commitments incurred prior to the receipt, or issuance, by Licensor of the notice of termination, and the cost of each employee, student and faculty member to the extent supported under the Research Program SRA until the effective date of termination; and subject to Licensor’s written notification to Licensee and Licensee’s acknowledgement of all costs and non-cancellable commitments as they arise) incurred by Licensor under this Agreement, or for the terminated Indication, as applicable.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PROVISIONS</w:t>
      </w:r>
    </w:p>
    <w:p>
      <w:pPr>
        <w:spacing w:after="0" w:line="234" w:lineRule="exact"/>
        <w:rPr>
          <w:sz w:val="20"/>
          <w:szCs w:val="20"/>
          <w:color w:val="auto"/>
        </w:rPr>
      </w:pPr>
    </w:p>
    <w:p>
      <w:pPr>
        <w:jc w:val="both"/>
        <w:ind w:left="540" w:right="40" w:hanging="539"/>
        <w:spacing w:after="0" w:line="289"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Relationship of the Parties</w:t>
      </w:r>
      <w:r>
        <w:rPr>
          <w:rFonts w:ascii="Arial" w:cs="Arial" w:eastAsia="Arial" w:hAnsi="Arial"/>
          <w:sz w:val="17"/>
          <w:szCs w:val="17"/>
          <w:color w:val="auto"/>
        </w:rPr>
        <w:t>. Nothing in this Agreement is intended or shall be deemed, for financial, tax, legal or other purposes, to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Expenses</w:t>
      </w:r>
      <w:r>
        <w:rPr>
          <w:rFonts w:ascii="Arial" w:cs="Arial" w:eastAsia="Arial" w:hAnsi="Arial"/>
          <w:sz w:val="16"/>
          <w:szCs w:val="16"/>
          <w:color w:val="auto"/>
        </w:rPr>
        <w:t>. Except as otherwise provided in this Agreement,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430" w:name="page431"/>
    <w:bookmarkEnd w:id="43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Third Party Beneficiary</w:t>
      </w:r>
      <w:r>
        <w:rPr>
          <w:rFonts w:ascii="Arial" w:cs="Arial" w:eastAsia="Arial" w:hAnsi="Arial"/>
          <w:sz w:val="16"/>
          <w:szCs w:val="16"/>
          <w:color w:val="auto"/>
        </w:rPr>
        <w:t>. The Parties agree that each Sublicensee is a third party beneficiary of this Agreement with respect to Section 10.4.3.</w:t>
      </w:r>
    </w:p>
    <w:p>
      <w:pPr>
        <w:spacing w:after="0" w:line="131" w:lineRule="exact"/>
        <w:rPr>
          <w:sz w:val="20"/>
          <w:szCs w:val="20"/>
          <w:color w:val="auto"/>
        </w:rPr>
      </w:pPr>
    </w:p>
    <w:p>
      <w:pPr>
        <w:ind w:left="540" w:right="20" w:hanging="539"/>
        <w:spacing w:after="0" w:line="271"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color w:val="auto"/>
        </w:rPr>
        <w:t>Use of Names</w:t>
      </w:r>
      <w:r>
        <w:rPr>
          <w:rFonts w:ascii="Arial" w:cs="Arial" w:eastAsia="Arial" w:hAnsi="Arial"/>
          <w:sz w:val="17"/>
          <w:szCs w:val="17"/>
          <w:color w:val="auto"/>
        </w:rPr>
        <w:t>. Licensee, its Affiliates and Sublicensees may not use the name, logo, seal, trademark, or service mark (including any adaptation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them) of Licensor or any Licensor school, organization, employee, student or representative, without the prior written consent of Licensor. Notwithstanding the foregoing, Licensee may use the name of Licensor in a non-misleading and factual manner solely in (a) executive summaries, business plans, offering memoranda and other similar documents used by Licensee for the purpose of raising financing for the operations of Licensee as related to Licensed Product, or entering into commercial contracts with Third Parties, but in such case only to the extent necessary to inform a reader that the Licensor Patent Rights and/or Licensed Know-How (subject to the provisions of Section 7) has been licensed by Licensee from Licensor, and/or that Licensee is collaborating with Licensor on the Research Program, and to inform a reader of the identity and published credentials of inventors of intellectual property, and (b) any securities reports required to be filed with the Securities and Exchange Commission.</w:t>
      </w:r>
    </w:p>
    <w:p>
      <w:pPr>
        <w:spacing w:after="0" w:line="79"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color w:val="auto"/>
        </w:rPr>
        <w:t>No Discrimination</w:t>
      </w:r>
      <w:r>
        <w:rPr>
          <w:rFonts w:ascii="Arial" w:cs="Arial" w:eastAsia="Arial" w:hAnsi="Arial"/>
          <w:sz w:val="18"/>
          <w:szCs w:val="18"/>
          <w:color w:val="auto"/>
        </w:rPr>
        <w:t>. Neither Licensor nor Licensee will discriminate against any employee or applicant for employment because of race, color,</w:t>
      </w:r>
      <w:r>
        <w:rPr>
          <w:rFonts w:ascii="Arial" w:cs="Arial" w:eastAsia="Arial" w:hAnsi="Arial"/>
          <w:sz w:val="18"/>
          <w:szCs w:val="18"/>
          <w:b w:val="1"/>
          <w:bCs w:val="1"/>
          <w:color w:val="auto"/>
        </w:rPr>
        <w:t xml:space="preserve"> </w:t>
      </w:r>
      <w:r>
        <w:rPr>
          <w:rFonts w:ascii="Arial" w:cs="Arial" w:eastAsia="Arial" w:hAnsi="Arial"/>
          <w:sz w:val="18"/>
          <w:szCs w:val="18"/>
          <w:color w:val="auto"/>
        </w:rPr>
        <w:t>sex, sexual or affectional preference, age, religion, national or ethnic origin, handicap, or veteran status.</w:t>
      </w:r>
    </w:p>
    <w:p>
      <w:pPr>
        <w:spacing w:after="0" w:line="67" w:lineRule="exact"/>
        <w:rPr>
          <w:sz w:val="20"/>
          <w:szCs w:val="20"/>
          <w:color w:val="auto"/>
        </w:rPr>
      </w:pPr>
    </w:p>
    <w:p>
      <w:pPr>
        <w:jc w:val="both"/>
        <w:ind w:left="540" w:right="40" w:hanging="539"/>
        <w:spacing w:after="0" w:line="289" w:lineRule="auto"/>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b w:val="1"/>
          <w:bCs w:val="1"/>
          <w:color w:val="auto"/>
        </w:rPr>
        <w:t>Successors and Assignment</w:t>
      </w:r>
      <w:r>
        <w:rPr>
          <w:rFonts w:ascii="Arial" w:cs="Arial" w:eastAsia="Arial" w:hAnsi="Arial"/>
          <w:sz w:val="17"/>
          <w:szCs w:val="17"/>
          <w:color w:val="auto"/>
        </w:rPr>
        <w:t>. The terms and provisions hereof shall inure to the benefit of, and be binding upon, the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permitted assigns. Licensee may assign or transfer this Agreement or any of its rights or obligations created hereunder, in whole or in part to (a) an Affiliate, or (b) to any Third Party, without the prior written consent of Licensor.</w:t>
      </w:r>
    </w:p>
    <w:p>
      <w:pPr>
        <w:spacing w:after="0" w:line="63" w:lineRule="exact"/>
        <w:rPr>
          <w:sz w:val="20"/>
          <w:szCs w:val="20"/>
          <w:color w:val="auto"/>
        </w:rPr>
      </w:pPr>
    </w:p>
    <w:p>
      <w:pPr>
        <w:ind w:left="540" w:right="520" w:hanging="539"/>
        <w:spacing w:after="0" w:line="282" w:lineRule="auto"/>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67"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b w:val="1"/>
          <w:bCs w:val="1"/>
          <w:color w:val="auto"/>
        </w:rPr>
        <w:t>Entire Agreement of the Parties; Amendments</w:t>
      </w:r>
      <w:r>
        <w:rPr>
          <w:rFonts w:ascii="Arial" w:cs="Arial" w:eastAsia="Arial" w:hAnsi="Arial"/>
          <w:sz w:val="17"/>
          <w:szCs w:val="17"/>
          <w:color w:val="auto"/>
        </w:rPr>
        <w:t>. This Agreement, the Exhibits and Appendices or Schedules hereto, and the Equity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constitute and contain the entire 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73" w:lineRule="exact"/>
        <w:rPr>
          <w:sz w:val="20"/>
          <w:szCs w:val="20"/>
          <w:color w:val="auto"/>
        </w:rPr>
      </w:pPr>
    </w:p>
    <w:p>
      <w:pPr>
        <w:jc w:val="center"/>
        <w:ind w:right="100"/>
        <w:spacing w:after="0"/>
        <w:tabs>
          <w:tab w:leader="none" w:pos="2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by and interpreted in accordance with the laws of the state of Texas, excluding application</w:t>
      </w:r>
    </w:p>
    <w:p>
      <w:pPr>
        <w:spacing w:after="0" w:line="27" w:lineRule="exact"/>
        <w:rPr>
          <w:sz w:val="20"/>
          <w:szCs w:val="20"/>
          <w:color w:val="auto"/>
        </w:rPr>
      </w:pPr>
    </w:p>
    <w:p>
      <w:pPr>
        <w:ind w:left="540" w:right="640"/>
        <w:spacing w:after="0" w:line="260" w:lineRule="auto"/>
        <w:rPr>
          <w:sz w:val="20"/>
          <w:szCs w:val="20"/>
          <w:color w:val="auto"/>
        </w:rPr>
      </w:pPr>
      <w:r>
        <w:rPr>
          <w:rFonts w:ascii="Arial" w:cs="Arial" w:eastAsia="Arial" w:hAnsi="Arial"/>
          <w:sz w:val="18"/>
          <w:szCs w:val="18"/>
          <w:color w:val="auto"/>
        </w:rPr>
        <w:t>of any conflict of laws principles that would require application of the law of a jurisdiction outside of the state of Texas. Nothing in this Agreement shall constitute a waiver of sovereign immunity by System or UT Southwestern.</w:t>
      </w:r>
    </w:p>
    <w:p>
      <w:pPr>
        <w:spacing w:after="0" w:line="87"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b w:val="1"/>
          <w:bCs w:val="1"/>
          <w:color w:val="auto"/>
        </w:rPr>
        <w:t>Dispute Resolution</w:t>
      </w:r>
      <w:r>
        <w:rPr>
          <w:rFonts w:ascii="Arial" w:cs="Arial" w:eastAsia="Arial" w:hAnsi="Arial"/>
          <w:sz w:val="17"/>
          <w:szCs w:val="17"/>
          <w:color w:val="auto"/>
        </w:rPr>
        <w:t>. If a dispute arises between the Parties concerning this Agreement, then the Parties will confer, as soon as practicable, in an</w:t>
      </w:r>
      <w:r>
        <w:rPr>
          <w:rFonts w:ascii="Arial" w:cs="Arial" w:eastAsia="Arial" w:hAnsi="Arial"/>
          <w:sz w:val="17"/>
          <w:szCs w:val="17"/>
          <w:b w:val="1"/>
          <w:bCs w:val="1"/>
          <w:color w:val="auto"/>
        </w:rPr>
        <w:t xml:space="preserve"> </w:t>
      </w:r>
      <w:r>
        <w:rPr>
          <w:rFonts w:ascii="Arial" w:cs="Arial" w:eastAsia="Arial" w:hAnsi="Arial"/>
          <w:sz w:val="17"/>
          <w:szCs w:val="17"/>
          <w:color w:val="auto"/>
        </w:rPr>
        <w:t>attempt to resolve the dispute (in accordance with the provisions of Section 2.9 as applicable); provided, however, that the foregoing will not prohibit either Party from (a) immediately seeking and/or obtaining preliminary injunctive or other equitable relief for any actual or threatened breach of confidentiality by the other Party or (b) submitting a dispute (subject to the provisions of Section 2.9 as applicable) to the jurisdiction of, and venue in, the state and Federal courts located in the Northern District of Texas.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40" w:top="270" w:right="519" w:bottom="1440" w:gutter="0" w:footer="0" w:header="0"/>
        </w:sectPr>
      </w:pPr>
    </w:p>
    <w:bookmarkStart w:id="431" w:name="page432"/>
    <w:bookmarkEnd w:id="431"/>
    <w:p>
      <w:pPr>
        <w:ind w:left="540" w:hanging="539"/>
        <w:spacing w:after="0" w:line="29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11.11</w:t>
      </w:r>
      <w:r>
        <w:rPr>
          <w:sz w:val="20"/>
          <w:szCs w:val="20"/>
          <w:color w:val="auto"/>
        </w:rPr>
        <w:tab/>
      </w:r>
      <w:r>
        <w:rPr>
          <w:rFonts w:ascii="Arial" w:cs="Arial" w:eastAsia="Arial" w:hAnsi="Arial"/>
          <w:sz w:val="16"/>
          <w:szCs w:val="16"/>
          <w:b w:val="1"/>
          <w:bCs w:val="1"/>
          <w:color w:val="auto"/>
        </w:rPr>
        <w:t>Notices and Deliveries</w:t>
      </w:r>
      <w:r>
        <w:rPr>
          <w:rFonts w:ascii="Arial" w:cs="Arial" w:eastAsia="Arial" w:hAnsi="Arial"/>
          <w:sz w:val="16"/>
          <w:szCs w:val="16"/>
          <w:color w:val="auto"/>
        </w:rPr>
        <w:t>. Any notice, request, approval or consent required or permitted to be given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directed to a Party at its address or facsimile number shown below or such other address or facsimile number as such Party shall have last given by notice to the other Party. A notice will be deemed received: if delivered personally, on the date of delivery; if mailed, [***] after deposit in the United States mail; if sent via courier, [***] after deposit with the courier service; or if sent via facsimile, upon receipt of confirmation of transmission provided that a confirming copy of such notice is sent by certified mail, postage prepaid, return receipt requested.</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8"/>
              </w:rPr>
              <w:t>For Licensor</w:t>
            </w:r>
          </w:p>
        </w:tc>
        <w:tc>
          <w:tcPr>
            <w:tcW w:w="3020" w:type="dxa"/>
            <w:vAlign w:val="bottom"/>
            <w:gridSpan w:val="2"/>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3"/>
        </w:trPr>
        <w:tc>
          <w:tcPr>
            <w:tcW w:w="4000" w:type="dxa"/>
            <w:vAlign w:val="bottom"/>
            <w:gridSpan w:val="3"/>
          </w:tcPr>
          <w:p>
            <w:pPr>
              <w:ind w:left="360"/>
              <w:spacing w:after="0"/>
              <w:rPr>
                <w:sz w:val="20"/>
                <w:szCs w:val="20"/>
                <w:color w:val="auto"/>
              </w:rPr>
            </w:pPr>
            <w:r>
              <w:rPr>
                <w:rFonts w:ascii="Arial" w:cs="Arial" w:eastAsia="Arial" w:hAnsi="Arial"/>
                <w:sz w:val="18"/>
                <w:szCs w:val="18"/>
                <w:color w:val="auto"/>
              </w:rPr>
              <w:t>UT Southwestern Medical Center</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7"/>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7"/>
              </w:rPr>
              <w:t>For Licensee:</w:t>
            </w:r>
          </w:p>
        </w:tc>
        <w:tc>
          <w:tcPr>
            <w:tcW w:w="2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4"/>
              </w:rPr>
              <w:t>with a copy to</w:t>
            </w:r>
          </w:p>
        </w:tc>
      </w:tr>
      <w:tr>
        <w:trPr>
          <w:trHeight w:val="303"/>
        </w:trPr>
        <w:tc>
          <w:tcPr>
            <w:tcW w:w="4000" w:type="dxa"/>
            <w:vAlign w:val="bottom"/>
            <w:gridSpan w:val="3"/>
          </w:tcPr>
          <w:p>
            <w:pPr>
              <w:ind w:left="360"/>
              <w:spacing w:after="0"/>
              <w:rPr>
                <w:sz w:val="20"/>
                <w:szCs w:val="20"/>
                <w:color w:val="auto"/>
              </w:rPr>
            </w:pPr>
            <w:r>
              <w:rPr>
                <w:rFonts w:ascii="Arial" w:cs="Arial" w:eastAsia="Arial" w:hAnsi="Arial"/>
                <w:sz w:val="18"/>
                <w:szCs w:val="18"/>
                <w:color w:val="auto"/>
              </w:rPr>
              <w:t>Taysha Gene Therapies, Inc.</w:t>
            </w:r>
          </w:p>
        </w:tc>
        <w:tc>
          <w:tcPr>
            <w:tcW w:w="224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25" w:lineRule="exact"/>
        <w:rPr>
          <w:sz w:val="20"/>
          <w:szCs w:val="20"/>
          <w:color w:val="auto"/>
        </w:rPr>
      </w:pPr>
    </w:p>
    <w:p>
      <w:pPr>
        <w:jc w:val="center"/>
        <w:ind w:right="140"/>
        <w:spacing w:after="0"/>
        <w:tabs>
          <w:tab w:leader="none" w:pos="1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b w:val="1"/>
          <w:bCs w:val="1"/>
          <w:color w:val="auto"/>
        </w:rPr>
        <w:t>Waiver</w:t>
      </w:r>
      <w:r>
        <w:rPr>
          <w:rFonts w:ascii="Arial" w:cs="Arial" w:eastAsia="Arial" w:hAnsi="Arial"/>
          <w:sz w:val="16"/>
          <w:szCs w:val="16"/>
          <w:color w:val="auto"/>
        </w:rPr>
        <w:t>. A waiver by either Party of any of the terms and conditions of this Agreement in any instance shall not be deemed or construed to be a</w:t>
      </w:r>
    </w:p>
    <w:p>
      <w:pPr>
        <w:spacing w:after="0" w:line="27" w:lineRule="exact"/>
        <w:rPr>
          <w:sz w:val="20"/>
          <w:szCs w:val="20"/>
          <w:color w:val="auto"/>
        </w:rPr>
      </w:pPr>
    </w:p>
    <w:p>
      <w:pPr>
        <w:ind w:left="540" w:right="200"/>
        <w:spacing w:after="0" w:line="255" w:lineRule="auto"/>
        <w:rPr>
          <w:sz w:val="20"/>
          <w:szCs w:val="20"/>
          <w:color w:val="auto"/>
        </w:rPr>
      </w:pPr>
      <w:r>
        <w:rPr>
          <w:rFonts w:ascii="Arial" w:cs="Arial" w:eastAsia="Arial" w:hAnsi="Arial"/>
          <w:sz w:val="18"/>
          <w:szCs w:val="18"/>
          <w:color w:val="auto"/>
        </w:rPr>
        <w:t>waiver of such term or condition for the future, or of any other term or condition hereof. Except as otherwise provided herein, all rights, remedies, undertakings, obligations and agreements contained in this Agreement shall be cumulative and none of them shall be in limitation of any other remedy, right, undertaking, obligation or agreement of either Party.</w:t>
      </w:r>
    </w:p>
    <w:p>
      <w:pPr>
        <w:spacing w:after="0" w:line="91" w:lineRule="exact"/>
        <w:rPr>
          <w:sz w:val="20"/>
          <w:szCs w:val="20"/>
          <w:color w:val="auto"/>
        </w:rPr>
      </w:pPr>
    </w:p>
    <w:p>
      <w:pPr>
        <w:ind w:left="540" w:hanging="539"/>
        <w:spacing w:after="0" w:line="303" w:lineRule="auto"/>
        <w:tabs>
          <w:tab w:leader="none" w:pos="5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b w:val="1"/>
          <w:bCs w:val="1"/>
          <w:color w:val="auto"/>
        </w:rPr>
        <w:t>Severability</w:t>
      </w:r>
      <w:r>
        <w:rPr>
          <w:rFonts w:ascii="Arial" w:cs="Arial" w:eastAsia="Arial" w:hAnsi="Arial"/>
          <w:sz w:val="16"/>
          <w:szCs w:val="16"/>
          <w:color w:val="auto"/>
        </w:rPr>
        <w:t>. When possible, each provision of this Agreement will be interpreted in such manner as to be effective and valid under law, but if</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56" w:lineRule="exact"/>
        <w:rPr>
          <w:sz w:val="20"/>
          <w:szCs w:val="20"/>
          <w:color w:val="auto"/>
        </w:rPr>
      </w:pPr>
    </w:p>
    <w:p>
      <w:pPr>
        <w:ind w:left="540" w:hanging="539"/>
        <w:spacing w:after="0" w:line="269" w:lineRule="auto"/>
        <w:tabs>
          <w:tab w:leader="none" w:pos="5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b w:val="1"/>
          <w:bCs w:val="1"/>
          <w:color w:val="auto"/>
        </w:rPr>
        <w:t>Export Compliance</w:t>
      </w:r>
      <w:r>
        <w:rPr>
          <w:rFonts w:ascii="Arial" w:cs="Arial" w:eastAsia="Arial" w:hAnsi="Arial"/>
          <w:sz w:val="17"/>
          <w:szCs w:val="17"/>
          <w:color w:val="auto"/>
        </w:rPr>
        <w:t>. Licensee understands that the Arms Export Control Act (AECA), including its implementing International Traffic In Arms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(ITAR), and the Export Administration Act (EAA), including its Export Administration Regulations (EAR), are some (but not all) of the laws and regulations that comprise the U.S. export laws and regulations. Licensee further understands that the U.S. export laws and regulations include (but are not limited to): (a) ITAR and EAR product/service/data-specific requirements; (b) ITAR and EAR ultimate destination-specific requirements; (c) ITAR and EAR end user-specific requirements; (d) Foreign Corrupt Practices Act; and (e) anti-boycott laws and regulations. Licensee will comply with all then-current applicable export laws and regulations of the U.S. Government (and other applicable U.S. laws and regulations) pertaining to the Licensed Products (including any associated products, items, articles, computer software, media, services, technical data, and other information). Licensee certifies that it will not, directly or indirectly, export (including any deemed export), nor re-export (including any deemed re-export) the Licensed Products (including any associated products, items, articles, computer software, media, services, technical data, and other information) in violation of applicable U.S. laws and regulations. Licensee will include a provision in its agreements, substantially similar to this Section 11.14, with its Sublicensees, third party wholesalers and distributors, and physicians, hospitals or other healthcare providers who purchase a Licensed Product, requiring that these parties comply with all then-current applicable U.S. export laws and regulations and other applicable U.S. laws and regulations.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432" w:name="page433"/>
    <w:bookmarkEnd w:id="432"/>
    <w:p>
      <w:pPr>
        <w:ind w:left="520" w:hanging="539"/>
        <w:spacing w:after="0" w:line="258"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11.15</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8"/>
          <w:szCs w:val="18"/>
          <w:color w:val="auto"/>
        </w:rPr>
        <w:t>. The words “include,” “includes” and “including” shall be deemed to be followed by the phrase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herein to Articles, Sections, Schedules and Exhibits shall be deemed references to Articles and Sections of, Schedules and Exhibits to, this Agreement unless the context shall otherwise require. Unless the context otherwise requires, countries shall include territories. References to any specific Law or article, section or other division thereof, shall be deemed to include the then-current amendments or any replacement Law thereto.</w:t>
      </w:r>
    </w:p>
    <w:p>
      <w:pPr>
        <w:spacing w:after="0" w:line="89" w:lineRule="exact"/>
        <w:rPr>
          <w:sz w:val="20"/>
          <w:szCs w:val="20"/>
          <w:color w:val="auto"/>
        </w:rPr>
      </w:pPr>
    </w:p>
    <w:p>
      <w:pPr>
        <w:jc w:val="both"/>
        <w:ind w:left="520" w:right="260" w:hanging="539"/>
        <w:spacing w:after="0" w:line="266" w:lineRule="auto"/>
        <w:tabs>
          <w:tab w:leader="none" w:pos="50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will be deemed an original, and all of which together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one and the same instrument. A facsimile or a portable document format (PDF) copy of this Agreement, including the signature pages, will be deemed an original.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60" w:top="270" w:right="479" w:bottom="1440" w:gutter="0" w:footer="0" w:header="0"/>
        </w:sectPr>
      </w:pPr>
    </w:p>
    <w:bookmarkStart w:id="433" w:name="page434"/>
    <w:bookmarkEnd w:id="43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duly authorized representatives of the Parties have executed this Agreement as of the Effective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gridSpan w:val="4"/>
          </w:tcPr>
          <w:p>
            <w:pPr>
              <w:spacing w:after="0"/>
              <w:rPr>
                <w:sz w:val="20"/>
                <w:szCs w:val="20"/>
                <w:color w:val="auto"/>
              </w:rPr>
            </w:pPr>
            <w:r>
              <w:rPr>
                <w:rFonts w:ascii="Arial" w:cs="Arial" w:eastAsia="Arial" w:hAnsi="Arial"/>
                <w:sz w:val="18"/>
                <w:szCs w:val="18"/>
                <w:color w:val="auto"/>
              </w:rPr>
              <w:t>BOARD OF REGENTS OF THE</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TAYSHA GENE THERAPIES, INC.</w:t>
            </w:r>
          </w:p>
        </w:tc>
      </w:tr>
      <w:tr>
        <w:trPr>
          <w:trHeight w:val="230"/>
        </w:trPr>
        <w:tc>
          <w:tcPr>
            <w:tcW w:w="5180" w:type="dxa"/>
            <w:vAlign w:val="bottom"/>
            <w:gridSpan w:val="4"/>
          </w:tcPr>
          <w:p>
            <w:pPr>
              <w:spacing w:after="0"/>
              <w:rPr>
                <w:sz w:val="20"/>
                <w:szCs w:val="20"/>
                <w:color w:val="auto"/>
              </w:rPr>
            </w:pPr>
            <w:r>
              <w:rPr>
                <w:rFonts w:ascii="Arial" w:cs="Arial" w:eastAsia="Arial" w:hAnsi="Arial"/>
                <w:sz w:val="18"/>
                <w:szCs w:val="18"/>
                <w:color w:val="auto"/>
              </w:rPr>
              <w:t>UNIVERSITY OF TEXAS SYSTEM</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Arnim Dontes</w:t>
            </w:r>
          </w:p>
        </w:tc>
        <w:tc>
          <w:tcPr>
            <w:tcW w:w="1100" w:type="dxa"/>
            <w:vAlign w:val="bottom"/>
          </w:tcPr>
          <w:p>
            <w:pPr>
              <w:ind w:left="6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 Session II</w:t>
            </w:r>
          </w:p>
        </w:tc>
      </w:tr>
      <w:tr>
        <w:trPr>
          <w:trHeight w:val="209"/>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Arnim Dontes</w:t>
            </w:r>
          </w:p>
        </w:tc>
        <w:tc>
          <w:tcPr>
            <w:tcW w:w="11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RA Session II</w:t>
            </w: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Executive Vice President for Business Affairs</w:t>
            </w:r>
          </w:p>
        </w:tc>
        <w:tc>
          <w:tcPr>
            <w:tcW w:w="11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Founder</w:t>
            </w: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UT Southwestern Medical Center</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11/21/2019</w:t>
            </w:r>
          </w:p>
        </w:tc>
        <w:tc>
          <w:tcPr>
            <w:tcW w:w="780" w:type="dxa"/>
            <w:vAlign w:val="bottom"/>
          </w:tcPr>
          <w:p>
            <w:pPr>
              <w:spacing w:after="0"/>
              <w:rPr>
                <w:sz w:val="24"/>
                <w:szCs w:val="24"/>
                <w:color w:val="auto"/>
              </w:rPr>
            </w:pPr>
          </w:p>
        </w:tc>
        <w:tc>
          <w:tcPr>
            <w:tcW w:w="1100" w:type="dxa"/>
            <w:vAlign w:val="bottom"/>
          </w:tcPr>
          <w:p>
            <w:pPr>
              <w:ind w:left="640"/>
              <w:spacing w:after="0"/>
              <w:rPr>
                <w:sz w:val="20"/>
                <w:szCs w:val="20"/>
                <w:color w:val="auto"/>
              </w:rPr>
            </w:pPr>
            <w:r>
              <w:rPr>
                <w:rFonts w:ascii="Arial" w:cs="Arial" w:eastAsia="Arial" w:hAnsi="Arial"/>
                <w:sz w:val="18"/>
                <w:szCs w:val="18"/>
                <w:color w:val="auto"/>
              </w:rPr>
              <w:t>Date</w:t>
            </w:r>
          </w:p>
        </w:tc>
        <w:tc>
          <w:tcPr>
            <w:tcW w:w="4740" w:type="dxa"/>
            <w:vAlign w:val="bottom"/>
          </w:tcPr>
          <w:p>
            <w:pPr>
              <w:spacing w:after="0"/>
              <w:rPr>
                <w:sz w:val="20"/>
                <w:szCs w:val="20"/>
                <w:color w:val="auto"/>
              </w:rPr>
            </w:pPr>
            <w:r>
              <w:rPr>
                <w:rFonts w:ascii="Arial" w:cs="Arial" w:eastAsia="Arial" w:hAnsi="Arial"/>
                <w:sz w:val="18"/>
                <w:szCs w:val="18"/>
                <w:color w:val="auto"/>
              </w:rPr>
              <w:t>11/19/19</w:t>
            </w:r>
          </w:p>
        </w:tc>
      </w:tr>
      <w:tr>
        <w:trPr>
          <w:trHeight w:val="459"/>
        </w:trPr>
        <w:tc>
          <w:tcPr>
            <w:tcW w:w="5180" w:type="dxa"/>
            <w:vAlign w:val="bottom"/>
            <w:gridSpan w:val="4"/>
          </w:tcPr>
          <w:p>
            <w:pPr>
              <w:spacing w:after="0"/>
              <w:rPr>
                <w:sz w:val="20"/>
                <w:szCs w:val="20"/>
                <w:color w:val="auto"/>
              </w:rPr>
            </w:pPr>
            <w:r>
              <w:rPr>
                <w:rFonts w:ascii="Arial" w:cs="Arial" w:eastAsia="Arial" w:hAnsi="Arial"/>
                <w:sz w:val="18"/>
                <w:szCs w:val="18"/>
                <w:color w:val="auto"/>
              </w:rPr>
              <w:t>Approved as to Content:</w:t>
            </w: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3"/>
          </w:tcPr>
          <w:p>
            <w:pPr>
              <w:spacing w:after="0"/>
              <w:rPr>
                <w:sz w:val="20"/>
                <w:szCs w:val="20"/>
                <w:color w:val="auto"/>
              </w:rPr>
            </w:pPr>
            <w:r>
              <w:rPr>
                <w:rFonts w:ascii="Arial" w:cs="Arial" w:eastAsia="Arial" w:hAnsi="Arial"/>
                <w:sz w:val="18"/>
                <w:szCs w:val="18"/>
                <w:color w:val="auto"/>
              </w:rPr>
              <w:t>/s/ Claire Aldridge</w:t>
            </w: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Claire Aldridge, Ph.D.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Associate Vice President,</w:t>
            </w:r>
          </w:p>
        </w:tc>
        <w:tc>
          <w:tcPr>
            <w:tcW w:w="1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Commercialization and Business Development</w:t>
            </w:r>
          </w:p>
        </w:tc>
        <w:tc>
          <w:tcPr>
            <w:tcW w:w="110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UT Southwestern Medical Center</w:t>
            </w:r>
          </w:p>
        </w:tc>
        <w:tc>
          <w:tcPr>
            <w:tcW w:w="11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6"/>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gridSpan w:val="2"/>
          </w:tcPr>
          <w:p>
            <w:pPr>
              <w:spacing w:after="0"/>
              <w:rPr>
                <w:sz w:val="20"/>
                <w:szCs w:val="20"/>
                <w:color w:val="auto"/>
              </w:rPr>
            </w:pPr>
            <w:r>
              <w:rPr>
                <w:rFonts w:ascii="Arial" w:cs="Arial" w:eastAsia="Arial" w:hAnsi="Arial"/>
                <w:sz w:val="18"/>
                <w:szCs w:val="18"/>
                <w:color w:val="auto"/>
              </w:rPr>
              <w:t>11/20/2019</w:t>
            </w: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45"/>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60" w:type="dxa"/>
            <w:vAlign w:val="bottom"/>
            <w:gridSpan w:val="4"/>
          </w:tcPr>
          <w:p>
            <w:pPr>
              <w:ind w:left="2500"/>
              <w:spacing w:after="0"/>
              <w:rPr>
                <w:sz w:val="20"/>
                <w:szCs w:val="20"/>
                <w:color w:val="auto"/>
              </w:rPr>
            </w:pPr>
            <w:r>
              <w:rPr>
                <w:rFonts w:ascii="Arial" w:cs="Arial" w:eastAsia="Arial" w:hAnsi="Arial"/>
                <w:sz w:val="18"/>
                <w:szCs w:val="18"/>
                <w:b w:val="1"/>
                <w:bCs w:val="1"/>
                <w:color w:val="auto"/>
              </w:rPr>
              <w:t>[Signature Page to Research, Collaboration &amp; License Agreement]</w:t>
            </w:r>
          </w:p>
        </w:tc>
      </w:tr>
    </w:tbl>
    <w:p>
      <w:pPr>
        <w:sectPr>
          <w:pgSz w:w="11900" w:h="16838" w:orient="portrait"/>
          <w:cols w:equalWidth="0" w:num="1">
            <w:col w:w="11020"/>
          </w:cols>
          <w:pgMar w:left="440" w:top="270" w:right="439" w:bottom="1440" w:gutter="0" w:footer="0" w:header="0"/>
        </w:sectPr>
      </w:pPr>
    </w:p>
    <w:bookmarkStart w:id="434" w:name="page435"/>
    <w:bookmarkEnd w:id="434"/>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Licensor Patent Rights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35" w:name="page436"/>
    <w:bookmarkEnd w:id="435"/>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9" w:lineRule="exact"/>
        <w:rPr>
          <w:sz w:val="20"/>
          <w:szCs w:val="20"/>
          <w:color w:val="auto"/>
        </w:rPr>
      </w:pPr>
    </w:p>
    <w:p>
      <w:pPr>
        <w:jc w:val="right"/>
        <w:ind w:right="3519"/>
        <w:spacing w:after="0"/>
        <w:rPr>
          <w:sz w:val="20"/>
          <w:szCs w:val="20"/>
          <w:color w:val="auto"/>
        </w:rPr>
      </w:pPr>
      <w:r>
        <w:rPr>
          <w:rFonts w:ascii="Arial" w:cs="Arial" w:eastAsia="Arial" w:hAnsi="Arial"/>
          <w:sz w:val="18"/>
          <w:szCs w:val="18"/>
          <w:u w:val="single" w:color="auto"/>
          <w:color w:val="auto"/>
        </w:rPr>
        <w:t>Equity Issuance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36" w:name="page437"/>
    <w:bookmarkEnd w:id="436"/>
    <w:p>
      <w:pPr>
        <w:ind w:left="10084"/>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Taysha Gene Therapies, Inc. has determined such information (i) is not material and (ii) would be competitively harmful if publicly disclosed.</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TO RESEARCH, COLLABORATION &amp; LICENSE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AGT NO. 2020-0029/L3729-Taysha</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Amendment to the November 19, 2019 Research, Collaboration &amp; License Agreement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April 2, 2020 (the</w:t>
      </w:r>
    </w:p>
    <w:p>
      <w:pPr>
        <w:spacing w:after="0" w:line="39"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The Board of Regents (“</w:t>
      </w:r>
      <w:r>
        <w:rPr>
          <w:rFonts w:ascii="Arial" w:cs="Arial" w:eastAsia="Arial" w:hAnsi="Arial"/>
          <w:sz w:val="18"/>
          <w:szCs w:val="18"/>
          <w:b w:val="1"/>
          <w:bCs w:val="1"/>
          <w:color w:val="auto"/>
        </w:rPr>
        <w:t>Board</w:t>
      </w:r>
      <w:r>
        <w:rPr>
          <w:rFonts w:ascii="Arial" w:cs="Arial" w:eastAsia="Arial" w:hAnsi="Arial"/>
          <w:sz w:val="18"/>
          <w:szCs w:val="18"/>
          <w:color w:val="auto"/>
        </w:rPr>
        <w:t>”) of The University of Texas System (“</w:t>
      </w:r>
      <w:r>
        <w:rPr>
          <w:rFonts w:ascii="Arial" w:cs="Arial" w:eastAsia="Arial" w:hAnsi="Arial"/>
          <w:sz w:val="18"/>
          <w:szCs w:val="18"/>
          <w:b w:val="1"/>
          <w:bCs w:val="1"/>
          <w:color w:val="auto"/>
        </w:rPr>
        <w:t>System</w:t>
      </w:r>
      <w:r>
        <w:rPr>
          <w:rFonts w:ascii="Arial" w:cs="Arial" w:eastAsia="Arial" w:hAnsi="Arial"/>
          <w:sz w:val="18"/>
          <w:szCs w:val="18"/>
          <w:color w:val="auto"/>
        </w:rPr>
        <w:t>”), an agency of the State of Texas whose address is 210 West 7th Street, Austin, Texas 78701, on behalf of The University of Texas Southwestern Medical Center (“</w:t>
      </w:r>
      <w:r>
        <w:rPr>
          <w:rFonts w:ascii="Arial" w:cs="Arial" w:eastAsia="Arial" w:hAnsi="Arial"/>
          <w:sz w:val="18"/>
          <w:szCs w:val="18"/>
          <w:b w:val="1"/>
          <w:bCs w:val="1"/>
          <w:color w:val="auto"/>
        </w:rPr>
        <w:t>UT</w:t>
      </w:r>
      <w:r>
        <w:rPr>
          <w:rFonts w:ascii="Arial" w:cs="Arial" w:eastAsia="Arial" w:hAnsi="Arial"/>
          <w:sz w:val="18"/>
          <w:szCs w:val="18"/>
          <w:color w:val="auto"/>
        </w:rPr>
        <w:t xml:space="preserve"> </w:t>
      </w:r>
      <w:r>
        <w:rPr>
          <w:rFonts w:ascii="Arial" w:cs="Arial" w:eastAsia="Arial" w:hAnsi="Arial"/>
          <w:sz w:val="18"/>
          <w:szCs w:val="18"/>
          <w:b w:val="1"/>
          <w:bCs w:val="1"/>
          <w:color w:val="auto"/>
        </w:rPr>
        <w:t>Southwestern</w:t>
      </w:r>
      <w:r>
        <w:rPr>
          <w:rFonts w:ascii="Arial" w:cs="Arial" w:eastAsia="Arial" w:hAnsi="Arial"/>
          <w:sz w:val="18"/>
          <w:szCs w:val="18"/>
          <w:color w:val="auto"/>
        </w:rPr>
        <w:t>”), a component institution of System (“</w:t>
      </w:r>
      <w:r>
        <w:rPr>
          <w:rFonts w:ascii="Arial" w:cs="Arial" w:eastAsia="Arial" w:hAnsi="Arial"/>
          <w:sz w:val="18"/>
          <w:szCs w:val="18"/>
          <w:b w:val="1"/>
          <w:bCs w:val="1"/>
          <w:color w:val="auto"/>
        </w:rPr>
        <w:t>Licensor</w:t>
      </w:r>
      <w:r>
        <w:rPr>
          <w:rFonts w:ascii="Arial" w:cs="Arial" w:eastAsia="Arial" w:hAnsi="Arial"/>
          <w:sz w:val="18"/>
          <w:szCs w:val="18"/>
          <w:color w:val="auto"/>
        </w:rPr>
        <w:t>”), and Taysha Gene Therapies, Inc., a Texas corporation (“</w:t>
      </w:r>
      <w:r>
        <w:rPr>
          <w:rFonts w:ascii="Arial" w:cs="Arial" w:eastAsia="Arial" w:hAnsi="Arial"/>
          <w:sz w:val="18"/>
          <w:szCs w:val="18"/>
          <w:b w:val="1"/>
          <w:bCs w:val="1"/>
          <w:color w:val="auto"/>
        </w:rPr>
        <w:t>Licensee</w:t>
      </w:r>
      <w:r>
        <w:rPr>
          <w:rFonts w:ascii="Arial" w:cs="Arial" w:eastAsia="Arial" w:hAnsi="Arial"/>
          <w:sz w:val="18"/>
          <w:szCs w:val="18"/>
          <w:color w:val="auto"/>
        </w:rPr>
        <w:t>”). Licensor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are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All capitalized terms used but not defined herein shall have the meaning ascribed to such term in the Agreement.</w:t>
      </w:r>
    </w:p>
    <w:p>
      <w:pPr>
        <w:spacing w:after="0" w:line="187" w:lineRule="exact"/>
        <w:rPr>
          <w:sz w:val="20"/>
          <w:szCs w:val="20"/>
          <w:color w:val="auto"/>
        </w:rPr>
      </w:pPr>
    </w:p>
    <w:p>
      <w:pPr>
        <w:ind w:left="4" w:right="11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 certain Research, Collaboration &amp; License Agreement (AGT No. 2020-0029/L3729-Taysha)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amend the Agreement to include additional license grants to newly developed intellectual property rights of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various promises and undertakings set forth herein, the Parties agree as follows:</w:t>
      </w:r>
    </w:p>
    <w:p>
      <w:pPr>
        <w:spacing w:after="0" w:line="131"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 Parties hereby agree to amend the Agreement as follows: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following definitions are hereby amended as follows:</w:t>
      </w:r>
    </w:p>
    <w:p>
      <w:pPr>
        <w:spacing w:after="0" w:line="113" w:lineRule="exact"/>
        <w:rPr>
          <w:rFonts w:ascii="Arial" w:cs="Arial" w:eastAsia="Arial" w:hAnsi="Arial"/>
          <w:sz w:val="18"/>
          <w:szCs w:val="18"/>
          <w:color w:val="auto"/>
        </w:rPr>
      </w:pPr>
    </w:p>
    <w:p>
      <w:pPr>
        <w:ind w:left="444" w:right="220" w:firstLine="419"/>
        <w:spacing w:after="0" w:line="282" w:lineRule="auto"/>
        <w:tabs>
          <w:tab w:leader="none" w:pos="121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Gray Laboratory</w:t>
      </w:r>
      <w:r>
        <w:rPr>
          <w:rFonts w:ascii="Arial" w:cs="Arial" w:eastAsia="Arial" w:hAnsi="Arial"/>
          <w:sz w:val="18"/>
          <w:szCs w:val="18"/>
          <w:color w:val="auto"/>
        </w:rPr>
        <w:t>” shall include the following language at the end of the definition “, including but not limited to, Sara Sinnett, Ryan Butler, Marc Diamond and Rachel Bailey.”</w:t>
      </w:r>
    </w:p>
    <w:p>
      <w:pPr>
        <w:spacing w:after="0" w:line="53" w:lineRule="exact"/>
        <w:rPr>
          <w:rFonts w:ascii="Arial" w:cs="Arial" w:eastAsia="Arial" w:hAnsi="Arial"/>
          <w:sz w:val="18"/>
          <w:szCs w:val="18"/>
          <w:color w:val="auto"/>
        </w:rPr>
      </w:pPr>
    </w:p>
    <w:p>
      <w:pPr>
        <w:ind w:left="444" w:right="480" w:firstLine="419"/>
        <w:spacing w:after="0" w:line="282" w:lineRule="auto"/>
        <w:tabs>
          <w:tab w:leader="none" w:pos="126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Licensed Product</w:t>
      </w:r>
      <w:r>
        <w:rPr>
          <w:rFonts w:ascii="Arial" w:cs="Arial" w:eastAsia="Arial" w:hAnsi="Arial"/>
          <w:sz w:val="18"/>
          <w:szCs w:val="18"/>
          <w:color w:val="auto"/>
        </w:rPr>
        <w:t>” shall include “Licensed Capsid Know-How or Licensed Redosing Know-How” after each instance “Licensed Know-How” is used in such definition.</w:t>
      </w:r>
    </w:p>
    <w:p>
      <w:pPr>
        <w:spacing w:after="0" w:line="53" w:lineRule="exact"/>
        <w:rPr>
          <w:rFonts w:ascii="Arial" w:cs="Arial" w:eastAsia="Arial" w:hAnsi="Arial"/>
          <w:sz w:val="18"/>
          <w:szCs w:val="18"/>
          <w:color w:val="auto"/>
        </w:rPr>
      </w:pPr>
    </w:p>
    <w:p>
      <w:pPr>
        <w:ind w:left="1304" w:hanging="441"/>
        <w:spacing w:after="0"/>
        <w:tabs>
          <w:tab w:leader="none" w:pos="130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Named Indications</w:t>
      </w:r>
      <w:r>
        <w:rPr>
          <w:rFonts w:ascii="Arial" w:cs="Arial" w:eastAsia="Arial" w:hAnsi="Arial"/>
          <w:sz w:val="18"/>
          <w:szCs w:val="18"/>
          <w:color w:val="auto"/>
        </w:rPr>
        <w:t>” shall include the following addition indications “[***].”</w:t>
      </w:r>
    </w:p>
    <w:p>
      <w:pPr>
        <w:spacing w:after="0" w:line="117" w:lineRule="exact"/>
        <w:rPr>
          <w:rFonts w:ascii="Arial" w:cs="Arial" w:eastAsia="Arial" w:hAnsi="Arial"/>
          <w:sz w:val="18"/>
          <w:szCs w:val="18"/>
          <w:color w:val="auto"/>
        </w:rPr>
      </w:pPr>
    </w:p>
    <w:p>
      <w:pPr>
        <w:ind w:left="444" w:right="40" w:firstLine="419"/>
        <w:spacing w:after="0" w:line="282" w:lineRule="auto"/>
        <w:tabs>
          <w:tab w:leader="none" w:pos="1303"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b w:val="1"/>
          <w:bCs w:val="1"/>
          <w:color w:val="auto"/>
        </w:rPr>
        <w:t>Valid Claim</w:t>
      </w:r>
      <w:r>
        <w:rPr>
          <w:rFonts w:ascii="Arial" w:cs="Arial" w:eastAsia="Arial" w:hAnsi="Arial"/>
          <w:sz w:val="18"/>
          <w:szCs w:val="18"/>
          <w:color w:val="auto"/>
        </w:rPr>
        <w:t>” shall include “Licensor Capsid Patent Rights or Licensor Redosing Patent Rights” after each instance “Licensor Patent Rights” is used in such definition.</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following definitions are added to Section 1 of the Agreement:</w:t>
      </w:r>
    </w:p>
    <w:p>
      <w:pPr>
        <w:spacing w:after="0" w:line="113" w:lineRule="exact"/>
        <w:rPr>
          <w:rFonts w:ascii="Arial" w:cs="Arial" w:eastAsia="Arial" w:hAnsi="Arial"/>
          <w:sz w:val="18"/>
          <w:szCs w:val="18"/>
          <w:color w:val="auto"/>
        </w:rPr>
      </w:pPr>
    </w:p>
    <w:p>
      <w:pPr>
        <w:ind w:left="984" w:right="600"/>
        <w:spacing w:after="0" w:line="282" w:lineRule="auto"/>
        <w:rPr>
          <w:rFonts w:ascii="Arial" w:cs="Arial" w:eastAsia="Arial" w:hAnsi="Arial"/>
          <w:sz w:val="18"/>
          <w:szCs w:val="18"/>
          <w:color w:val="auto"/>
        </w:rPr>
      </w:pPr>
      <w:r>
        <w:rPr>
          <w:rFonts w:ascii="Arial" w:cs="Arial" w:eastAsia="Arial" w:hAnsi="Arial"/>
          <w:sz w:val="18"/>
          <w:szCs w:val="18"/>
          <w:color w:val="auto"/>
        </w:rPr>
        <w:t>1.49 “</w:t>
      </w:r>
      <w:r>
        <w:rPr>
          <w:rFonts w:ascii="Arial" w:cs="Arial" w:eastAsia="Arial" w:hAnsi="Arial"/>
          <w:sz w:val="18"/>
          <w:szCs w:val="18"/>
          <w:b w:val="1"/>
          <w:bCs w:val="1"/>
          <w:color w:val="auto"/>
        </w:rPr>
        <w:t>AAV Capsid Platform</w:t>
      </w:r>
      <w:r>
        <w:rPr>
          <w:rFonts w:ascii="Arial" w:cs="Arial" w:eastAsia="Arial" w:hAnsi="Arial"/>
          <w:sz w:val="18"/>
          <w:szCs w:val="18"/>
          <w:color w:val="auto"/>
        </w:rPr>
        <w:t>” means the proprietary AAV capsid platform Controlled by Licensor and conceived and reduced to practice by the Gray Laboratory and further described in the study entitled “[***].”</w:t>
      </w:r>
    </w:p>
    <w:p>
      <w:pPr>
        <w:sectPr>
          <w:pgSz w:w="11900" w:h="16838" w:orient="portrait"/>
          <w:cols w:equalWidth="0" w:num="1">
            <w:col w:w="11024"/>
          </w:cols>
          <w:pgMar w:left="436" w:top="121" w:right="439" w:bottom="1440" w:gutter="0" w:footer="0" w:header="0"/>
        </w:sectPr>
      </w:pPr>
    </w:p>
    <w:bookmarkStart w:id="437" w:name="page438"/>
    <w:bookmarkEnd w:id="437"/>
    <w:p>
      <w:pPr>
        <w:ind w:left="560" w:right="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1.50 “</w:t>
      </w:r>
      <w:r>
        <w:rPr>
          <w:rFonts w:ascii="Arial" w:cs="Arial" w:eastAsia="Arial" w:hAnsi="Arial"/>
          <w:sz w:val="18"/>
          <w:szCs w:val="18"/>
          <w:b w:val="1"/>
          <w:bCs w:val="1"/>
          <w:color w:val="auto"/>
        </w:rPr>
        <w:t>Licensed Capsid Know-How</w:t>
      </w:r>
      <w:r>
        <w:rPr>
          <w:rFonts w:ascii="Arial" w:cs="Arial" w:eastAsia="Arial" w:hAnsi="Arial"/>
          <w:sz w:val="18"/>
          <w:szCs w:val="18"/>
          <w:color w:val="auto"/>
        </w:rPr>
        <w:t>” means all Know-How and Licensed Material that is Controlled by Licensor and (a) relating to the AAV Capsid Platform, and (b) developed by the Gray Laboratory, and in each case (a) and (b) is necessary or reasonably useful to develop, make, use, sell, offer for sale, or import a Licensed Product in the Field of Use.</w:t>
      </w:r>
    </w:p>
    <w:p>
      <w:pPr>
        <w:spacing w:after="0" w:line="68" w:lineRule="exact"/>
        <w:rPr>
          <w:sz w:val="20"/>
          <w:szCs w:val="20"/>
          <w:color w:val="auto"/>
        </w:rPr>
      </w:pPr>
    </w:p>
    <w:p>
      <w:pPr>
        <w:ind w:left="560" w:right="180"/>
        <w:spacing w:after="0" w:line="266"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Licensed Redosing Know-How</w:t>
      </w:r>
      <w:r>
        <w:rPr>
          <w:rFonts w:ascii="Arial" w:cs="Arial" w:eastAsia="Arial" w:hAnsi="Arial"/>
          <w:sz w:val="18"/>
          <w:szCs w:val="18"/>
          <w:color w:val="auto"/>
        </w:rPr>
        <w:t>” means all Know-How and Licensed Material that is Controlled by Licensor and (a) relating to the Redosing Technology, and (b) developed by the Gray Laboratory, and in each case (a) and (b) is necessary or reasonably useful to develop, make, use, sell, offer for sale, or import a Licensed Product in the Field of Use.</w:t>
      </w:r>
    </w:p>
    <w:p>
      <w:pPr>
        <w:spacing w:after="0" w:line="68" w:lineRule="exact"/>
        <w:rPr>
          <w:sz w:val="20"/>
          <w:szCs w:val="20"/>
          <w:color w:val="auto"/>
        </w:rPr>
      </w:pPr>
    </w:p>
    <w:p>
      <w:pPr>
        <w:ind w:left="560" w:right="460"/>
        <w:spacing w:after="0" w:line="289" w:lineRule="auto"/>
        <w:rPr>
          <w:sz w:val="20"/>
          <w:szCs w:val="20"/>
          <w:color w:val="auto"/>
        </w:rPr>
      </w:pPr>
      <w:r>
        <w:rPr>
          <w:rFonts w:ascii="Arial" w:cs="Arial" w:eastAsia="Arial" w:hAnsi="Arial"/>
          <w:sz w:val="16"/>
          <w:szCs w:val="16"/>
          <w:color w:val="auto"/>
        </w:rPr>
        <w:t>1.52 “</w:t>
      </w:r>
      <w:r>
        <w:rPr>
          <w:rFonts w:ascii="Arial" w:cs="Arial" w:eastAsia="Arial" w:hAnsi="Arial"/>
          <w:sz w:val="16"/>
          <w:szCs w:val="16"/>
          <w:b w:val="1"/>
          <w:bCs w:val="1"/>
          <w:color w:val="auto"/>
        </w:rPr>
        <w:t>Licensor Capsid Patent Rights</w:t>
      </w:r>
      <w:r>
        <w:rPr>
          <w:rFonts w:ascii="Arial" w:cs="Arial" w:eastAsia="Arial" w:hAnsi="Arial"/>
          <w:sz w:val="16"/>
          <w:szCs w:val="16"/>
          <w:color w:val="auto"/>
        </w:rPr>
        <w:t>” means the (a) the Patent Rights Controlled by Licensor that are necessary or useful for the development of Licensed Product, including but not limited to Patent Rights that claim a method of manufacturing or producing a component contained in a Licensed Product, (b) any Patent Rights Controlled by Licensor and conceived and reduced to practice by</w:t>
      </w:r>
    </w:p>
    <w:p>
      <w:pPr>
        <w:spacing w:after="0" w:line="2" w:lineRule="exact"/>
        <w:rPr>
          <w:sz w:val="20"/>
          <w:szCs w:val="20"/>
          <w:color w:val="auto"/>
        </w:rPr>
      </w:pPr>
    </w:p>
    <w:p>
      <w:pPr>
        <w:ind w:left="560"/>
        <w:spacing w:after="0" w:line="260" w:lineRule="auto"/>
        <w:rPr>
          <w:sz w:val="20"/>
          <w:szCs w:val="20"/>
          <w:color w:val="auto"/>
        </w:rPr>
      </w:pPr>
      <w:r>
        <w:rPr>
          <w:rFonts w:ascii="Arial" w:cs="Arial" w:eastAsia="Arial" w:hAnsi="Arial"/>
          <w:sz w:val="18"/>
          <w:szCs w:val="18"/>
          <w:color w:val="auto"/>
        </w:rPr>
        <w:t>Dr. Gray, Dr. Minassian, or the Gray Laboratory and relating to the AAV Capsid Platform, and (c) any corresponding foreign Patent Rights to the foregoing.</w:t>
      </w:r>
    </w:p>
    <w:p>
      <w:pPr>
        <w:spacing w:after="0" w:line="73" w:lineRule="exact"/>
        <w:rPr>
          <w:sz w:val="20"/>
          <w:szCs w:val="20"/>
          <w:color w:val="auto"/>
        </w:rPr>
      </w:pPr>
    </w:p>
    <w:p>
      <w:pPr>
        <w:ind w:left="560" w:right="300"/>
        <w:spacing w:after="0" w:line="289" w:lineRule="auto"/>
        <w:rPr>
          <w:sz w:val="20"/>
          <w:szCs w:val="20"/>
          <w:color w:val="auto"/>
        </w:rPr>
      </w:pPr>
      <w:r>
        <w:rPr>
          <w:rFonts w:ascii="Arial" w:cs="Arial" w:eastAsia="Arial" w:hAnsi="Arial"/>
          <w:sz w:val="16"/>
          <w:szCs w:val="16"/>
          <w:color w:val="auto"/>
        </w:rPr>
        <w:t>1.53 “</w:t>
      </w:r>
      <w:r>
        <w:rPr>
          <w:rFonts w:ascii="Arial" w:cs="Arial" w:eastAsia="Arial" w:hAnsi="Arial"/>
          <w:sz w:val="16"/>
          <w:szCs w:val="16"/>
          <w:b w:val="1"/>
          <w:bCs w:val="1"/>
          <w:color w:val="auto"/>
        </w:rPr>
        <w:t>Licensor Redosing Patent Rights</w:t>
      </w:r>
      <w:r>
        <w:rPr>
          <w:rFonts w:ascii="Arial" w:cs="Arial" w:eastAsia="Arial" w:hAnsi="Arial"/>
          <w:sz w:val="16"/>
          <w:szCs w:val="16"/>
          <w:color w:val="auto"/>
        </w:rPr>
        <w:t>” means the (a) the Patent Rights Controlled by Licensor that are necessary or useful for the development of a Licensed Product, including but not limited to Patent Rights that claim a method of manufacturing or producing a component contained in a Licensed Product, (b) any Patent Rights Controlled by Licensor and conceived and reduced to practice by</w:t>
      </w:r>
    </w:p>
    <w:p>
      <w:pPr>
        <w:spacing w:after="0" w:line="2" w:lineRule="exact"/>
        <w:rPr>
          <w:sz w:val="20"/>
          <w:szCs w:val="20"/>
          <w:color w:val="auto"/>
        </w:rPr>
      </w:pPr>
    </w:p>
    <w:p>
      <w:pPr>
        <w:ind w:left="560" w:right="20"/>
        <w:spacing w:after="0" w:line="260" w:lineRule="auto"/>
        <w:rPr>
          <w:sz w:val="20"/>
          <w:szCs w:val="20"/>
          <w:color w:val="auto"/>
        </w:rPr>
      </w:pPr>
      <w:r>
        <w:rPr>
          <w:rFonts w:ascii="Arial" w:cs="Arial" w:eastAsia="Arial" w:hAnsi="Arial"/>
          <w:sz w:val="18"/>
          <w:szCs w:val="18"/>
          <w:color w:val="auto"/>
        </w:rPr>
        <w:t>Dr. Gray, Dr. Minassian, or the Gray Laboratory and relating to the Redosing Technology, and (c) any corresponding foreign Patent Rights to the foregoing.</w:t>
      </w:r>
    </w:p>
    <w:p>
      <w:pPr>
        <w:spacing w:after="0" w:line="73"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Redosing Indications</w:t>
      </w:r>
      <w:r>
        <w:rPr>
          <w:rFonts w:ascii="Arial" w:cs="Arial" w:eastAsia="Arial" w:hAnsi="Arial"/>
          <w:sz w:val="16"/>
          <w:szCs w:val="16"/>
          <w:color w:val="auto"/>
        </w:rPr>
        <w:t>” means the following indications: [***].</w:t>
      </w:r>
    </w:p>
    <w:p>
      <w:pPr>
        <w:spacing w:after="0" w:line="117"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Redosing Technology</w:t>
      </w:r>
      <w:r>
        <w:rPr>
          <w:rFonts w:ascii="Arial" w:cs="Arial" w:eastAsia="Arial" w:hAnsi="Arial"/>
          <w:sz w:val="16"/>
          <w:szCs w:val="16"/>
          <w:color w:val="auto"/>
        </w:rPr>
        <w:t>” means the proprietary [***].</w:t>
      </w:r>
    </w:p>
    <w:p>
      <w:pPr>
        <w:spacing w:after="0" w:line="135"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Section 3.1 addressing the License is revised to add the following subsections 3.1.3 through 3.1.6 to the Agreement:</w:t>
      </w:r>
    </w:p>
    <w:p>
      <w:pPr>
        <w:spacing w:after="0" w:line="117" w:lineRule="exact"/>
        <w:rPr>
          <w:rFonts w:ascii="Arial" w:cs="Arial" w:eastAsia="Arial" w:hAnsi="Arial"/>
          <w:sz w:val="18"/>
          <w:szCs w:val="18"/>
          <w:color w:val="auto"/>
        </w:rPr>
      </w:pPr>
    </w:p>
    <w:p>
      <w:pPr>
        <w:ind w:left="560"/>
        <w:spacing w:after="0" w:line="263" w:lineRule="auto"/>
        <w:rPr>
          <w:rFonts w:ascii="Arial" w:cs="Arial" w:eastAsia="Arial" w:hAnsi="Arial"/>
          <w:sz w:val="18"/>
          <w:szCs w:val="18"/>
          <w:color w:val="auto"/>
        </w:rPr>
      </w:pPr>
      <w:r>
        <w:rPr>
          <w:rFonts w:ascii="Arial" w:cs="Arial" w:eastAsia="Arial" w:hAnsi="Arial"/>
          <w:sz w:val="18"/>
          <w:szCs w:val="18"/>
          <w:color w:val="auto"/>
        </w:rPr>
        <w:t>3.1.3 an exclusive, world-wide, royalty-free right and license (with the right to sublicense through multiple tiers subject to the provisions of Section 3.4), under the Licensor Redosing Patent Rights to make, have made, use, sell, offer for sale, and import Licensed Products for the Indications and Redosing Indications in the Field of Use during the Term;</w:t>
      </w:r>
    </w:p>
    <w:p>
      <w:pPr>
        <w:spacing w:after="0" w:line="75" w:lineRule="exact"/>
        <w:rPr>
          <w:rFonts w:ascii="Arial" w:cs="Arial" w:eastAsia="Arial" w:hAnsi="Arial"/>
          <w:sz w:val="18"/>
          <w:szCs w:val="18"/>
          <w:color w:val="auto"/>
        </w:rPr>
      </w:pPr>
    </w:p>
    <w:p>
      <w:pPr>
        <w:ind w:left="560" w:right="40"/>
        <w:spacing w:after="0" w:line="257" w:lineRule="auto"/>
        <w:rPr>
          <w:rFonts w:ascii="Arial" w:cs="Arial" w:eastAsia="Arial" w:hAnsi="Arial"/>
          <w:sz w:val="18"/>
          <w:szCs w:val="18"/>
          <w:color w:val="auto"/>
        </w:rPr>
      </w:pPr>
      <w:r>
        <w:rPr>
          <w:rFonts w:ascii="Arial" w:cs="Arial" w:eastAsia="Arial" w:hAnsi="Arial"/>
          <w:sz w:val="18"/>
          <w:szCs w:val="18"/>
          <w:color w:val="auto"/>
        </w:rPr>
        <w:t>3.1.4 a non-exclusive, world-wide, royalty-free right and license (with the right to sublicense through multiple tiers subject to the provisions of Section 3.4), (a) under the Licensed Redosing Know-How, to make, have made, use sell, offer for sale and import Licensed Products for all indications, including the Indications and Redosing Indications, in the Field of Use during the Term and (b) subject to Section 3.7, under the Licensor Redosing Patent Rights to make, have made, use, sell, offer for sale, and import Licensed Products for any indication in the Field of Use during the Term;</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60" w:top="270" w:right="479" w:bottom="1440" w:gutter="0" w:footer="0" w:header="0"/>
        </w:sectPr>
      </w:pPr>
    </w:p>
    <w:bookmarkStart w:id="438" w:name="page439"/>
    <w:bookmarkEnd w:id="438"/>
    <w:p>
      <w:pPr>
        <w:jc w:val="both"/>
        <w:ind w:lef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3.1.5 an exclusive, world-wide, royalty-free right and license (with the right to sublicense through multiple tiers subject to the provisions of Section 3.4), under the Licensor Capsid Patent Rights to make, have made, use, sell, offer for sale, and import Licensed Products for the Indications in the Field of Use during the Term; and</w:t>
      </w:r>
    </w:p>
    <w:p>
      <w:pPr>
        <w:spacing w:after="0" w:line="76"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3.1.6 a non-exclusive, world-wide, royalty-free right and license (with the right to sublicense through multiple tiers subject to the provisions of Section 3.4), (a) under the Licensed Capsid Know-How to make, have made, use sell, offer for sale and import Licensed Products for all indications in the Field of Use during the Term, and (b) subject to Section 3.8, under the Licensor Capsid Patent Rights to make, have made, use, sell, offer for sale, and import Licensed Products for any indication in the Field of Use during the Term.</w:t>
      </w:r>
    </w:p>
    <w:p>
      <w:pPr>
        <w:spacing w:after="0" w:line="63" w:lineRule="exact"/>
        <w:rPr>
          <w:sz w:val="20"/>
          <w:szCs w:val="20"/>
          <w:color w:val="auto"/>
        </w:rPr>
      </w:pPr>
    </w:p>
    <w:p>
      <w:pPr>
        <w:ind w:left="540" w:right="80" w:hanging="532"/>
        <w:spacing w:after="0" w:line="301"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remaining provisions of Article 3 shall apply to all license grants set forth in Section 3.1 for Licensor Capsid Patent Rights, Licensor Redosing Patent Rights, Licensed Capsid Know-How and Licensed Redosing Know-How as such provisions are set forth in such sections for Licensor Patent Rights and Licensed Know-How, including the provisions of Retained Rights (Section 3.2), Government Rights (Section 3.3), Grant of Sublicense by Licensee (Section 3.4), Delivery of Know-How (Section 3.5) and No Implied License (Section 3.6).</w:t>
      </w:r>
    </w:p>
    <w:p>
      <w:pPr>
        <w:spacing w:after="0" w:line="62" w:lineRule="exact"/>
        <w:rPr>
          <w:rFonts w:ascii="Arial" w:cs="Arial" w:eastAsia="Arial" w:hAnsi="Arial"/>
          <w:sz w:val="16"/>
          <w:szCs w:val="16"/>
          <w:color w:val="auto"/>
        </w:rPr>
      </w:pPr>
    </w:p>
    <w:p>
      <w:pPr>
        <w:ind w:left="540" w:hanging="532"/>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following Section 3.7 is added to the Agreement:</w:t>
      </w:r>
    </w:p>
    <w:p>
      <w:pPr>
        <w:spacing w:after="0" w:line="113" w:lineRule="exact"/>
        <w:rPr>
          <w:rFonts w:ascii="Arial" w:cs="Arial" w:eastAsia="Arial" w:hAnsi="Arial"/>
          <w:sz w:val="18"/>
          <w:szCs w:val="18"/>
          <w:color w:val="auto"/>
        </w:rPr>
      </w:pPr>
    </w:p>
    <w:p>
      <w:pPr>
        <w:ind w:left="56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Right of First Refusal</w:t>
      </w:r>
      <w:r>
        <w:rPr>
          <w:rFonts w:ascii="Arial" w:cs="Arial" w:eastAsia="Arial" w:hAnsi="Arial"/>
          <w:sz w:val="17"/>
          <w:szCs w:val="17"/>
          <w:color w:val="auto"/>
        </w:rPr>
        <w:t>. Licensor grants to Licensee a right of first refusal (“</w:t>
      </w:r>
      <w:r>
        <w:rPr>
          <w:rFonts w:ascii="Arial" w:cs="Arial" w:eastAsia="Arial" w:hAnsi="Arial"/>
          <w:sz w:val="17"/>
          <w:szCs w:val="17"/>
          <w:b w:val="1"/>
          <w:bCs w:val="1"/>
          <w:color w:val="auto"/>
        </w:rPr>
        <w:t>ROFR</w:t>
      </w:r>
      <w:r>
        <w:rPr>
          <w:rFonts w:ascii="Arial" w:cs="Arial" w:eastAsia="Arial" w:hAnsi="Arial"/>
          <w:sz w:val="17"/>
          <w:szCs w:val="17"/>
          <w:color w:val="auto"/>
        </w:rPr>
        <w:t>”) to obtain an exclusive license under the Licensor Redosing Patent Rights for a Licensed Product in the Field of Use for any indication other than the Indications or Redosing Indications. Licensor shall provide written notice to Licensee prior to any negotiation with a Third Party for a non-exclusive license to any indication other than the Indications or Redosing Indications under the Licensor Redosing Patent Rights. Licensee may exercise the ROFR at any time during the Term by providing written notice (“</w:t>
      </w:r>
      <w:r>
        <w:rPr>
          <w:rFonts w:ascii="Arial" w:cs="Arial" w:eastAsia="Arial" w:hAnsi="Arial"/>
          <w:sz w:val="17"/>
          <w:szCs w:val="17"/>
          <w:b w:val="1"/>
          <w:bCs w:val="1"/>
          <w:color w:val="auto"/>
        </w:rPr>
        <w:t>ROFR Notice</w:t>
      </w:r>
      <w:r>
        <w:rPr>
          <w:rFonts w:ascii="Arial" w:cs="Arial" w:eastAsia="Arial" w:hAnsi="Arial"/>
          <w:sz w:val="17"/>
          <w:szCs w:val="17"/>
          <w:color w:val="auto"/>
        </w:rPr>
        <w:t>”) to Licensor, or within [***] of Licensee’s receipt of a written notice from Licensor that a Third Party is interested in obtaining a non-exclusive license under the Licensor Redosing Patent Rights for an indication in the Field of Use (“</w:t>
      </w:r>
      <w:r>
        <w:rPr>
          <w:rFonts w:ascii="Arial" w:cs="Arial" w:eastAsia="Arial" w:hAnsi="Arial"/>
          <w:sz w:val="17"/>
          <w:szCs w:val="17"/>
          <w:b w:val="1"/>
          <w:bCs w:val="1"/>
          <w:color w:val="auto"/>
        </w:rPr>
        <w:t>Third Party Notice</w:t>
      </w:r>
      <w:r>
        <w:rPr>
          <w:rFonts w:ascii="Arial" w:cs="Arial" w:eastAsia="Arial" w:hAnsi="Arial"/>
          <w:sz w:val="17"/>
          <w:szCs w:val="17"/>
          <w:color w:val="auto"/>
        </w:rPr>
        <w:t>”). Upon Licensee’s exercise of the ROFR, the Parties shall negotiate in good faith terms of an exclusive license (or amendment to this Agreement) in such other indication. In the event Licensor and Licensee are unable to enter into an agreement after [***] from the ROFR Notice (“</w:t>
      </w:r>
      <w:r>
        <w:rPr>
          <w:rFonts w:ascii="Arial" w:cs="Arial" w:eastAsia="Arial" w:hAnsi="Arial"/>
          <w:sz w:val="17"/>
          <w:szCs w:val="17"/>
          <w:b w:val="1"/>
          <w:bCs w:val="1"/>
          <w:color w:val="auto"/>
        </w:rPr>
        <w:t>ROFR Negotiation Period</w:t>
      </w:r>
      <w:r>
        <w:rPr>
          <w:rFonts w:ascii="Arial" w:cs="Arial" w:eastAsia="Arial" w:hAnsi="Arial"/>
          <w:sz w:val="17"/>
          <w:szCs w:val="17"/>
          <w:color w:val="auto"/>
        </w:rPr>
        <w:t>”) or Licensee does not provide a ROFR Notice within [***] of receipt of a Third Party Notice, then Licensor will have the right to enter into an agreement with a Third Party to grant non-exclusive rights with respect to the Licensor Redosing Patent Rights to a Third Party in such indication that was the subject of the ROFR Notice. For clarity, if Licensee and Licensor do not enter into an agreement for an exclusive license grant for the indication that is subject of the ROFR Notice, the non-exclusive license grant to Licensee set forth in Section 3.1.4(b) shall remain intact and Licensor may only grant a non-exclusive license to such Third Party for such indication.</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60" w:top="274" w:right="479" w:bottom="1440" w:gutter="0" w:footer="0" w:header="0"/>
        </w:sectPr>
      </w:pPr>
    </w:p>
    <w:bookmarkStart w:id="439" w:name="page440"/>
    <w:bookmarkEnd w:id="439"/>
    <w:p>
      <w:pPr>
        <w:ind w:left="964" w:hanging="532"/>
        <w:spacing w:after="0"/>
        <w:tabs>
          <w:tab w:leader="none" w:pos="964"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Section 3.8 is added to the Agreement:</w:t>
      </w:r>
    </w:p>
    <w:p>
      <w:pPr>
        <w:spacing w:after="0" w:line="113" w:lineRule="exact"/>
        <w:rPr>
          <w:rFonts w:ascii="Arial" w:cs="Arial" w:eastAsia="Arial" w:hAnsi="Arial"/>
          <w:sz w:val="18"/>
          <w:szCs w:val="18"/>
          <w:color w:val="auto"/>
        </w:rPr>
      </w:pPr>
    </w:p>
    <w:p>
      <w:pPr>
        <w:ind w:left="984" w:right="20"/>
        <w:spacing w:after="0" w:line="274" w:lineRule="auto"/>
        <w:rPr>
          <w:rFonts w:ascii="Arial" w:cs="Arial" w:eastAsia="Arial" w:hAnsi="Arial"/>
          <w:sz w:val="18"/>
          <w:szCs w:val="18"/>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Licensor Capsid Patent Rights</w:t>
      </w:r>
      <w:r>
        <w:rPr>
          <w:rFonts w:ascii="Arial" w:cs="Arial" w:eastAsia="Arial" w:hAnsi="Arial"/>
          <w:sz w:val="17"/>
          <w:szCs w:val="17"/>
          <w:color w:val="auto"/>
        </w:rPr>
        <w:t>. At any time during the Term, Licensor may provide written notice to Licensee that a Third Party is interested in obtaining an exclusive license grant under the Licensor Capsid Patent Rights for an indication that is subject to the non-exclusive license grant set forth in Section 3.1.6(b). Upon receipt of written notice, Licensee may, in its sole discretion, provide to Licensor written notice to exclude such indication from the non-exclusive license grant set forth in Section 3.1.6(b). Upon receipt of such written notice, the Parties shall negotiate in good faith an amendment to the Agreement. For clarity, Licensee is not obligated to exclude such indication or enter into an amendment to exclude such indication.</w:t>
      </w:r>
    </w:p>
    <w:p>
      <w:pPr>
        <w:spacing w:after="0" w:line="82" w:lineRule="exact"/>
        <w:rPr>
          <w:rFonts w:ascii="Arial" w:cs="Arial" w:eastAsia="Arial" w:hAnsi="Arial"/>
          <w:sz w:val="18"/>
          <w:szCs w:val="18"/>
          <w:color w:val="auto"/>
        </w:rPr>
      </w:pPr>
    </w:p>
    <w:p>
      <w:pPr>
        <w:ind w:left="964" w:right="180" w:hanging="532"/>
        <w:spacing w:after="0" w:line="263" w:lineRule="auto"/>
        <w:tabs>
          <w:tab w:leader="none" w:pos="96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provisions of Article 6, Sections 8.2, 8.3, 10.1, and 11.4 shall apply to Licensor Capsid Patent Rights, Licensed Capsid Know-How, Licensor Redosing Patent Rights and Licensed Redosing Know-How as such provisions are set forth in such Article and Sections for Licensor Patent Rights and Licensor Know-How.</w:t>
      </w:r>
    </w:p>
    <w:p>
      <w:pPr>
        <w:spacing w:after="0" w:line="183" w:lineRule="exact"/>
        <w:rPr>
          <w:rFonts w:ascii="Arial" w:cs="Arial" w:eastAsia="Arial" w:hAnsi="Arial"/>
          <w:sz w:val="18"/>
          <w:szCs w:val="18"/>
          <w:color w:val="auto"/>
        </w:rPr>
      </w:pPr>
    </w:p>
    <w:p>
      <w:pPr>
        <w:ind w:left="4" w:right="260" w:hanging="4"/>
        <w:spacing w:after="0" w:line="279" w:lineRule="auto"/>
        <w:tabs>
          <w:tab w:leader="none" w:pos="31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This Amendment along with the Agreement contains the entire understanding between the Parties and supersedes any and all prior agreements, understandings, and arrangements whether written or oral between the Parties with respect to the matters contained in the Agreement and this Amendment. No amendments, changes, modifications or alterations of the terms and conditions of this Amendment shall be binding upon any Party, unless provided in writing and signed by an authorized representative of each Party.</w:t>
      </w:r>
    </w:p>
    <w:p>
      <w:pPr>
        <w:spacing w:after="0" w:line="171" w:lineRule="exact"/>
        <w:rPr>
          <w:rFonts w:ascii="Arial" w:cs="Arial" w:eastAsia="Arial" w:hAnsi="Arial"/>
          <w:sz w:val="17"/>
          <w:szCs w:val="17"/>
          <w:color w:val="auto"/>
        </w:rPr>
      </w:pPr>
    </w:p>
    <w:p>
      <w:pPr>
        <w:ind w:left="304" w:hanging="304"/>
        <w:spacing w:after="0"/>
        <w:tabs>
          <w:tab w:leader="none" w:pos="3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terms and conditions of the Agreement not changed by this Amendment shall remain in full force and effect.</w:t>
      </w:r>
    </w:p>
    <w:p>
      <w:pPr>
        <w:spacing w:after="0" w:line="225" w:lineRule="exact"/>
        <w:rPr>
          <w:rFonts w:ascii="Arial" w:cs="Arial" w:eastAsia="Arial" w:hAnsi="Arial"/>
          <w:sz w:val="18"/>
          <w:szCs w:val="18"/>
          <w:color w:val="auto"/>
        </w:rPr>
      </w:pPr>
    </w:p>
    <w:p>
      <w:pPr>
        <w:ind w:left="4" w:hanging="4"/>
        <w:spacing w:after="0" w:line="263" w:lineRule="auto"/>
        <w:tabs>
          <w:tab w:leader="none" w:pos="31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Signatures on this Amendment may be communicated by e-mail transmission and shall be binding upon the Parties upon receipt by transmitting the same by e-mail, which signatures shall be deemed originals. If executed in counterparts, the Amendment shall be effective as if simultaneously executed.</w:t>
      </w:r>
    </w:p>
    <w:p>
      <w:pPr>
        <w:spacing w:after="0" w:line="18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Licensor and Licensee have entered into this Amendment effective as of the Amendment Effective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3"/>
          </w:tcPr>
          <w:p>
            <w:pPr>
              <w:spacing w:after="0"/>
              <w:rPr>
                <w:sz w:val="20"/>
                <w:szCs w:val="20"/>
                <w:color w:val="auto"/>
              </w:rPr>
            </w:pPr>
            <w:r>
              <w:rPr>
                <w:rFonts w:ascii="Arial" w:cs="Arial" w:eastAsia="Arial" w:hAnsi="Arial"/>
                <w:sz w:val="18"/>
                <w:szCs w:val="18"/>
                <w:color w:val="auto"/>
              </w:rPr>
              <w:t>BOARD OF REGENTS OF THE</w:t>
            </w:r>
          </w:p>
        </w:tc>
        <w:tc>
          <w:tcPr>
            <w:tcW w:w="5900" w:type="dxa"/>
            <w:vAlign w:val="bottom"/>
            <w:gridSpan w:val="3"/>
          </w:tcPr>
          <w:p>
            <w:pPr>
              <w:ind w:left="260"/>
              <w:spacing w:after="0"/>
              <w:rPr>
                <w:sz w:val="20"/>
                <w:szCs w:val="20"/>
                <w:color w:val="auto"/>
              </w:rPr>
            </w:pPr>
            <w:r>
              <w:rPr>
                <w:rFonts w:ascii="Arial" w:cs="Arial" w:eastAsia="Arial" w:hAnsi="Arial"/>
                <w:sz w:val="18"/>
                <w:szCs w:val="18"/>
                <w:color w:val="auto"/>
              </w:rPr>
              <w:t>TAYSHA GENE THERAPIES, INC.</w:t>
            </w: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UNIVERSITY OF TEXAS SYSTEM</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9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spacing w:after="0"/>
              <w:rPr>
                <w:sz w:val="20"/>
                <w:szCs w:val="20"/>
                <w:color w:val="auto"/>
              </w:rPr>
            </w:pPr>
            <w:r>
              <w:rPr>
                <w:rFonts w:ascii="Arial" w:cs="Arial" w:eastAsia="Arial" w:hAnsi="Arial"/>
                <w:sz w:val="18"/>
                <w:szCs w:val="18"/>
                <w:color w:val="auto"/>
              </w:rPr>
              <w:t>/s/ Arnim Dontes</w:t>
            </w:r>
          </w:p>
        </w:tc>
        <w:tc>
          <w:tcPr>
            <w:tcW w:w="660" w:type="dxa"/>
            <w:vAlign w:val="bottom"/>
          </w:tcPr>
          <w:p>
            <w:pPr>
              <w:ind w:left="260"/>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60"/>
              <w:spacing w:after="0"/>
              <w:rPr>
                <w:sz w:val="20"/>
                <w:szCs w:val="20"/>
                <w:color w:val="auto"/>
              </w:rPr>
            </w:pPr>
            <w:r>
              <w:rPr>
                <w:rFonts w:ascii="Arial" w:cs="Arial" w:eastAsia="Arial" w:hAnsi="Arial"/>
                <w:sz w:val="18"/>
                <w:szCs w:val="18"/>
                <w:color w:val="auto"/>
              </w:rPr>
              <w:t>/s/ RA Session II</w:t>
            </w:r>
          </w:p>
        </w:tc>
      </w:tr>
      <w:tr>
        <w:trPr>
          <w:trHeight w:val="209"/>
        </w:trPr>
        <w:tc>
          <w:tcPr>
            <w:tcW w:w="440" w:type="dxa"/>
            <w:vAlign w:val="bottom"/>
          </w:tcPr>
          <w:p>
            <w:pPr>
              <w:spacing w:after="0"/>
              <w:rPr>
                <w:sz w:val="18"/>
                <w:szCs w:val="18"/>
                <w:color w:val="auto"/>
              </w:rPr>
            </w:pPr>
          </w:p>
        </w:tc>
        <w:tc>
          <w:tcPr>
            <w:tcW w:w="4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Arnim Dontes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RA Session II</w:t>
            </w:r>
          </w:p>
        </w:tc>
      </w:tr>
      <w:tr>
        <w:trPr>
          <w:trHeight w:val="216"/>
        </w:trPr>
        <w:tc>
          <w:tcPr>
            <w:tcW w:w="4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Executive Vice President for Business Affairs</w:t>
            </w:r>
          </w:p>
        </w:tc>
        <w:tc>
          <w:tcPr>
            <w:tcW w:w="660" w:type="dxa"/>
            <w:vAlign w:val="bottom"/>
          </w:tcPr>
          <w:p>
            <w:pPr>
              <w:spacing w:after="0"/>
              <w:rPr>
                <w:sz w:val="18"/>
                <w:szCs w:val="18"/>
                <w:color w:val="auto"/>
              </w:rPr>
            </w:pPr>
          </w:p>
        </w:tc>
        <w:tc>
          <w:tcPr>
            <w:tcW w:w="5240" w:type="dxa"/>
            <w:vAlign w:val="bottom"/>
            <w:gridSpan w:val="2"/>
          </w:tcPr>
          <w:p>
            <w:pPr>
              <w:ind w:left="60"/>
              <w:spacing w:after="0"/>
              <w:rPr>
                <w:sz w:val="20"/>
                <w:szCs w:val="20"/>
                <w:color w:val="auto"/>
              </w:rPr>
            </w:pPr>
            <w:r>
              <w:rPr>
                <w:rFonts w:ascii="Arial" w:cs="Arial" w:eastAsia="Arial" w:hAnsi="Arial"/>
                <w:sz w:val="18"/>
                <w:szCs w:val="18"/>
                <w:color w:val="auto"/>
              </w:rPr>
              <w:t>Title:  Founder</w:t>
            </w:r>
          </w:p>
        </w:tc>
      </w:tr>
      <w:tr>
        <w:trPr>
          <w:trHeight w:val="230"/>
        </w:trPr>
        <w:tc>
          <w:tcPr>
            <w:tcW w:w="44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UT Southwestern Medical Center</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tcPr>
          <w:p>
            <w:pPr>
              <w:spacing w:after="0"/>
              <w:rPr>
                <w:sz w:val="20"/>
                <w:szCs w:val="20"/>
                <w:color w:val="auto"/>
              </w:rPr>
            </w:pPr>
            <w:r>
              <w:rPr>
                <w:rFonts w:ascii="Arial" w:cs="Arial" w:eastAsia="Arial" w:hAnsi="Arial"/>
                <w:sz w:val="18"/>
                <w:szCs w:val="18"/>
                <w:color w:val="auto"/>
              </w:rPr>
              <w:t>4/3/2020</w:t>
            </w:r>
          </w:p>
        </w:tc>
        <w:tc>
          <w:tcPr>
            <w:tcW w:w="72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9"/>
              </w:rPr>
              <w:t>Date</w:t>
            </w:r>
          </w:p>
        </w:tc>
        <w:tc>
          <w:tcPr>
            <w:tcW w:w="5240" w:type="dxa"/>
            <w:vAlign w:val="bottom"/>
            <w:gridSpan w:val="2"/>
          </w:tcPr>
          <w:p>
            <w:pPr>
              <w:ind w:left="60"/>
              <w:spacing w:after="0"/>
              <w:rPr>
                <w:sz w:val="20"/>
                <w:szCs w:val="20"/>
                <w:color w:val="auto"/>
              </w:rPr>
            </w:pPr>
            <w:r>
              <w:rPr>
                <w:rFonts w:ascii="Arial" w:cs="Arial" w:eastAsia="Arial" w:hAnsi="Arial"/>
                <w:sz w:val="18"/>
                <w:szCs w:val="18"/>
                <w:color w:val="auto"/>
              </w:rPr>
              <w:t>4/2/2020</w:t>
            </w:r>
          </w:p>
        </w:tc>
      </w:tr>
      <w:tr>
        <w:trPr>
          <w:trHeight w:val="473"/>
        </w:trPr>
        <w:tc>
          <w:tcPr>
            <w:tcW w:w="5120" w:type="dxa"/>
            <w:vAlign w:val="bottom"/>
            <w:gridSpan w:val="3"/>
          </w:tcPr>
          <w:p>
            <w:pPr>
              <w:spacing w:after="0"/>
              <w:rPr>
                <w:sz w:val="20"/>
                <w:szCs w:val="20"/>
                <w:color w:val="auto"/>
              </w:rPr>
            </w:pPr>
            <w:r>
              <w:rPr>
                <w:rFonts w:ascii="Arial" w:cs="Arial" w:eastAsia="Arial" w:hAnsi="Arial"/>
                <w:sz w:val="18"/>
                <w:szCs w:val="18"/>
                <w:color w:val="auto"/>
              </w:rPr>
              <w:t>Approved as to Content: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spacing w:after="0"/>
              <w:rPr>
                <w:sz w:val="20"/>
                <w:szCs w:val="20"/>
                <w:color w:val="auto"/>
              </w:rPr>
            </w:pPr>
            <w:r>
              <w:rPr>
                <w:rFonts w:ascii="Arial" w:cs="Arial" w:eastAsia="Arial" w:hAnsi="Arial"/>
                <w:sz w:val="18"/>
                <w:szCs w:val="18"/>
                <w:color w:val="auto"/>
              </w:rPr>
              <w:t>/s/ Claire Aldridge</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Claire Aldridge, Ph.D.</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Associate Vice President,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Commercialization and Business Development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UT Southwestern Medical Center</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46"/>
        </w:trPr>
        <w:tc>
          <w:tcPr>
            <w:tcW w:w="44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tcPr>
          <w:p>
            <w:pPr>
              <w:spacing w:after="0"/>
              <w:rPr>
                <w:sz w:val="20"/>
                <w:szCs w:val="20"/>
                <w:color w:val="auto"/>
              </w:rPr>
            </w:pPr>
            <w:r>
              <w:rPr>
                <w:rFonts w:ascii="Arial" w:cs="Arial" w:eastAsia="Arial" w:hAnsi="Arial"/>
                <w:sz w:val="18"/>
                <w:szCs w:val="18"/>
                <w:color w:val="auto"/>
              </w:rPr>
              <w:t>4/3/2020</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41" w:name="page442"/>
    <w:bookmarkEnd w:id="441"/>
    <w:p>
      <w:pPr>
        <w:ind w:left="10080"/>
        <w:spacing w:after="0"/>
        <w:rPr>
          <w:sz w:val="20"/>
          <w:szCs w:val="20"/>
          <w:color w:val="auto"/>
        </w:rPr>
      </w:pPr>
      <w:r>
        <w:rPr>
          <w:rFonts w:ascii="Arial" w:cs="Arial" w:eastAsia="Arial" w:hAnsi="Arial"/>
          <w:sz w:val="16"/>
          <w:szCs w:val="16"/>
          <w:b w:val="1"/>
          <w:bCs w:val="1"/>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information has bee excluded from this agreement (indicated by “[***]”) because Taysha Gene Therapies, Inc. has determined such information</w:t>
      </w:r>
    </w:p>
    <w:p>
      <w:pPr>
        <w:spacing w:after="0" w:line="46" w:lineRule="exact"/>
        <w:rPr>
          <w:sz w:val="20"/>
          <w:szCs w:val="20"/>
          <w:color w:val="auto"/>
        </w:rPr>
      </w:pPr>
    </w:p>
    <w:p>
      <w:pPr>
        <w:ind w:left="2860" w:hanging="217"/>
        <w:spacing w:after="0"/>
        <w:tabs>
          <w:tab w:leader="none" w:pos="28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is not material and (ii) would be competitively harmful if publicly disclosed.</w:t>
      </w:r>
    </w:p>
    <w:p>
      <w:pPr>
        <w:spacing w:after="0" w:line="206"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(“Agreement”) is effective on this 21</w:t>
      </w:r>
      <w:r>
        <w:rPr>
          <w:rFonts w:ascii="Arial" w:cs="Arial" w:eastAsia="Arial" w:hAnsi="Arial"/>
          <w:sz w:val="15"/>
          <w:szCs w:val="15"/>
          <w:color w:val="auto"/>
        </w:rPr>
        <w:t>st</w:t>
      </w:r>
      <w:r>
        <w:rPr>
          <w:rFonts w:ascii="Arial" w:cs="Arial" w:eastAsia="Arial" w:hAnsi="Arial"/>
          <w:sz w:val="18"/>
          <w:szCs w:val="18"/>
          <w:color w:val="auto"/>
        </w:rPr>
        <w:t xml:space="preserve"> day of February 2020 (the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QUEEN’S UNIVERSITY AT KINGSTON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“Licensor”)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“Licensee”)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Whereas the Licensed Technology (as defined below) was made in the course of research at the Licensor (or an affiliated research institution or hospital) by the Principal Investigator(s) (as defined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Principal Investigators have assigned all right, title and interest in the Licensed Technology to the Licensor.</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Whereas Licensor has rights under the Licensed Patents and Licensed Technology (as defined below) to make, have made, use, offer for sale, sell and import Licensed Product and otherwise exploit the Licensed Patents and Licensed Technology and to license to others under the Licensed Patents and Licensed Technology to make, have made, use, offer for sale, sell and import Licensed Product and otherwise exploit the Licensed Patents and Licensed Technology.</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Subject to the terms and conditions set out in this Agreement, Licensee desires to obtain from Licensor and Licensor wishes to grant to Licensee an exclusive license under the Licensed Patents and Licensed Technology to make, have made, use, offer for sale, sell and import the Licensed Product and otherwise exploit the Licensed Patents and Licensed Technology pursuant to the terms and conditions of this Agreement.</w:t>
      </w:r>
    </w:p>
    <w:p>
      <w:pPr>
        <w:spacing w:after="0" w:line="1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NOW THEREFORE, in consideration of the foregoing premises, the mutual covenants and obligations hereinafter contained, and other good and valuable consideration, Licensor and Licensee agree as follows.</w:t>
      </w:r>
    </w:p>
    <w:p>
      <w:pPr>
        <w:sectPr>
          <w:pgSz w:w="11900" w:h="16838" w:orient="portrait"/>
          <w:cols w:equalWidth="0" w:num="1">
            <w:col w:w="11020"/>
          </w:cols>
          <w:pgMar w:left="440" w:top="121" w:right="43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 – Definitions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purposes of this Agreement, the following capitalized terms, words, and phrases, when used in either the singular or plural, shall have the following meanings:</w:t>
      </w:r>
    </w:p>
    <w:p>
      <w:pPr>
        <w:spacing w:after="0" w:line="72" w:lineRule="exact"/>
        <w:rPr>
          <w:sz w:val="20"/>
          <w:szCs w:val="20"/>
          <w:color w:val="auto"/>
        </w:rPr>
      </w:pPr>
    </w:p>
    <w:p>
      <w:pPr>
        <w:ind w:left="540" w:right="180" w:hanging="539"/>
        <w:spacing w:after="0" w:line="261"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party to this Agreement, any Entity which controls, is controlled by, or is under common control with such party, in each case, for so long as such control exists, where the term “control” means direct or indirect possession of (a) at least fifty percent (50%) of the voting securities or comparable equity interest by or in such Entity or (b) the power to direct affirmatively the management and policies of such Entity.</w:t>
      </w:r>
    </w:p>
    <w:p>
      <w:pPr>
        <w:spacing w:after="0" w:line="85" w:lineRule="exact"/>
        <w:rPr>
          <w:sz w:val="20"/>
          <w:szCs w:val="20"/>
          <w:color w:val="auto"/>
        </w:rPr>
      </w:pPr>
    </w:p>
    <w:p>
      <w:pPr>
        <w:ind w:left="540" w:right="580" w:hanging="539"/>
        <w:spacing w:after="0" w:line="282"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a period of three (3) months in the Gregorian Calendar ending on the last day of March, June, September, or December.</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the period of four Calendar Quarters ending on the last day of December.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 xml:space="preserve">“Clinical Trial” </w:t>
      </w:r>
      <w:r>
        <w:rPr>
          <w:rFonts w:ascii="Arial" w:cs="Arial" w:eastAsia="Arial" w:hAnsi="Arial"/>
          <w:sz w:val="16"/>
          <w:szCs w:val="16"/>
          <w:color w:val="auto"/>
        </w:rPr>
        <w:t>means a Phase I Study, a Phase I/II Study, a Phase II Study, or a Phase III Study, or such other clinical study in human subjects</w:t>
      </w:r>
    </w:p>
    <w:p>
      <w:pPr>
        <w:spacing w:after="0" w:line="27" w:lineRule="exact"/>
        <w:rPr>
          <w:sz w:val="20"/>
          <w:szCs w:val="20"/>
          <w:color w:val="auto"/>
        </w:rPr>
      </w:pPr>
    </w:p>
    <w:p>
      <w:pPr>
        <w:ind w:left="540" w:right="660"/>
        <w:spacing w:after="0" w:line="260" w:lineRule="auto"/>
        <w:rPr>
          <w:sz w:val="20"/>
          <w:szCs w:val="20"/>
          <w:color w:val="auto"/>
        </w:rPr>
      </w:pPr>
      <w:r>
        <w:rPr>
          <w:rFonts w:ascii="Arial" w:cs="Arial" w:eastAsia="Arial" w:hAnsi="Arial"/>
          <w:sz w:val="18"/>
          <w:szCs w:val="18"/>
          <w:color w:val="auto"/>
        </w:rPr>
        <w:t>that is permitted by the FDA or other applicable regulatory authority and is designed to generate data in support of or maintenance of an application for regulatory approval.</w:t>
      </w:r>
    </w:p>
    <w:p>
      <w:pPr>
        <w:spacing w:after="0" w:line="87" w:lineRule="exact"/>
        <w:rPr>
          <w:sz w:val="20"/>
          <w:szCs w:val="20"/>
          <w:color w:val="auto"/>
        </w:rPr>
      </w:pPr>
    </w:p>
    <w:p>
      <w:pPr>
        <w:ind w:left="540" w:right="220" w:hanging="539"/>
        <w:spacing w:after="0" w:line="298" w:lineRule="auto"/>
        <w:tabs>
          <w:tab w:leader="none" w:pos="5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Sale</w:t>
      </w:r>
      <w:r>
        <w:rPr>
          <w:rFonts w:ascii="Arial" w:cs="Arial" w:eastAsia="Arial" w:hAnsi="Arial"/>
          <w:sz w:val="16"/>
          <w:szCs w:val="16"/>
          <w:color w:val="auto"/>
        </w:rPr>
        <w:t>” means the sale or other transfer of a Licensed Product following Marketing Approval by the appropriate and applicable governmental agency for the country in which the sale is to be made. The transfer of such Licensed Product to a third party for use in research and development (including in Clinical Trials for regulatory approval), as marketing samples to develop or promote such Licensed Product, or for compassionate use or other donations shall not constitute a Commercial Sale. A transfer between any selling party, where the intent is to further sell, transfer or provide services to others, shall not be considered a Commercial Sale of a Licensed Product.</w:t>
      </w:r>
    </w:p>
    <w:p>
      <w:pPr>
        <w:spacing w:after="0" w:line="59" w:lineRule="exact"/>
        <w:rPr>
          <w:sz w:val="20"/>
          <w:szCs w:val="20"/>
          <w:color w:val="auto"/>
        </w:rPr>
      </w:pPr>
    </w:p>
    <w:p>
      <w:pPr>
        <w:ind w:left="540" w:hanging="539"/>
        <w:spacing w:after="0" w:line="284"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confidential or proprietary information of a party disclosed under this Agreement by such party (the “Disclosing Party”) to the other party (the “Receiving Party”), whether or not designated as being confidential or proprietary, for which reasonable precautions have been taken to maintain the secrecy of such information, including but not limited to information relating to any scientific or engineering information or research project, work in process, future developments, names of suppliers and customers, marketing and business plans relating to either party or other confidential or proprietary information that a reasonable person would understand to be confidential or proprietary information of such Disclosing Party, whether in oral, written, graphic or electronic form. Confidential Information of the Disclosing Party shall not include information that is, as demonstrated by written documentation: (i) known to the other party prior to disclosure by the Disclosing Party without a prior duty of confidentiality to the Receiving Party; (ii) disclosed in published literature;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(iii) generally known or available to industry; (iv) obtained by the Receiving</w:t>
      </w:r>
    </w:p>
    <w:p>
      <w:pPr>
        <w:sectPr>
          <w:pgSz w:w="11900" w:h="16838" w:orient="portrait"/>
          <w:cols w:equalWidth="0" w:num="1">
            <w:col w:w="11000"/>
          </w:cols>
          <w:pgMar w:left="440" w:top="270" w:right="459" w:bottom="1440" w:gutter="0" w:footer="0" w:header="0"/>
        </w:sectPr>
      </w:pPr>
    </w:p>
    <w:bookmarkStart w:id="443" w:name="page444"/>
    <w:bookmarkEnd w:id="443"/>
    <w:p>
      <w:pPr>
        <w:ind w:left="54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from a third party who is not in breach of any confidentiality obligations to the Disclosing Party; or (v) independently developed by the Receiving Party without any reference to or use of the Confidential Information of the Disclosing Party.</w:t>
      </w:r>
    </w:p>
    <w:p>
      <w:pPr>
        <w:spacing w:after="0" w:line="72"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Covered by the Licensed Patents</w:t>
      </w:r>
      <w:r>
        <w:rPr>
          <w:rFonts w:ascii="Arial" w:cs="Arial" w:eastAsia="Arial" w:hAnsi="Arial"/>
          <w:sz w:val="18"/>
          <w:szCs w:val="18"/>
          <w:color w:val="auto"/>
        </w:rPr>
        <w:t>” means that, in respect of a Licensed Product, the manufacture, use, or sale of such Licensed Product would infringe, but for the License granted hereunder, a Valid Claim in the Licensed Patents in the country in which such product is manufactured, used or sold.</w:t>
      </w:r>
    </w:p>
    <w:p>
      <w:pPr>
        <w:spacing w:after="0" w:line="81" w:lineRule="exact"/>
        <w:rPr>
          <w:sz w:val="20"/>
          <w:szCs w:val="20"/>
          <w:color w:val="auto"/>
        </w:rPr>
      </w:pPr>
    </w:p>
    <w:p>
      <w:pPr>
        <w:ind w:left="540" w:right="740" w:hanging="539"/>
        <w:spacing w:after="0" w:line="312"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Entity</w:t>
      </w:r>
      <w:r>
        <w:rPr>
          <w:rFonts w:ascii="Arial" w:cs="Arial" w:eastAsia="Arial" w:hAnsi="Arial"/>
          <w:sz w:val="17"/>
          <w:szCs w:val="17"/>
          <w:color w:val="auto"/>
        </w:rPr>
        <w:t>” means a corporation, an association, a joint venture, a partnership, a trust, a business, an individual, a government or political subdivision thereof, including an agency, or any other organization which can exercise independent legal standing.</w:t>
      </w:r>
    </w:p>
    <w:p>
      <w:pPr>
        <w:spacing w:after="0" w:line="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the [***].</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 of Use</w:t>
      </w:r>
      <w:r>
        <w:rPr>
          <w:rFonts w:ascii="Arial" w:cs="Arial" w:eastAsia="Arial" w:hAnsi="Arial"/>
          <w:sz w:val="16"/>
          <w:szCs w:val="16"/>
          <w:color w:val="auto"/>
        </w:rPr>
        <w:t>” means all fields of use.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Foundation</w:t>
      </w:r>
      <w:r>
        <w:rPr>
          <w:rFonts w:ascii="Arial" w:cs="Arial" w:eastAsia="Arial" w:hAnsi="Arial"/>
          <w:sz w:val="16"/>
          <w:szCs w:val="16"/>
          <w:color w:val="auto"/>
        </w:rPr>
        <w:t>” means New Hope Research Foundation, Inc.</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 xml:space="preserve">“Gross Revenues” </w:t>
      </w:r>
      <w:r>
        <w:rPr>
          <w:rFonts w:ascii="Arial" w:cs="Arial" w:eastAsia="Arial" w:hAnsi="Arial"/>
          <w:sz w:val="16"/>
          <w:szCs w:val="16"/>
          <w:color w:val="auto"/>
        </w:rPr>
        <w:t>means all amounts [***] by Licensee, any of its Affiliates or Sublicensees arising from a Commercial Sale.</w:t>
      </w:r>
    </w:p>
    <w:p>
      <w:pPr>
        <w:spacing w:after="0" w:line="131"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b w:val="1"/>
          <w:bCs w:val="1"/>
          <w:color w:val="auto"/>
        </w:rPr>
        <w:t xml:space="preserve">“Improvements” </w:t>
      </w:r>
      <w:r>
        <w:rPr>
          <w:rFonts w:ascii="Arial" w:cs="Arial" w:eastAsia="Arial" w:hAnsi="Arial"/>
          <w:sz w:val="18"/>
          <w:szCs w:val="18"/>
          <w:color w:val="auto"/>
        </w:rPr>
        <w:t>means any improvement, idea, design, concept, technique, discovery or invention encumbered by the specification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Patents or the Licensed Technology, including for the treatment of Tay-Sachs disease or Sandhoff’s Disease, whether or not patentable, copyrightable, or otherwise protectable as intellectual property, developed by the Principal Investigator during the Principal Investigator’s employment by Queen’s University at any time during the term of this Agreement.</w:t>
      </w:r>
    </w:p>
    <w:p>
      <w:pPr>
        <w:spacing w:after="0" w:line="85" w:lineRule="exact"/>
        <w:rPr>
          <w:sz w:val="20"/>
          <w:szCs w:val="20"/>
          <w:color w:val="auto"/>
        </w:rPr>
      </w:pPr>
    </w:p>
    <w:p>
      <w:pPr>
        <w:ind w:left="540" w:right="220" w:hanging="539"/>
        <w:spacing w:after="0" w:line="261" w:lineRule="auto"/>
        <w:tabs>
          <w:tab w:leader="none" w:pos="520"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b w:val="1"/>
          <w:bCs w:val="1"/>
          <w:color w:val="auto"/>
        </w:rPr>
        <w:t>Know-How</w:t>
      </w:r>
      <w:r>
        <w:rPr>
          <w:rFonts w:ascii="Arial" w:cs="Arial" w:eastAsia="Arial" w:hAnsi="Arial"/>
          <w:sz w:val="18"/>
          <w:szCs w:val="18"/>
          <w:color w:val="auto"/>
        </w:rPr>
        <w:t>” means trade secrets, Confidential Information of Licensor, and other useful, technical information, including without limitation knowledge, know-how, procedures, devices, methods, formulas, software, designs, techniques, processes, and inventions not known to the public, related to the Licensed Patents as described in Schedule B. “Know-How” does not include the Licensed Patents claiming any of the foregoing.</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means the license rights granted in Article 2 of this Agreement.</w:t>
      </w:r>
    </w:p>
    <w:p>
      <w:pPr>
        <w:spacing w:after="0" w:line="131"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b w:val="1"/>
          <w:bCs w:val="1"/>
          <w:color w:val="auto"/>
        </w:rPr>
        <w:t>Licensed Patents</w:t>
      </w:r>
      <w:r>
        <w:rPr>
          <w:rFonts w:ascii="Arial" w:cs="Arial" w:eastAsia="Arial" w:hAnsi="Arial"/>
          <w:sz w:val="18"/>
          <w:szCs w:val="18"/>
          <w:color w:val="auto"/>
        </w:rPr>
        <w:t>” means the patents or patent applications identified in Schedule A, all patents and patent applications that claim priority (directly or indirectly, in whole or in part) thereto, any and all Canadian and foreign applications or patents corresponding thereto, continuations, continuations-in-part, divisions, patents of addition, reissues, re-examinations, supplementary protection certificates, substitutions, renewals, term restorations, revalidations, or extensions of the foregoing.</w:t>
      </w:r>
    </w:p>
    <w:p>
      <w:pPr>
        <w:sectPr>
          <w:pgSz w:w="11900" w:h="16838" w:orient="portrait"/>
          <w:cols w:equalWidth="0" w:num="1">
            <w:col w:w="10980"/>
          </w:cols>
          <w:pgMar w:left="440" w:top="274" w:right="479" w:bottom="1440" w:gutter="0" w:footer="0" w:header="0"/>
        </w:sectPr>
      </w:pPr>
    </w:p>
    <w:bookmarkStart w:id="444" w:name="page445"/>
    <w:bookmarkEnd w:id="444"/>
    <w:p>
      <w:pPr>
        <w:jc w:val="both"/>
        <w:ind w:left="540" w:right="18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tab/>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for use in the Field of Use whose development, making, having made, use, sale, offer for sale, import, export, and distribution would, in the absence of the License from Licensor, infringe one or more Valid Claims of the Licensed Patents and/or uses the Licensed Technology.</w:t>
      </w:r>
    </w:p>
    <w:p>
      <w:pPr>
        <w:spacing w:after="0" w:line="81" w:lineRule="exact"/>
        <w:rPr>
          <w:sz w:val="20"/>
          <w:szCs w:val="20"/>
          <w:color w:val="auto"/>
        </w:rPr>
      </w:pPr>
    </w:p>
    <w:p>
      <w:pPr>
        <w:ind w:left="540" w:right="500" w:hanging="539"/>
        <w:spacing w:after="0" w:line="312" w:lineRule="auto"/>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Technology</w:t>
      </w:r>
      <w:r>
        <w:rPr>
          <w:rFonts w:ascii="Arial" w:cs="Arial" w:eastAsia="Arial" w:hAnsi="Arial"/>
          <w:sz w:val="17"/>
          <w:szCs w:val="17"/>
          <w:color w:val="auto"/>
        </w:rPr>
        <w:t>” means all of the technology, information and intellectual property related to the Licensed Patents that is owned or controlled by Licensor, including without limitation all Know-How and Improvements, as described in Schedule B.</w:t>
      </w:r>
    </w:p>
    <w:p>
      <w:pPr>
        <w:spacing w:after="0" w:line="45" w:lineRule="exact"/>
        <w:rPr>
          <w:sz w:val="20"/>
          <w:szCs w:val="20"/>
          <w:color w:val="auto"/>
        </w:rPr>
      </w:pPr>
    </w:p>
    <w:p>
      <w:pPr>
        <w:ind w:left="540" w:right="40" w:hanging="539"/>
        <w:spacing w:after="0" w:line="281" w:lineRule="auto"/>
        <w:tabs>
          <w:tab w:leader="none" w:pos="5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b w:val="1"/>
          <w:bCs w:val="1"/>
          <w:color w:val="auto"/>
        </w:rPr>
        <w:t xml:space="preserve">“Marketing Approval” </w:t>
      </w:r>
      <w:r>
        <w:rPr>
          <w:rFonts w:ascii="Arial" w:cs="Arial" w:eastAsia="Arial" w:hAnsi="Arial"/>
          <w:sz w:val="17"/>
          <w:szCs w:val="17"/>
          <w:color w:val="auto"/>
        </w:rPr>
        <w:t>means all approvals, licenses, registrations or authorizations of the applicable governmental or regulatory authority(ies)</w:t>
      </w:r>
      <w:r>
        <w:rPr>
          <w:rFonts w:ascii="Arial" w:cs="Arial" w:eastAsia="Arial" w:hAnsi="Arial"/>
          <w:sz w:val="17"/>
          <w:szCs w:val="17"/>
          <w:b w:val="1"/>
          <w:bCs w:val="1"/>
          <w:color w:val="auto"/>
        </w:rPr>
        <w:t xml:space="preserve"> </w:t>
      </w:r>
      <w:r>
        <w:rPr>
          <w:rFonts w:ascii="Arial" w:cs="Arial" w:eastAsia="Arial" w:hAnsi="Arial"/>
          <w:sz w:val="17"/>
          <w:szCs w:val="17"/>
          <w:color w:val="auto"/>
        </w:rPr>
        <w:t>in a jurisdiction necessary for the manufacture, use, storage, import, marketing and sale of a Licensed Product in such jurisdiction. For jurisdictions where governmental or other similar approval of pricing and/or reimbursement is reasonably necessary for marketing in such jurisdiction, Marketing Approval shall not be deemed to occur until such pricing or reimbursement approval is obtained.</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31" w:lineRule="exact"/>
        <w:rPr>
          <w:sz w:val="20"/>
          <w:szCs w:val="20"/>
          <w:color w:val="auto"/>
        </w:rPr>
      </w:pPr>
    </w:p>
    <w:p>
      <w:pPr>
        <w:jc w:val="both"/>
        <w:ind w:left="540" w:right="20" w:hanging="539"/>
        <w:spacing w:after="0" w:line="281"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I Study</w:t>
      </w:r>
      <w:r>
        <w:rPr>
          <w:rFonts w:ascii="Arial" w:cs="Arial" w:eastAsia="Arial" w:hAnsi="Arial"/>
          <w:sz w:val="17"/>
          <w:szCs w:val="17"/>
          <w:color w:val="auto"/>
        </w:rPr>
        <w:t>” means a clinical study of a drug candidate in human patients with the primary objective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 The drug candidate can be administered to patients as a single agent or in combination with other investigational or marketed agents.</w:t>
      </w:r>
    </w:p>
    <w:p>
      <w:pPr>
        <w:spacing w:after="0" w:line="70"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Arial" w:cs="Arial" w:eastAsia="Arial" w:hAnsi="Arial"/>
          <w:sz w:val="18"/>
          <w:szCs w:val="18"/>
          <w:color w:val="auto"/>
        </w:rPr>
        <w:t>1.22</w:t>
        <w:tab/>
        <w:t>“</w:t>
      </w:r>
      <w:r>
        <w:rPr>
          <w:rFonts w:ascii="Arial" w:cs="Arial" w:eastAsia="Arial" w:hAnsi="Arial"/>
          <w:sz w:val="18"/>
          <w:szCs w:val="18"/>
          <w:b w:val="1"/>
          <w:bCs w:val="1"/>
          <w:color w:val="auto"/>
        </w:rPr>
        <w:t>Phase I/II Study</w:t>
      </w:r>
      <w:r>
        <w:rPr>
          <w:rFonts w:ascii="Arial" w:cs="Arial" w:eastAsia="Arial" w:hAnsi="Arial"/>
          <w:sz w:val="18"/>
          <w:szCs w:val="18"/>
          <w:color w:val="auto"/>
        </w:rPr>
        <w:t>” means a clinical study of a drug candidate in diseased human patients that satisfies the requirements of a Phase 1 Study and a Phase 2 Study.</w:t>
      </w:r>
    </w:p>
    <w:p>
      <w:pPr>
        <w:spacing w:after="0" w:line="67" w:lineRule="exact"/>
        <w:rPr>
          <w:sz w:val="20"/>
          <w:szCs w:val="20"/>
          <w:color w:val="auto"/>
        </w:rPr>
      </w:pPr>
    </w:p>
    <w:p>
      <w:pPr>
        <w:ind w:left="540" w:right="200" w:hanging="539"/>
        <w:spacing w:after="0" w:line="273"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II Study</w:t>
      </w:r>
      <w:r>
        <w:rPr>
          <w:rFonts w:ascii="Arial" w:cs="Arial" w:eastAsia="Arial" w:hAnsi="Arial"/>
          <w:sz w:val="17"/>
          <w:szCs w:val="17"/>
          <w:color w:val="auto"/>
        </w:rPr>
        <w:t>” means a clinical study of a drug candidate in human patients with the primary objective of characterizing its activity in a specific disease state as well as generating more detailed safety, tolerability, and pharmacokinetics information as described in 21 C.F.R. §312.21(b), or a comparable clinical study prescribed by the relevant regulatory authority in a country other than the United States including a human clinical study that is also designed to satisfy the requirements of 21 C.F.R. §312.21(a) or corresponding foreign regulations and is subsequently optimized or expanded to satisfy the requirements of 21 C.F.R. §312.21(b) (or corresponding foreign regulations) or otherwise to enable a Phase III Clinical Study (e.g., a Phase I/II Study). The relevant drug candidate may be administered to patients as a single agent or in combination with other investigational or marketed agents.</w:t>
      </w:r>
    </w:p>
    <w:p>
      <w:pPr>
        <w:sectPr>
          <w:pgSz w:w="11900" w:h="16838" w:orient="portrait"/>
          <w:cols w:equalWidth="0" w:num="1">
            <w:col w:w="11000"/>
          </w:cols>
          <w:pgMar w:left="440" w:top="270" w:right="459" w:bottom="1440" w:gutter="0" w:footer="0" w:header="0"/>
        </w:sectPr>
      </w:pPr>
    </w:p>
    <w:bookmarkStart w:id="445" w:name="page446"/>
    <w:bookmarkEnd w:id="445"/>
    <w:p>
      <w:pPr>
        <w:ind w:left="540" w:right="100" w:hanging="539"/>
        <w:spacing w:after="0" w:line="28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III Study</w:t>
      </w:r>
      <w:r>
        <w:rPr>
          <w:rFonts w:ascii="Arial" w:cs="Arial" w:eastAsia="Arial" w:hAnsi="Arial"/>
          <w:sz w:val="17"/>
          <w:szCs w:val="17"/>
          <w:color w:val="auto"/>
        </w:rPr>
        <w:t>” means a clinical study of a drug candidate in human patients that incorporates accepted endpoints for confirmation of statistical significance of efficacy and safety with the aim to obtain Marketing Approval in any country as described in 21 C.F.R. 312.21(c), or a comparable clinical study prescribed by the relevant regulatory authority in a country other than the United States. The relevant drug candidate may be administered to patients as a single agent or in combination with other investigational or marketed agents.</w:t>
      </w:r>
    </w:p>
    <w:p>
      <w:pPr>
        <w:spacing w:after="0" w:line="70" w:lineRule="exact"/>
        <w:rPr>
          <w:sz w:val="20"/>
          <w:szCs w:val="20"/>
          <w:color w:val="auto"/>
        </w:rPr>
      </w:pPr>
    </w:p>
    <w:p>
      <w:pPr>
        <w:ind w:left="540" w:right="420" w:hanging="539"/>
        <w:spacing w:after="0" w:line="347"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Principal Investigator</w:t>
      </w:r>
      <w:r>
        <w:rPr>
          <w:rFonts w:ascii="Arial" w:cs="Arial" w:eastAsia="Arial" w:hAnsi="Arial"/>
          <w:sz w:val="16"/>
          <w:szCs w:val="16"/>
          <w:color w:val="auto"/>
        </w:rPr>
        <w:t>” means the inventor of the Licensed Technology whom are or were faculty members, cross-appointees, employees and/or students enrolled at Licensor when the Licensed Technology was created and the named inventor of the Licensed Patents.</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Queen’s</w:t>
      </w:r>
      <w:r>
        <w:rPr>
          <w:rFonts w:ascii="Arial" w:cs="Arial" w:eastAsia="Arial" w:hAnsi="Arial"/>
          <w:sz w:val="16"/>
          <w:szCs w:val="16"/>
          <w:color w:val="auto"/>
        </w:rPr>
        <w:t>” means Queen’s University at Kingston, Ontario.</w:t>
      </w:r>
    </w:p>
    <w:p>
      <w:pPr>
        <w:spacing w:after="0" w:line="131"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b w:val="1"/>
          <w:bCs w:val="1"/>
          <w:color w:val="auto"/>
        </w:rPr>
        <w:t xml:space="preserve">“Registration Study” </w:t>
      </w:r>
      <w:r>
        <w:rPr>
          <w:rFonts w:ascii="Arial" w:cs="Arial" w:eastAsia="Arial" w:hAnsi="Arial"/>
          <w:sz w:val="18"/>
          <w:szCs w:val="18"/>
          <w:color w:val="auto"/>
        </w:rPr>
        <w:t>means clinical study of a drug candidate in human patients that satisfies both of the following ((i) and (ii)): (i) such</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study establishes that such Licensed Product has an acceptable safety and efficacy profile for its use, and to determine warnings, precautions, or adverse reactions that are associated with such Licensed Product and is intended to support a Marketing Approval of such Licensed Product; and (ii) such clinical study is sufficient to support the filing of Marketing Approval for such Licensed Product in the United States pursuant to the requirements of the United States Food and Drug Administration or Marketing Approval granted by a regulatory authority in any country.</w:t>
      </w:r>
    </w:p>
    <w:p>
      <w:pPr>
        <w:spacing w:after="0" w:line="93"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any country, legal exclusive marketing rights granted by a regulatory authority in such country with respect to a Licensed Product, including but not limited to data exclusivity, pediatric exclusivity, chemical entity exclusivity and/or orphan drug designation/exclusivity.</w:t>
      </w:r>
    </w:p>
    <w:p>
      <w:pPr>
        <w:spacing w:after="0" w:line="81"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b w:val="1"/>
          <w:bCs w:val="1"/>
          <w:color w:val="auto"/>
        </w:rPr>
        <w:t>ROFN Improvements</w:t>
      </w:r>
      <w:r>
        <w:rPr>
          <w:rFonts w:ascii="Arial" w:cs="Arial" w:eastAsia="Arial" w:hAnsi="Arial"/>
          <w:sz w:val="18"/>
          <w:szCs w:val="18"/>
          <w:color w:val="auto"/>
        </w:rPr>
        <w:t>” means other than Improvements, any improvement, idea, design, concept, technique, discovery or invention, whether or not patentable, copyrightable, or otherwise protectable as intellectual property that has been assigned, or contractually committed to be assigned pursuant to an intellectual property agreement (“IPA”) or similar agreement, to Licensor. For clarity, ROFN Improvements include next generation technology or improvements to the Licensed Patents or Licensed Technology that are not Improvements but conceived or reduced to practice during the term of the Agreement by Principal Investigator of the Licensed Patents or Licensed Technology for the treatment of Tay-Sachs disease or Sandhoff’s Disease.</w:t>
      </w:r>
    </w:p>
    <w:p>
      <w:pPr>
        <w:spacing w:after="0" w:line="93"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1.30</w:t>
        <w:tab/>
        <w:t>“</w:t>
      </w:r>
      <w:r>
        <w:rPr>
          <w:rFonts w:ascii="Arial" w:cs="Arial" w:eastAsia="Arial" w:hAnsi="Arial"/>
          <w:sz w:val="18"/>
          <w:szCs w:val="18"/>
          <w:b w:val="1"/>
          <w:bCs w:val="1"/>
          <w:color w:val="auto"/>
        </w:rPr>
        <w:t>Royalty Term</w:t>
      </w:r>
      <w:r>
        <w:rPr>
          <w:rFonts w:ascii="Arial" w:cs="Arial" w:eastAsia="Arial" w:hAnsi="Arial"/>
          <w:sz w:val="18"/>
          <w:szCs w:val="18"/>
          <w:color w:val="auto"/>
        </w:rPr>
        <w:t>” means, on a Licensed Product-by-Licensed Product and country-by-country basis, the period beginning on the first Commercial Sale of a Licensed Product in a country and ending on the later of (a) the expiration of the last Valid Claim covering such Licensed Product in such country and (b) the expiration of Regulatory Exclusivity for such Licensed Product in such country.</w:t>
      </w:r>
    </w:p>
    <w:p>
      <w:pPr>
        <w:sectPr>
          <w:pgSz w:w="11900" w:h="16838" w:orient="portrait"/>
          <w:cols w:equalWidth="0" w:num="1">
            <w:col w:w="11000"/>
          </w:cols>
          <w:pgMar w:left="440" w:top="270" w:right="459" w:bottom="1440" w:gutter="0" w:footer="0" w:header="0"/>
        </w:sectPr>
      </w:pPr>
    </w:p>
    <w:bookmarkStart w:id="446" w:name="page447"/>
    <w:bookmarkEnd w:id="44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any Entity that is granted a sublicense under the Licensed Technology and/or the Licensed Patents by Licensee.</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Sublicensing Revenue</w:t>
      </w:r>
      <w:r>
        <w:rPr>
          <w:rFonts w:ascii="Arial" w:cs="Arial" w:eastAsia="Arial" w:hAnsi="Arial"/>
          <w:sz w:val="16"/>
          <w:szCs w:val="16"/>
          <w:color w:val="auto"/>
        </w:rPr>
        <w:t>” means [***].</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ind w:left="540" w:hanging="539"/>
        <w:spacing w:after="0" w:line="258" w:lineRule="auto"/>
        <w:tabs>
          <w:tab w:leader="none" w:pos="520" w:val="left"/>
        </w:tabs>
        <w:rPr>
          <w:sz w:val="20"/>
          <w:szCs w:val="20"/>
          <w:color w:val="auto"/>
        </w:rPr>
      </w:pPr>
      <w:r>
        <w:rPr>
          <w:rFonts w:ascii="Arial" w:cs="Arial" w:eastAsia="Arial" w:hAnsi="Arial"/>
          <w:sz w:val="18"/>
          <w:szCs w:val="18"/>
          <w:color w:val="auto"/>
        </w:rPr>
        <w:t>1.34</w:t>
        <w:tab/>
        <w:t>“</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in an issued and unexpired patent that has not been held invalid or unenforceable by the final, unappealable decision of a court, or similar legal entity, of competent jurisdiction, or (b) a claim in a pending patent application within the Licensed Patents that is actively being prosecuted and has not been abandoned, expired or rejected without the possibility of appeal or refiling. A patent application pending for more than [***] shall not be considered to have a Valid Claim for purposes of this Agreement unless and until a patent with respect to such patent application issues with such claim.</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color w:val="auto"/>
        </w:rPr>
        <w:t>Other Terms</w:t>
      </w:r>
      <w:r>
        <w:rPr>
          <w:rFonts w:ascii="Arial" w:cs="Arial" w:eastAsia="Arial" w:hAnsi="Arial"/>
          <w:sz w:val="16"/>
          <w:szCs w:val="16"/>
          <w:color w:val="auto"/>
        </w:rPr>
        <w:t>. The definition of each of the following terms is set forth in the section of the Agreement indicated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Agreement</w:t>
            </w:r>
          </w:p>
        </w:tc>
        <w:tc>
          <w:tcPr>
            <w:tcW w:w="5860" w:type="dxa"/>
            <w:vAlign w:val="bottom"/>
          </w:tcPr>
          <w:p>
            <w:pPr>
              <w:spacing w:after="0"/>
              <w:rPr>
                <w:sz w:val="16"/>
                <w:szCs w:val="16"/>
                <w:color w:val="auto"/>
              </w:rPr>
            </w:pPr>
          </w:p>
        </w:tc>
        <w:tc>
          <w:tcPr>
            <w:tcW w:w="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Applicable Laws</w:t>
            </w:r>
          </w:p>
        </w:tc>
        <w:tc>
          <w:tcPr>
            <w:tcW w:w="760" w:type="dxa"/>
            <w:vAlign w:val="bottom"/>
          </w:tcPr>
          <w:p>
            <w:pPr>
              <w:spacing w:after="0"/>
              <w:rPr>
                <w:sz w:val="20"/>
                <w:szCs w:val="20"/>
                <w:color w:val="auto"/>
              </w:rPr>
            </w:pPr>
            <w:r>
              <w:rPr>
                <w:rFonts w:ascii="Arial" w:cs="Arial" w:eastAsia="Arial" w:hAnsi="Arial"/>
                <w:sz w:val="18"/>
                <w:szCs w:val="18"/>
                <w:color w:val="auto"/>
              </w:rPr>
              <w:t>6.2</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60" w:type="dxa"/>
            <w:vAlign w:val="bottom"/>
          </w:tcPr>
          <w:p>
            <w:pPr>
              <w:spacing w:after="0"/>
              <w:rPr>
                <w:sz w:val="20"/>
                <w:szCs w:val="20"/>
                <w:color w:val="auto"/>
              </w:rPr>
            </w:pPr>
            <w:r>
              <w:rPr>
                <w:rFonts w:ascii="Arial" w:cs="Arial" w:eastAsia="Arial" w:hAnsi="Arial"/>
                <w:sz w:val="18"/>
                <w:szCs w:val="18"/>
                <w:color w:val="auto"/>
                <w:w w:val="96"/>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Force Majeure Event</w:t>
            </w:r>
          </w:p>
        </w:tc>
        <w:tc>
          <w:tcPr>
            <w:tcW w:w="760" w:type="dxa"/>
            <w:vAlign w:val="bottom"/>
          </w:tcPr>
          <w:p>
            <w:pPr>
              <w:spacing w:after="0"/>
              <w:rPr>
                <w:sz w:val="20"/>
                <w:szCs w:val="20"/>
                <w:color w:val="auto"/>
              </w:rPr>
            </w:pPr>
            <w:r>
              <w:rPr>
                <w:rFonts w:ascii="Arial" w:cs="Arial" w:eastAsia="Arial" w:hAnsi="Arial"/>
                <w:sz w:val="18"/>
                <w:szCs w:val="18"/>
                <w:color w:val="auto"/>
              </w:rPr>
              <w:t>12.6</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Insurance Coverage</w:t>
            </w:r>
          </w:p>
        </w:tc>
        <w:tc>
          <w:tcPr>
            <w:tcW w:w="760" w:type="dxa"/>
            <w:vAlign w:val="bottom"/>
          </w:tcPr>
          <w:p>
            <w:pPr>
              <w:spacing w:after="0"/>
              <w:rPr>
                <w:sz w:val="20"/>
                <w:szCs w:val="20"/>
                <w:color w:val="auto"/>
              </w:rPr>
            </w:pPr>
            <w:r>
              <w:rPr>
                <w:rFonts w:ascii="Arial" w:cs="Arial" w:eastAsia="Arial" w:hAnsi="Arial"/>
                <w:sz w:val="18"/>
                <w:szCs w:val="18"/>
                <w:color w:val="auto"/>
              </w:rPr>
              <w:t>8.5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Licensee</w:t>
            </w:r>
          </w:p>
        </w:tc>
        <w:tc>
          <w:tcPr>
            <w:tcW w:w="760" w:type="dxa"/>
            <w:vAlign w:val="bottom"/>
          </w:tcPr>
          <w:p>
            <w:pPr>
              <w:spacing w:after="0"/>
              <w:rPr>
                <w:sz w:val="20"/>
                <w:szCs w:val="20"/>
                <w:color w:val="auto"/>
              </w:rPr>
            </w:pPr>
            <w:r>
              <w:rPr>
                <w:rFonts w:ascii="Arial" w:cs="Arial" w:eastAsia="Arial" w:hAnsi="Arial"/>
                <w:sz w:val="18"/>
                <w:szCs w:val="18"/>
                <w:color w:val="auto"/>
                <w:w w:val="96"/>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Licensor</w:t>
            </w:r>
          </w:p>
        </w:tc>
        <w:tc>
          <w:tcPr>
            <w:tcW w:w="760" w:type="dxa"/>
            <w:vAlign w:val="bottom"/>
          </w:tcPr>
          <w:p>
            <w:pPr>
              <w:spacing w:after="0"/>
              <w:rPr>
                <w:sz w:val="20"/>
                <w:szCs w:val="20"/>
                <w:color w:val="auto"/>
              </w:rPr>
            </w:pPr>
            <w:r>
              <w:rPr>
                <w:rFonts w:ascii="Arial" w:cs="Arial" w:eastAsia="Arial" w:hAnsi="Arial"/>
                <w:sz w:val="18"/>
                <w:szCs w:val="18"/>
                <w:color w:val="auto"/>
                <w:w w:val="96"/>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Licensor Patent</w:t>
            </w:r>
          </w:p>
        </w:tc>
        <w:tc>
          <w:tcPr>
            <w:tcW w:w="760" w:type="dxa"/>
            <w:vAlign w:val="bottom"/>
          </w:tcPr>
          <w:p>
            <w:pPr>
              <w:spacing w:after="0"/>
              <w:rPr>
                <w:sz w:val="20"/>
                <w:szCs w:val="20"/>
                <w:color w:val="auto"/>
              </w:rPr>
            </w:pPr>
            <w:r>
              <w:rPr>
                <w:rFonts w:ascii="Arial" w:cs="Arial" w:eastAsia="Arial" w:hAnsi="Arial"/>
                <w:sz w:val="18"/>
                <w:szCs w:val="18"/>
                <w:color w:val="auto"/>
              </w:rPr>
              <w:t>7.1</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Maximum Anti-Stacking Reduction</w:t>
            </w:r>
          </w:p>
        </w:tc>
        <w:tc>
          <w:tcPr>
            <w:tcW w:w="760" w:type="dxa"/>
            <w:vAlign w:val="bottom"/>
          </w:tcPr>
          <w:p>
            <w:pPr>
              <w:spacing w:after="0"/>
              <w:rPr>
                <w:sz w:val="20"/>
                <w:szCs w:val="20"/>
                <w:color w:val="auto"/>
              </w:rPr>
            </w:pPr>
            <w:r>
              <w:rPr>
                <w:rFonts w:ascii="Arial" w:cs="Arial" w:eastAsia="Arial" w:hAnsi="Arial"/>
                <w:sz w:val="18"/>
                <w:szCs w:val="18"/>
                <w:color w:val="auto"/>
              </w:rPr>
              <w:t>4.2</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Overdue Payment</w:t>
            </w:r>
          </w:p>
        </w:tc>
        <w:tc>
          <w:tcPr>
            <w:tcW w:w="760" w:type="dxa"/>
            <w:vAlign w:val="bottom"/>
          </w:tcPr>
          <w:p>
            <w:pPr>
              <w:spacing w:after="0"/>
              <w:rPr>
                <w:sz w:val="20"/>
                <w:szCs w:val="20"/>
                <w:color w:val="auto"/>
              </w:rPr>
            </w:pPr>
            <w:r>
              <w:rPr>
                <w:rFonts w:ascii="Arial" w:cs="Arial" w:eastAsia="Arial" w:hAnsi="Arial"/>
                <w:sz w:val="18"/>
                <w:szCs w:val="18"/>
                <w:color w:val="auto"/>
              </w:rPr>
              <w:t>5.3</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Priority Review</w:t>
            </w:r>
          </w:p>
        </w:tc>
        <w:tc>
          <w:tcPr>
            <w:tcW w:w="760" w:type="dxa"/>
            <w:vAlign w:val="bottom"/>
          </w:tcPr>
          <w:p>
            <w:pPr>
              <w:spacing w:after="0"/>
              <w:rPr>
                <w:sz w:val="20"/>
                <w:szCs w:val="20"/>
                <w:color w:val="auto"/>
              </w:rPr>
            </w:pPr>
            <w:r>
              <w:rPr>
                <w:rFonts w:ascii="Arial" w:cs="Arial" w:eastAsia="Arial" w:hAnsi="Arial"/>
                <w:sz w:val="18"/>
                <w:szCs w:val="18"/>
                <w:color w:val="auto"/>
              </w:rPr>
              <w:t>4.5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Priority Review Voucher</w:t>
            </w:r>
          </w:p>
        </w:tc>
        <w:tc>
          <w:tcPr>
            <w:tcW w:w="760" w:type="dxa"/>
            <w:vAlign w:val="bottom"/>
          </w:tcPr>
          <w:p>
            <w:pPr>
              <w:spacing w:after="0"/>
              <w:rPr>
                <w:sz w:val="20"/>
                <w:szCs w:val="20"/>
                <w:color w:val="auto"/>
              </w:rPr>
            </w:pPr>
            <w:r>
              <w:rPr>
                <w:rFonts w:ascii="Arial" w:cs="Arial" w:eastAsia="Arial" w:hAnsi="Arial"/>
                <w:sz w:val="18"/>
                <w:szCs w:val="18"/>
                <w:color w:val="auto"/>
              </w:rPr>
              <w:t>4.5</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ROFN</w:t>
            </w:r>
          </w:p>
        </w:tc>
        <w:tc>
          <w:tcPr>
            <w:tcW w:w="760" w:type="dxa"/>
            <w:vAlign w:val="bottom"/>
          </w:tcPr>
          <w:p>
            <w:pPr>
              <w:spacing w:after="0"/>
              <w:rPr>
                <w:sz w:val="20"/>
                <w:szCs w:val="20"/>
                <w:color w:val="auto"/>
              </w:rPr>
            </w:pPr>
            <w:r>
              <w:rPr>
                <w:rFonts w:ascii="Arial" w:cs="Arial" w:eastAsia="Arial" w:hAnsi="Arial"/>
                <w:sz w:val="18"/>
                <w:szCs w:val="18"/>
                <w:color w:val="auto"/>
              </w:rPr>
              <w:t>2.6.1</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Sublicense Agreement</w:t>
            </w:r>
          </w:p>
        </w:tc>
        <w:tc>
          <w:tcPr>
            <w:tcW w:w="760" w:type="dxa"/>
            <w:vAlign w:val="bottom"/>
          </w:tcPr>
          <w:p>
            <w:pPr>
              <w:spacing w:after="0"/>
              <w:rPr>
                <w:sz w:val="20"/>
                <w:szCs w:val="20"/>
                <w:color w:val="auto"/>
              </w:rPr>
            </w:pPr>
            <w:r>
              <w:rPr>
                <w:rFonts w:ascii="Arial" w:cs="Arial" w:eastAsia="Arial" w:hAnsi="Arial"/>
                <w:sz w:val="18"/>
                <w:szCs w:val="18"/>
                <w:color w:val="auto"/>
              </w:rPr>
              <w:t>2.5.1</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Sublicensing Revenue</w:t>
            </w:r>
          </w:p>
        </w:tc>
        <w:tc>
          <w:tcPr>
            <w:tcW w:w="760" w:type="dxa"/>
            <w:vAlign w:val="bottom"/>
          </w:tcPr>
          <w:p>
            <w:pPr>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0780"/>
          </w:cols>
          <w:pgMar w:left="440" w:top="270" w:right="67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 Grant of Rights</w:t>
      </w:r>
    </w:p>
    <w:p>
      <w:pPr>
        <w:spacing w:after="0" w:line="135" w:lineRule="exact"/>
        <w:rPr>
          <w:sz w:val="20"/>
          <w:szCs w:val="20"/>
          <w:color w:val="auto"/>
        </w:rPr>
      </w:pPr>
    </w:p>
    <w:p>
      <w:pPr>
        <w:ind w:left="540" w:right="40" w:hanging="539"/>
        <w:spacing w:after="0" w:line="257"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 xml:space="preserve">License </w:t>
      </w:r>
      <w:r>
        <w:rPr>
          <w:rFonts w:ascii="Arial" w:cs="Arial" w:eastAsia="Arial" w:hAnsi="Arial"/>
          <w:sz w:val="18"/>
          <w:szCs w:val="18"/>
          <w:color w:val="auto"/>
        </w:rPr>
        <w:t>- Subject to the terms and conditions of this Agreement, and where Licensor may lawfully grant such license rights, Licensor hereby</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 Licensee the exclusive, perpetual, royalty-bearing right and license (with the right to sublicense through multiple tiers), in the Territory, under Licensed Technology and the Licensed Patents in the Field of Use, (i) to develop Licensed Products, (ii) to use and otherwise exploit the Licensed Technology and the Licensed Patents, and (iii) to make, have made, use, sell, offer for sale, import, export and distribute Licensed Products.</w:t>
      </w:r>
    </w:p>
    <w:p>
      <w:pPr>
        <w:spacing w:after="0" w:line="93"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Third Party Compulsory License</w:t>
      </w:r>
      <w:r>
        <w:rPr>
          <w:rFonts w:ascii="Arial" w:cs="Arial" w:eastAsia="Arial" w:hAnsi="Arial"/>
          <w:sz w:val="16"/>
          <w:szCs w:val="16"/>
          <w:color w:val="auto"/>
        </w:rPr>
        <w:t>. In the event that Licensor is required pursuant to an order, ruling of finding of any court, regulatory entity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governmental entity within a jurisdiction (other than Licensor) to grant a third party a license under the Licensed Technology to make, have made, use, sell, offer for sale, import, export and distribute a Licensed Product, then Licensor shall immediately notify Licensee in writing</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shall adjust the amounts set forth in Article 4 commensurate with the impact of value decrease resulting from conversion of such license grant from an exclusive license to co-exclusive license or non-exclusive license pursuant to the terms of the license granted to such third party.</w:t>
      </w:r>
    </w:p>
    <w:p>
      <w:pPr>
        <w:spacing w:after="0" w:line="67" w:lineRule="exact"/>
        <w:rPr>
          <w:sz w:val="20"/>
          <w:szCs w:val="20"/>
          <w:color w:val="auto"/>
        </w:rPr>
      </w:pPr>
    </w:p>
    <w:p>
      <w:pPr>
        <w:ind w:left="540" w:right="20" w:hanging="539"/>
        <w:spacing w:after="0" w:line="270"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i w:val="1"/>
          <w:iCs w:val="1"/>
          <w:color w:val="auto"/>
        </w:rPr>
        <w:t xml:space="preserve">Rights Retained by Licensor </w:t>
      </w:r>
      <w:r>
        <w:rPr>
          <w:rFonts w:ascii="Arial" w:cs="Arial" w:eastAsia="Arial" w:hAnsi="Arial"/>
          <w:sz w:val="17"/>
          <w:szCs w:val="17"/>
          <w:color w:val="auto"/>
        </w:rPr>
        <w:t>- Notwithstanding the foregoing, Licensor retains the right to use and practice the Licensed Technology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Patents within the Field of Use for non-commercial research including non-commercial preclinical research, and/or academic purposes only (including publishing scientific findings from research related to the Licensed Technology), which right it may transfer only to Queen’s and Kingston Health Sciences Centre or any institutions Queen’s or KHSC is performing collaborative research with for the same purposes, so long as Licensor, in mutual agreement with Licensee, reasonably determines that such transfer to collaborative researchers would not compromise the objectives of any Clinical Trials for the Licensed Products. Notwithstanding the foregoing, in all cases clinical research may not be conducted by Licensor, Queen’s and Kingston Health Sciences Centre or any institutions Queen’s or KHSC with a specific vector and transgene combination once such is identified for a Licensed Product, except as permitted in a clinical study agreement between the Parties or otherwise permitted by the Licensee in writing.</w:t>
      </w:r>
    </w:p>
    <w:p>
      <w:pPr>
        <w:spacing w:after="0" w:line="86"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 xml:space="preserve">No right in Licensed Patents and Licensed Technology </w:t>
      </w:r>
      <w:r>
        <w:rPr>
          <w:rFonts w:ascii="Arial" w:cs="Arial" w:eastAsia="Arial" w:hAnsi="Arial"/>
          <w:sz w:val="18"/>
          <w:szCs w:val="18"/>
          <w:color w:val="auto"/>
        </w:rPr>
        <w:t>- Licensee agrees and acknowledges that it acquires no rights in the Licensed Patents or</w:t>
      </w:r>
      <w:r>
        <w:rPr>
          <w:rFonts w:ascii="Arial" w:cs="Arial" w:eastAsia="Arial" w:hAnsi="Arial"/>
          <w:sz w:val="18"/>
          <w:szCs w:val="18"/>
          <w:i w:val="1"/>
          <w:iCs w:val="1"/>
          <w:color w:val="auto"/>
        </w:rPr>
        <w:t xml:space="preserve"> </w:t>
      </w:r>
      <w:r>
        <w:rPr>
          <w:rFonts w:ascii="Arial" w:cs="Arial" w:eastAsia="Arial" w:hAnsi="Arial"/>
          <w:sz w:val="18"/>
          <w:szCs w:val="18"/>
          <w:color w:val="auto"/>
        </w:rPr>
        <w:t>the Licensed Technology except the License expressly granted under this Agreement.</w:t>
      </w:r>
    </w:p>
    <w:p>
      <w:pPr>
        <w:spacing w:after="0" w:line="76" w:lineRule="exact"/>
        <w:rPr>
          <w:sz w:val="20"/>
          <w:szCs w:val="20"/>
          <w:color w:val="auto"/>
        </w:rPr>
      </w:pPr>
    </w:p>
    <w:p>
      <w:pPr>
        <w:ind w:left="540" w:right="60" w:hanging="539"/>
        <w:spacing w:after="0" w:line="308"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i w:val="1"/>
          <w:iCs w:val="1"/>
          <w:color w:val="auto"/>
        </w:rPr>
        <w:t xml:space="preserve">Rights to Sublicense </w:t>
      </w:r>
      <w:r>
        <w:rPr>
          <w:rFonts w:ascii="Arial" w:cs="Arial" w:eastAsia="Arial" w:hAnsi="Arial"/>
          <w:sz w:val="17"/>
          <w:szCs w:val="17"/>
          <w:color w:val="auto"/>
        </w:rPr>
        <w:t>-The License granted under this Agreement specifically includes the right of Licensee to grant sublicenses through multiple</w:t>
      </w:r>
      <w:r>
        <w:rPr>
          <w:rFonts w:ascii="Arial" w:cs="Arial" w:eastAsia="Arial" w:hAnsi="Arial"/>
          <w:sz w:val="17"/>
          <w:szCs w:val="17"/>
          <w:i w:val="1"/>
          <w:iCs w:val="1"/>
          <w:color w:val="auto"/>
        </w:rPr>
        <w:t xml:space="preserve"> </w:t>
      </w:r>
      <w:r>
        <w:rPr>
          <w:rFonts w:ascii="Arial" w:cs="Arial" w:eastAsia="Arial" w:hAnsi="Arial"/>
          <w:sz w:val="17"/>
          <w:szCs w:val="17"/>
          <w:color w:val="auto"/>
        </w:rPr>
        <w:t>tiers. Licensee agrees that any sublicense it grants to any third party shall be granted under the following conditions:</w:t>
      </w:r>
    </w:p>
    <w:p>
      <w:pPr>
        <w:spacing w:after="0" w:line="38" w:lineRule="exact"/>
        <w:rPr>
          <w:sz w:val="20"/>
          <w:szCs w:val="20"/>
          <w:color w:val="auto"/>
        </w:rPr>
      </w:pPr>
    </w:p>
    <w:p>
      <w:pPr>
        <w:ind w:left="540" w:right="160"/>
        <w:spacing w:after="0" w:line="308" w:lineRule="auto"/>
        <w:rPr>
          <w:sz w:val="20"/>
          <w:szCs w:val="20"/>
          <w:color w:val="auto"/>
        </w:rPr>
      </w:pPr>
      <w:r>
        <w:rPr>
          <w:rFonts w:ascii="Arial" w:cs="Arial" w:eastAsia="Arial" w:hAnsi="Arial"/>
          <w:sz w:val="17"/>
          <w:szCs w:val="17"/>
          <w:color w:val="auto"/>
        </w:rPr>
        <w:t>2.5.1 Any sublicense grant of rights under the Licensed Technology and/or the Licensed Patents shall be restricted to the Field of Use and shall be under terms and conditions as set out in this Agreement (the “Sublicense Agreement”). Each Sublicense Agreement</w:t>
      </w:r>
    </w:p>
    <w:p>
      <w:pPr>
        <w:sectPr>
          <w:pgSz w:w="11900" w:h="16838" w:orient="portrait"/>
          <w:cols w:equalWidth="0" w:num="1">
            <w:col w:w="11000"/>
          </w:cols>
          <w:pgMar w:left="440" w:top="270" w:right="459" w:bottom="1440" w:gutter="0" w:footer="0" w:header="0"/>
        </w:sectPr>
      </w:pPr>
    </w:p>
    <w:bookmarkStart w:id="448" w:name="page449"/>
    <w:bookmarkEnd w:id="448"/>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specifically reference this Agreement and all rights retained by Licensor and contain the following:</w:t>
      </w:r>
    </w:p>
    <w:p>
      <w:pPr>
        <w:spacing w:after="0" w:line="131" w:lineRule="exact"/>
        <w:rPr>
          <w:sz w:val="20"/>
          <w:szCs w:val="20"/>
          <w:color w:val="auto"/>
        </w:rPr>
      </w:pPr>
    </w:p>
    <w:p>
      <w:pPr>
        <w:ind w:left="1740" w:hanging="543"/>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Sublicensee’s acknowledgement of the Licensor’s rights under Sections 2.3, 8.1, 8.3 and 8.4; and</w:t>
      </w:r>
    </w:p>
    <w:p>
      <w:pPr>
        <w:spacing w:after="0" w:line="130" w:lineRule="exact"/>
        <w:rPr>
          <w:rFonts w:ascii="Arial" w:cs="Arial" w:eastAsia="Arial" w:hAnsi="Arial"/>
          <w:sz w:val="18"/>
          <w:szCs w:val="18"/>
          <w:color w:val="auto"/>
        </w:rPr>
      </w:pPr>
    </w:p>
    <w:p>
      <w:pPr>
        <w:ind w:left="1740" w:hanging="543"/>
        <w:spacing w:after="0" w:line="259" w:lineRule="auto"/>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provision that upon expiry or termination of this Agreement, the rights granted to any Sublicensee shall terminate; provided, however, that any validly issued sublicense shall survive any expiration or termination of this Agreement provided that the Sublicensee agrees to be bound by the applicable terms of the Agreement with respect to activities of the Sublicensee under such Sublicense Agreement.</w:t>
      </w:r>
    </w:p>
    <w:p>
      <w:pPr>
        <w:spacing w:after="0" w:line="79" w:lineRule="exact"/>
        <w:rPr>
          <w:sz w:val="20"/>
          <w:szCs w:val="20"/>
          <w:color w:val="auto"/>
        </w:rPr>
      </w:pPr>
    </w:p>
    <w:p>
      <w:pPr>
        <w:ind w:left="540" w:right="60"/>
        <w:spacing w:after="0" w:line="257" w:lineRule="auto"/>
        <w:rPr>
          <w:sz w:val="20"/>
          <w:szCs w:val="20"/>
          <w:color w:val="auto"/>
        </w:rPr>
      </w:pPr>
      <w:r>
        <w:rPr>
          <w:rFonts w:ascii="Arial" w:cs="Arial" w:eastAsia="Arial" w:hAnsi="Arial"/>
          <w:sz w:val="18"/>
          <w:szCs w:val="18"/>
          <w:color w:val="auto"/>
        </w:rPr>
        <w:t>2.5.2 Within [***] after the execution of the Sublicense Agreement, Licensee shall forward to Licensor a fully executed copy of the Sublicense Agreement, which may be redacted to the extent the terms thereof are not necessary to determine compliance with this Agreement. Should the Sublicense Agreement be written in a language other than English, Licensee shall provide Licensor with an English translation of the Sublicense Agreement. Should the Licensee grant sublicenses that includes terms and conditions that are not consistent with this Agreement, the sublicense shall be null and void.</w:t>
      </w:r>
    </w:p>
    <w:p>
      <w:pPr>
        <w:spacing w:after="0" w:line="3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i w:val="1"/>
          <w:iCs w:val="1"/>
          <w:color w:val="auto"/>
        </w:rPr>
        <w:t>Right of First Negotiation</w:t>
      </w:r>
      <w:r>
        <w:rPr>
          <w:rFonts w:ascii="Arial" w:cs="Arial" w:eastAsia="Arial" w:hAnsi="Arial"/>
          <w:sz w:val="16"/>
          <w:szCs w:val="16"/>
          <w:color w:val="auto"/>
        </w:rPr>
        <w:t>.</w:t>
      </w:r>
    </w:p>
    <w:p>
      <w:pPr>
        <w:spacing w:after="0" w:line="127" w:lineRule="exact"/>
        <w:rPr>
          <w:sz w:val="20"/>
          <w:szCs w:val="20"/>
          <w:color w:val="auto"/>
        </w:rPr>
      </w:pPr>
    </w:p>
    <w:p>
      <w:pPr>
        <w:ind w:left="1180" w:right="100" w:hanging="647"/>
        <w:spacing w:after="0" w:line="261" w:lineRule="auto"/>
        <w:tabs>
          <w:tab w:leader="none" w:pos="1160" w:val="left"/>
        </w:tabs>
        <w:rPr>
          <w:sz w:val="20"/>
          <w:szCs w:val="20"/>
          <w:color w:val="auto"/>
        </w:rPr>
      </w:pPr>
      <w:r>
        <w:rPr>
          <w:rFonts w:ascii="Arial" w:cs="Arial" w:eastAsia="Arial" w:hAnsi="Arial"/>
          <w:sz w:val="18"/>
          <w:szCs w:val="18"/>
          <w:color w:val="auto"/>
        </w:rPr>
        <w:t>2.6.1</w:t>
        <w:tab/>
        <w:t>Licensor hereby grants Licensee an exclusive right of first negotiation (“</w:t>
      </w:r>
      <w:r>
        <w:rPr>
          <w:rFonts w:ascii="Arial" w:cs="Arial" w:eastAsia="Arial" w:hAnsi="Arial"/>
          <w:sz w:val="18"/>
          <w:szCs w:val="18"/>
          <w:b w:val="1"/>
          <w:bCs w:val="1"/>
          <w:color w:val="auto"/>
        </w:rPr>
        <w:t>Right of First Negotiation”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ROFN</w:t>
      </w:r>
      <w:r>
        <w:rPr>
          <w:rFonts w:ascii="Arial" w:cs="Arial" w:eastAsia="Arial" w:hAnsi="Arial"/>
          <w:sz w:val="18"/>
          <w:szCs w:val="18"/>
          <w:color w:val="auto"/>
        </w:rPr>
        <w:t>”) during the term of this Agreement to license the right to under ROFN Improvements in the Field of Use, (i) to develop licensed products, (ii) to use and otherwise exploit the ROFN Improvements, and (iii) to make, have made, use, sell, offer for sale, import, export and distribute licensed products (“</w:t>
      </w:r>
      <w:r>
        <w:rPr>
          <w:rFonts w:ascii="Arial" w:cs="Arial" w:eastAsia="Arial" w:hAnsi="Arial"/>
          <w:sz w:val="18"/>
          <w:szCs w:val="18"/>
          <w:b w:val="1"/>
          <w:bCs w:val="1"/>
          <w:color w:val="auto"/>
        </w:rPr>
        <w:t>ROFN Products</w:t>
      </w:r>
      <w:r>
        <w:rPr>
          <w:rFonts w:ascii="Arial" w:cs="Arial" w:eastAsia="Arial" w:hAnsi="Arial"/>
          <w:sz w:val="18"/>
          <w:szCs w:val="18"/>
          <w:color w:val="auto"/>
        </w:rPr>
        <w:t>”).</w:t>
      </w:r>
    </w:p>
    <w:p>
      <w:pPr>
        <w:spacing w:after="0" w:line="89" w:lineRule="exact"/>
        <w:rPr>
          <w:sz w:val="20"/>
          <w:szCs w:val="20"/>
          <w:color w:val="auto"/>
        </w:rPr>
      </w:pPr>
    </w:p>
    <w:p>
      <w:pPr>
        <w:ind w:left="1180" w:right="60" w:hanging="647"/>
        <w:spacing w:after="0" w:line="289" w:lineRule="auto"/>
        <w:tabs>
          <w:tab w:leader="none" w:pos="11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Licensor shall not license, sell, assign, transfer, covenant or otherwise grant any rights to a the ROFN Product in the Field of Use in any country without first offering Licensee in writing the right to include such ROFN Improvements in a ROFN Product or a Licensed Product under this Agreement, including the license grants of Section 2.1, as provided in this Section 2.6 (“</w:t>
      </w:r>
      <w:r>
        <w:rPr>
          <w:rFonts w:ascii="Arial" w:cs="Arial" w:eastAsia="Arial" w:hAnsi="Arial"/>
          <w:sz w:val="16"/>
          <w:szCs w:val="16"/>
          <w:b w:val="1"/>
          <w:bCs w:val="1"/>
          <w:color w:val="auto"/>
        </w:rPr>
        <w:t>ROFN Offer Notice</w:t>
      </w:r>
      <w:r>
        <w:rPr>
          <w:rFonts w:ascii="Arial" w:cs="Arial" w:eastAsia="Arial" w:hAnsi="Arial"/>
          <w:sz w:val="16"/>
          <w:szCs w:val="16"/>
          <w:color w:val="auto"/>
        </w:rPr>
        <w:t>”). Licensee may exercise its ROFN for a ROFN Product by providing written notice to Licensor of its exercise of the ROFN within [***] of receipt of the ROFN Offer Notice from Licensor. Prior to Licensor negotiating with or entertaining offers from a Third Party to license, sell, assign, transfer, covenant or otherwise grant any rights to, or otherwise seeking directly or indirectly to exploit, any ROFN Product, Licensor shall first notify Licensee with a ROFN Offer Notice and shall negotiate solely and in good faith with Licensee to grant Licensee a license pursuant of similar scope to the license grants of Section 2.1 for such ROFN Product for a period commencing with the date Licensee provides notice to Licensor of its exercise of the ROFN and expiring [***] thereafter.</w:t>
      </w:r>
    </w:p>
    <w:p>
      <w:pPr>
        <w:sectPr>
          <w:pgSz w:w="11900" w:h="16838" w:orient="portrait"/>
          <w:cols w:equalWidth="0" w:num="1">
            <w:col w:w="11020"/>
          </w:cols>
          <w:pgMar w:left="440" w:top="274" w:right="439" w:bottom="1440" w:gutter="0" w:footer="0" w:header="0"/>
        </w:sectPr>
      </w:pPr>
    </w:p>
    <w:bookmarkStart w:id="449" w:name="page450"/>
    <w:bookmarkEnd w:id="449"/>
    <w:p>
      <w:pPr>
        <w:ind w:left="1180" w:hanging="647"/>
        <w:spacing w:after="0" w:line="281" w:lineRule="auto"/>
        <w:tabs>
          <w:tab w:leader="none" w:pos="1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2.6.3</w:t>
      </w:r>
      <w:r>
        <w:rPr>
          <w:sz w:val="20"/>
          <w:szCs w:val="20"/>
          <w:color w:val="auto"/>
        </w:rPr>
        <w:tab/>
      </w:r>
      <w:r>
        <w:rPr>
          <w:rFonts w:ascii="Arial" w:cs="Arial" w:eastAsia="Arial" w:hAnsi="Arial"/>
          <w:sz w:val="17"/>
          <w:szCs w:val="17"/>
          <w:color w:val="auto"/>
        </w:rPr>
        <w:t>If the Parties are unable to agree on substantive terms within the [***] period of negotiation (the “</w:t>
      </w:r>
      <w:r>
        <w:rPr>
          <w:rFonts w:ascii="Arial" w:cs="Arial" w:eastAsia="Arial" w:hAnsi="Arial"/>
          <w:sz w:val="17"/>
          <w:szCs w:val="17"/>
          <w:b w:val="1"/>
          <w:bCs w:val="1"/>
          <w:color w:val="auto"/>
        </w:rPr>
        <w:t>ROFN Period</w:t>
      </w:r>
      <w:r>
        <w:rPr>
          <w:rFonts w:ascii="Arial" w:cs="Arial" w:eastAsia="Arial" w:hAnsi="Arial"/>
          <w:sz w:val="17"/>
          <w:szCs w:val="17"/>
          <w:color w:val="auto"/>
        </w:rPr>
        <w:t>”) despite good faith efforts, Licensor shall be free to enter into an agreement with a Third Party for the license of Licensor’s rights in the ROFN Products by such Third Party, as applicable, provided that the financial terms of such agreement shall be more favorable to Licensor in the aggregate than those financial terms last offered by or to Licensee (or substantially similar terms).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Term</w:t>
      </w:r>
    </w:p>
    <w:p>
      <w:pPr>
        <w:spacing w:after="0" w:line="135" w:lineRule="exact"/>
        <w:rPr>
          <w:sz w:val="20"/>
          <w:szCs w:val="20"/>
          <w:color w:val="auto"/>
        </w:rPr>
      </w:pPr>
    </w:p>
    <w:p>
      <w:pPr>
        <w:ind w:left="540" w:right="180" w:hanging="539"/>
        <w:spacing w:after="0" w:line="263"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 xml:space="preserve">Term </w:t>
      </w:r>
      <w:r>
        <w:rPr>
          <w:rFonts w:ascii="Arial" w:cs="Arial" w:eastAsia="Arial" w:hAnsi="Arial"/>
          <w:sz w:val="18"/>
          <w:szCs w:val="18"/>
          <w:color w:val="auto"/>
        </w:rPr>
        <w:t>- The term of this Agreement shall commence on the Effective Date and, unless otherwise terminated under this Agreement, shall extend</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expiration of the last Royalty Term (the “</w:t>
      </w:r>
      <w:r>
        <w:rPr>
          <w:rFonts w:ascii="Arial" w:cs="Arial" w:eastAsia="Arial" w:hAnsi="Arial"/>
          <w:sz w:val="18"/>
          <w:szCs w:val="18"/>
          <w:b w:val="1"/>
          <w:bCs w:val="1"/>
          <w:color w:val="auto"/>
        </w:rPr>
        <w:t>Term</w:t>
      </w:r>
      <w:r>
        <w:rPr>
          <w:rFonts w:ascii="Arial" w:cs="Arial" w:eastAsia="Arial" w:hAnsi="Arial"/>
          <w:sz w:val="18"/>
          <w:szCs w:val="18"/>
          <w:color w:val="auto"/>
        </w:rPr>
        <w:t>”). Following expiration of the Term (but not earlier termination), the License shall survive and become non-exclusive, perpetual, irrevocable, fully paid-up and royalty-free.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Licensing Consideration</w:t>
      </w:r>
    </w:p>
    <w:p>
      <w:pPr>
        <w:spacing w:after="0" w:line="135" w:lineRule="exact"/>
        <w:rPr>
          <w:sz w:val="20"/>
          <w:szCs w:val="20"/>
          <w:color w:val="auto"/>
        </w:rPr>
      </w:pPr>
    </w:p>
    <w:p>
      <w:pPr>
        <w:jc w:val="both"/>
        <w:ind w:left="540" w:right="220" w:hanging="539"/>
        <w:spacing w:after="0" w:line="263"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 xml:space="preserve">License Issue Fee </w:t>
      </w:r>
      <w:r>
        <w:rPr>
          <w:rFonts w:ascii="Arial" w:cs="Arial" w:eastAsia="Arial" w:hAnsi="Arial"/>
          <w:sz w:val="18"/>
          <w:szCs w:val="18"/>
          <w:color w:val="auto"/>
        </w:rPr>
        <w:t>– Licensee shall pay Licensor a one-time, non-refundable license fee of Three Million ($3,000,000 USD) within [***].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issue fee shall be non-refundable and may not be credited towards the payment of other consideration that Licensee is obligated to pay Licensor under this Agreement.</w:t>
      </w:r>
    </w:p>
    <w:p>
      <w:pPr>
        <w:spacing w:after="0" w:line="89"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 xml:space="preserve">Annual Earned Royalties </w:t>
      </w:r>
      <w:r>
        <w:rPr>
          <w:rFonts w:ascii="Arial" w:cs="Arial" w:eastAsia="Arial" w:hAnsi="Arial"/>
          <w:sz w:val="18"/>
          <w:szCs w:val="18"/>
          <w:color w:val="auto"/>
        </w:rPr>
        <w:t>– In partial consideration for the License granted in this Agreement, Licensee shall pay to Licensor, on a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Product-by-Licensed Product and country-by-country basis, during the Royalty Term, an annual earned royalty of [***] of Net Sales of Licensed Products.</w:t>
      </w:r>
    </w:p>
    <w:p>
      <w:pPr>
        <w:spacing w:after="0" w:line="76" w:lineRule="exact"/>
        <w:rPr>
          <w:sz w:val="20"/>
          <w:szCs w:val="20"/>
          <w:color w:val="auto"/>
        </w:rPr>
      </w:pPr>
    </w:p>
    <w:p>
      <w:pPr>
        <w:ind w:left="540" w:right="60"/>
        <w:spacing w:after="0" w:line="301" w:lineRule="auto"/>
        <w:rPr>
          <w:sz w:val="20"/>
          <w:szCs w:val="20"/>
          <w:color w:val="auto"/>
        </w:rPr>
      </w:pPr>
      <w:r>
        <w:rPr>
          <w:rFonts w:ascii="Arial" w:cs="Arial" w:eastAsia="Arial" w:hAnsi="Arial"/>
          <w:sz w:val="16"/>
          <w:szCs w:val="16"/>
          <w:color w:val="auto"/>
        </w:rPr>
        <w:t>For clarity, the foregoing royalties shall only be payable during the applicable Royalty Term. If the Licensee, its Affiliate or a Sublicensee becomes obligated to pay additional amounts to third parties with respect to a Licensed Product, the Licensee may deduct [***] of the amount owing to such third parties from the royalties owing to the Licensor with respect to such Licensed Product; provided that under no circumstance shall the royalties due to the Licensor be less than [***] of the royalties otherwise owed to the Licensor without such deduction.</w:t>
      </w:r>
    </w:p>
    <w:p>
      <w:pPr>
        <w:spacing w:after="0" w:line="63" w:lineRule="exact"/>
        <w:rPr>
          <w:sz w:val="20"/>
          <w:szCs w:val="20"/>
          <w:color w:val="auto"/>
        </w:rPr>
      </w:pPr>
    </w:p>
    <w:p>
      <w:pPr>
        <w:jc w:val="both"/>
        <w:ind w:left="540" w:right="60" w:hanging="539"/>
        <w:spacing w:after="0" w:line="263"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 In partial consideration for the license granted herein, Licensee shall pay to Licensor the following amounts within [***]</w:t>
      </w:r>
      <w:r>
        <w:rPr>
          <w:rFonts w:ascii="Arial" w:cs="Arial" w:eastAsia="Arial" w:hAnsi="Arial"/>
          <w:sz w:val="18"/>
          <w:szCs w:val="18"/>
          <w:i w:val="1"/>
          <w:iCs w:val="1"/>
          <w:color w:val="auto"/>
        </w:rPr>
        <w:t xml:space="preserve"> </w:t>
      </w:r>
      <w:r>
        <w:rPr>
          <w:rFonts w:ascii="Arial" w:cs="Arial" w:eastAsia="Arial" w:hAnsi="Arial"/>
          <w:sz w:val="18"/>
          <w:szCs w:val="18"/>
          <w:color w:val="auto"/>
        </w:rPr>
        <w:t>of achievement of the following development milestones. For clarity, all milestones shall be payable only once regardless of whether milestones are achieved for multiple Licensed Products.</w:t>
      </w:r>
    </w:p>
    <w:p>
      <w:pPr>
        <w:sectPr>
          <w:pgSz w:w="11900" w:h="16838" w:orient="portrait"/>
          <w:cols w:equalWidth="0" w:num="1">
            <w:col w:w="10980"/>
          </w:cols>
          <w:pgMar w:left="440" w:top="270" w:right="479" w:bottom="1440" w:gutter="0" w:footer="0" w:header="0"/>
        </w:sectPr>
      </w:pPr>
    </w:p>
    <w:bookmarkStart w:id="450" w:name="page451"/>
    <w:bookmarkEnd w:id="450"/>
    <w:tbl>
      <w:tblPr>
        <w:tblLayout w:type="fixed"/>
        <w:tblInd w:w="1220"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or Event</w:t>
            </w:r>
          </w:p>
        </w:tc>
        <w:tc>
          <w:tcPr>
            <w:tcW w:w="600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60" w:hanging="539"/>
        <w:spacing w:after="0" w:line="26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8"/>
          <w:szCs w:val="18"/>
          <w:i w:val="1"/>
          <w:iCs w:val="1"/>
          <w:color w:val="auto"/>
        </w:rPr>
        <w:t xml:space="preserve">Sublicensing Revenue </w:t>
      </w:r>
      <w:r>
        <w:rPr>
          <w:rFonts w:ascii="Arial" w:cs="Arial" w:eastAsia="Arial" w:hAnsi="Arial"/>
          <w:sz w:val="18"/>
          <w:szCs w:val="18"/>
          <w:color w:val="auto"/>
        </w:rPr>
        <w:t>- In addition to all other royalties, fees and payments payable hereunder, Licensee will pay to Licensor a percentage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Sublicensing Revenue as follows: [***]. Licensee shall make such payment to Licensor within [***] after Licensee’s receipt of such payment from such Sublicensee.</w:t>
      </w:r>
    </w:p>
    <w:p>
      <w:pPr>
        <w:spacing w:after="0" w:line="89" w:lineRule="exact"/>
        <w:rPr>
          <w:sz w:val="20"/>
          <w:szCs w:val="20"/>
          <w:color w:val="auto"/>
        </w:rPr>
      </w:pPr>
    </w:p>
    <w:p>
      <w:pPr>
        <w:ind w:hanging="539"/>
        <w:spacing w:after="0" w:line="290"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6"/>
          <w:szCs w:val="16"/>
          <w:i w:val="1"/>
          <w:iCs w:val="1"/>
          <w:color w:val="auto"/>
        </w:rPr>
        <w:t xml:space="preserve">Revenues From Sale of FDA Priority Review Voucher </w:t>
      </w:r>
      <w:r>
        <w:rPr>
          <w:rFonts w:ascii="Arial" w:cs="Arial" w:eastAsia="Arial" w:hAnsi="Arial"/>
          <w:sz w:val="16"/>
          <w:szCs w:val="16"/>
          <w:color w:val="auto"/>
        </w:rPr>
        <w:t>– In addition to all other royalties, fees and payments payable hereunder, Licensee will pay</w:t>
      </w:r>
      <w:r>
        <w:rPr>
          <w:rFonts w:ascii="Arial" w:cs="Arial" w:eastAsia="Arial" w:hAnsi="Arial"/>
          <w:sz w:val="16"/>
          <w:szCs w:val="16"/>
          <w:i w:val="1"/>
          <w:iCs w:val="1"/>
          <w:color w:val="auto"/>
        </w:rPr>
        <w:t xml:space="preserve"> </w:t>
      </w:r>
      <w:r>
        <w:rPr>
          <w:rFonts w:ascii="Arial" w:cs="Arial" w:eastAsia="Arial" w:hAnsi="Arial"/>
          <w:sz w:val="16"/>
          <w:szCs w:val="16"/>
          <w:color w:val="auto"/>
        </w:rPr>
        <w:t>to Licensor [***], capped at [***] (within [***] following any such sale), of all amounts received by Licensee or Sublicensee, where such consideration is exchanged for the sale of a granted FDA issued Priority Review Voucher or successor program. “Priority Review Voucher” means the Priority Review (as defined below) voucher issued by the United States Secretary of Health and Human Services to the Licensee in connection with Marketing Approval of a Licensed Product as evidenced by publication in the Federal Register (or successor publication) that entitles the holder of such voucher to Priority Review of a single human drug application submitted to the FDA. “Priority Review” means a priority review of and action upon a human drug application by the FDA not later than six (6) months after the filing of such application to the FDA, as defined in and pursuant to the Federal Food, Drug and Cosmetic Act and regulations promulgated thereunder.</w:t>
      </w:r>
    </w:p>
    <w:p>
      <w:pPr>
        <w:spacing w:after="0" w:line="71" w:lineRule="exact"/>
        <w:rPr>
          <w:sz w:val="20"/>
          <w:szCs w:val="20"/>
          <w:color w:val="auto"/>
        </w:rPr>
      </w:pPr>
    </w:p>
    <w:p>
      <w:pPr>
        <w:ind w:hanging="539"/>
        <w:spacing w:after="0" w:line="277"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i w:val="1"/>
          <w:iCs w:val="1"/>
          <w:color w:val="auto"/>
        </w:rPr>
        <w:t xml:space="preserve">Right of First Negotiation to Purchase Royalty Stream </w:t>
      </w:r>
      <w:r>
        <w:rPr>
          <w:rFonts w:ascii="Arial" w:cs="Arial" w:eastAsia="Arial" w:hAnsi="Arial"/>
          <w:sz w:val="18"/>
          <w:szCs w:val="18"/>
          <w:color w:val="auto"/>
        </w:rPr>
        <w:t>– Licensor shall grant Licensee a [***] Right of First Negotiation to match any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offer to purchase the royalty stream from any Licensed Product.</w:t>
      </w:r>
    </w:p>
    <w:p>
      <w:pPr>
        <w:spacing w:after="0" w:line="76" w:lineRule="exact"/>
        <w:rPr>
          <w:sz w:val="20"/>
          <w:szCs w:val="20"/>
          <w:color w:val="auto"/>
        </w:rPr>
      </w:pPr>
    </w:p>
    <w:p>
      <w:pPr>
        <w:ind w:right="560" w:hanging="539"/>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i w:val="1"/>
          <w:iCs w:val="1"/>
          <w:color w:val="auto"/>
        </w:rPr>
        <w:t xml:space="preserve">Payment of Plasmid- </w:t>
      </w:r>
      <w:r>
        <w:rPr>
          <w:rFonts w:ascii="Arial" w:cs="Arial" w:eastAsia="Arial" w:hAnsi="Arial"/>
          <w:sz w:val="18"/>
          <w:szCs w:val="18"/>
          <w:color w:val="auto"/>
        </w:rPr>
        <w:t>Licensee shall reimburse Licensor $221,300 USD to cover the cost of plasmid production by Aldevron within [***]</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w:t>
      </w:r>
    </w:p>
    <w:p>
      <w:pPr>
        <w:spacing w:after="0" w:line="76" w:lineRule="exact"/>
        <w:rPr>
          <w:sz w:val="20"/>
          <w:szCs w:val="20"/>
          <w:color w:val="auto"/>
        </w:rPr>
      </w:pPr>
    </w:p>
    <w:p>
      <w:pPr>
        <w:ind w:right="20" w:hanging="539"/>
        <w:spacing w:after="0" w:line="273"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7"/>
          <w:szCs w:val="17"/>
          <w:i w:val="1"/>
          <w:iCs w:val="1"/>
          <w:color w:val="auto"/>
        </w:rPr>
        <w:t xml:space="preserve">Taxes - </w:t>
      </w:r>
      <w:r>
        <w:rPr>
          <w:rFonts w:ascii="Arial" w:cs="Arial" w:eastAsia="Arial" w:hAnsi="Arial"/>
          <w:sz w:val="17"/>
          <w:szCs w:val="17"/>
          <w:color w:val="auto"/>
        </w:rPr>
        <w:t>All amounts set out above in this Article 4 are exclusive of taxes such as Goods and Services Tax, Provincial Sales Tax, Harmonized</w:t>
      </w:r>
      <w:r>
        <w:rPr>
          <w:rFonts w:ascii="Arial" w:cs="Arial" w:eastAsia="Arial" w:hAnsi="Arial"/>
          <w:sz w:val="17"/>
          <w:szCs w:val="17"/>
          <w:i w:val="1"/>
          <w:iCs w:val="1"/>
          <w:color w:val="auto"/>
        </w:rPr>
        <w:t xml:space="preserve"> </w:t>
      </w:r>
      <w:r>
        <w:rPr>
          <w:rFonts w:ascii="Arial" w:cs="Arial" w:eastAsia="Arial" w:hAnsi="Arial"/>
          <w:sz w:val="17"/>
          <w:szCs w:val="17"/>
          <w:color w:val="auto"/>
        </w:rPr>
        <w:t>Sales Tax or any other tax eligible thereon, which shall be payable by Licensee to Licensor. Licensee will withhold only the minimum amount of taxes specified by Licensee’s country of taxation and any tax treaty between Canada and Licensee’s country of taxation. If applicable, Licensee will cooperate with Licensor in completing all prescribed forms to claim a reduced amount of taxes withheld under the tax treaty, if any, between Canada and Licensee’s country of taxation. Licensee will immediately notify Licensor of any change in the residence status or upon registration for the purposes of the Canadian excise Tax Act.</w:t>
      </w:r>
    </w:p>
    <w:p>
      <w:pPr>
        <w:sectPr>
          <w:pgSz w:w="11900" w:h="16838" w:orient="portrait"/>
          <w:cols w:equalWidth="0" w:num="1">
            <w:col w:w="10460"/>
          </w:cols>
          <w:pgMar w:left="980" w:top="265" w:right="459" w:bottom="1440" w:gutter="0" w:footer="0" w:header="0"/>
        </w:sectPr>
      </w:pPr>
    </w:p>
    <w:bookmarkStart w:id="451" w:name="page452"/>
    <w:bookmarkEnd w:id="451"/>
    <w:p>
      <w:pPr>
        <w:ind w:left="540" w:hanging="539"/>
        <w:spacing w:after="0" w:line="301"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4.9</w:t>
      </w:r>
      <w:r>
        <w:rPr>
          <w:sz w:val="20"/>
          <w:szCs w:val="20"/>
          <w:color w:val="auto"/>
        </w:rPr>
        <w:tab/>
      </w:r>
      <w:r>
        <w:rPr>
          <w:rFonts w:ascii="Arial" w:cs="Arial" w:eastAsia="Arial" w:hAnsi="Arial"/>
          <w:sz w:val="16"/>
          <w:szCs w:val="16"/>
          <w:i w:val="1"/>
          <w:iCs w:val="1"/>
          <w:color w:val="auto"/>
        </w:rPr>
        <w:t xml:space="preserve">Offset. </w:t>
      </w:r>
      <w:r>
        <w:rPr>
          <w:rFonts w:ascii="Arial" w:cs="Arial" w:eastAsia="Arial" w:hAnsi="Arial"/>
          <w:sz w:val="16"/>
          <w:szCs w:val="16"/>
          <w:color w:val="auto"/>
        </w:rPr>
        <w:t>In the event that Foundation, its directors, trustees, officers, employees, successors or assigns threatens or brings a claim, action or dispute</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Licensee relating to the Licensed Patents, Licensed Technology or Licensed Product, Licensee may offset all amounts expended by Licensee and any sublicensee in responding to, defending and settling such claim, action or dispute (including, but not limited to, attorneys’ fees and settlement amounts) against amounts due and payable to Licensor from Licensee and its sublicensees under this Article 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Payments and Reports</w:t>
      </w:r>
    </w:p>
    <w:p>
      <w:pPr>
        <w:spacing w:after="0" w:line="135" w:lineRule="exact"/>
        <w:rPr>
          <w:sz w:val="20"/>
          <w:szCs w:val="20"/>
          <w:color w:val="auto"/>
        </w:rPr>
      </w:pPr>
    </w:p>
    <w:p>
      <w:pPr>
        <w:ind w:left="540" w:right="20" w:hanging="539"/>
        <w:spacing w:after="0" w:line="279"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i w:val="1"/>
          <w:iCs w:val="1"/>
          <w:color w:val="auto"/>
        </w:rPr>
        <w:t xml:space="preserve">Payments </w:t>
      </w:r>
      <w:r>
        <w:rPr>
          <w:rFonts w:ascii="Arial" w:cs="Arial" w:eastAsia="Arial" w:hAnsi="Arial"/>
          <w:sz w:val="17"/>
          <w:szCs w:val="17"/>
          <w:color w:val="auto"/>
        </w:rPr>
        <w:t>- Unless otherwise specified in this Agreement, all undisputed amounts due to Licensor shall be paid within [***] following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Calendar Quarter in which such payment accrues or Licensee otherwise incurs the obligation to pay such undisputed amounts. All such payments shall be remitted to Licensor’s address given in the notification provision of this Agreement or to such other address as Licensor shall direct. All payments to Licensor shall be remitted using the following payment information:</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140" w:hanging="539"/>
        <w:spacing w:after="0" w:line="273" w:lineRule="auto"/>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i w:val="1"/>
          <w:iCs w:val="1"/>
          <w:color w:val="auto"/>
        </w:rPr>
        <w:t xml:space="preserve">Currency </w:t>
      </w:r>
      <w:r>
        <w:rPr>
          <w:rFonts w:ascii="Arial" w:cs="Arial" w:eastAsia="Arial" w:hAnsi="Arial"/>
          <w:sz w:val="17"/>
          <w:szCs w:val="17"/>
          <w:color w:val="auto"/>
        </w:rPr>
        <w:t>- All amounts due to Licensor under this Agreement are in USD and are to be paid in USD. With respect to Net Sales received by</w:t>
      </w:r>
      <w:r>
        <w:rPr>
          <w:rFonts w:ascii="Arial" w:cs="Arial" w:eastAsia="Arial" w:hAnsi="Arial"/>
          <w:sz w:val="17"/>
          <w:szCs w:val="17"/>
          <w:i w:val="1"/>
          <w:iCs w:val="1"/>
          <w:color w:val="auto"/>
        </w:rPr>
        <w:t xml:space="preserve"> </w:t>
      </w:r>
      <w:r>
        <w:rPr>
          <w:rFonts w:ascii="Arial" w:cs="Arial" w:eastAsia="Arial" w:hAnsi="Arial"/>
          <w:sz w:val="17"/>
          <w:szCs w:val="17"/>
          <w:color w:val="auto"/>
        </w:rPr>
        <w:t>Licensee in currency other than USD, calculations required to ascertain amounts due Licensor and any currency conversions necessary to make payment of amounts due Licensor shall be made using an average of the official closing exchange rate quoted by the Wall Street Journal on the last day of each month in the applicable Calendar Quarter. If such currency conversion is not reasonably possible, Licensee shall immediately inform Licensor and Licensee, shall deposit any amounts owed to Licensor, in the currency of the Net Sales received, in the bank or trust association of the country of such currency designated by Licensor.</w:t>
      </w:r>
    </w:p>
    <w:p>
      <w:pPr>
        <w:spacing w:after="0" w:line="83"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 xml:space="preserve">Late Fees </w:t>
      </w:r>
      <w:r>
        <w:rPr>
          <w:rFonts w:ascii="Arial" w:cs="Arial" w:eastAsia="Arial" w:hAnsi="Arial"/>
          <w:sz w:val="18"/>
          <w:szCs w:val="18"/>
          <w:color w:val="auto"/>
        </w:rPr>
        <w:t>- If any undisputed payment is made more than [***] late after the date such payment is due (an “Overdue Payment”), Licensee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pay to Licensor interest on an Overdue Payment at a rate of [***]. Such interest will accrue on an Overdue Payment from the [***] after the payment was due. Accrued interest will be due and payable on the first day of each month after interest begins to accrue, until full payment of all Overdue Payments and accrued interest.</w:t>
      </w:r>
    </w:p>
    <w:p>
      <w:pPr>
        <w:spacing w:after="0" w:line="92" w:lineRule="exact"/>
        <w:rPr>
          <w:sz w:val="20"/>
          <w:szCs w:val="20"/>
          <w:color w:val="auto"/>
        </w:rPr>
      </w:pPr>
    </w:p>
    <w:p>
      <w:pPr>
        <w:ind w:left="540" w:right="80" w:hanging="539"/>
        <w:spacing w:after="0" w:line="311" w:lineRule="auto"/>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 xml:space="preserve">Reports </w:t>
      </w:r>
      <w:r>
        <w:rPr>
          <w:rFonts w:ascii="Arial" w:cs="Arial" w:eastAsia="Arial" w:hAnsi="Arial"/>
          <w:sz w:val="16"/>
          <w:szCs w:val="16"/>
          <w:color w:val="auto"/>
        </w:rPr>
        <w:t>- During the term of this Agreement and for [***] thereafter, Licensee shall keep, at its own expense, accurate books of account using</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accounting procedures, detailing the data necessary to calculate any payments due Licensor from Licensee under this Agreement. Each payment made to Licensor shall be accompanied by a written report summarizing the data used to calculate the amounts</w:t>
      </w:r>
    </w:p>
    <w:p>
      <w:pPr>
        <w:sectPr>
          <w:pgSz w:w="11900" w:h="16838" w:orient="portrait"/>
          <w:cols w:equalWidth="0" w:num="1">
            <w:col w:w="11000"/>
          </w:cols>
          <w:pgMar w:left="440" w:top="274" w:right="459" w:bottom="1440" w:gutter="0" w:footer="0" w:header="0"/>
        </w:sectPr>
      </w:pPr>
    </w:p>
    <w:bookmarkStart w:id="452" w:name="page453"/>
    <w:bookmarkEnd w:id="45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paid. Each report pertaining to royalty payments for the applicable accounting period shall specifically include the following, as applicable:</w:t>
      </w:r>
    </w:p>
    <w:p>
      <w:pPr>
        <w:spacing w:after="0" w:line="142" w:lineRule="exact"/>
        <w:rPr>
          <w:sz w:val="20"/>
          <w:szCs w:val="20"/>
          <w:color w:val="auto"/>
        </w:rPr>
      </w:pPr>
    </w:p>
    <w:p>
      <w:pPr>
        <w:ind w:left="1204" w:hanging="543"/>
        <w:spacing w:after="0"/>
        <w:tabs>
          <w:tab w:leader="none" w:pos="12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Gross Revenue amounts;</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Net Sales; and</w:t>
      </w:r>
    </w:p>
    <w:p>
      <w:pPr>
        <w:spacing w:after="0" w:line="130" w:lineRule="exact"/>
        <w:rPr>
          <w:rFonts w:ascii="Arial" w:cs="Arial" w:eastAsia="Arial" w:hAnsi="Arial"/>
          <w:sz w:val="18"/>
          <w:szCs w:val="18"/>
          <w:color w:val="auto"/>
        </w:rPr>
      </w:pPr>
    </w:p>
    <w:p>
      <w:pPr>
        <w:ind w:left="1204" w:hanging="543"/>
        <w:spacing w:after="0"/>
        <w:tabs>
          <w:tab w:leader="none" w:pos="12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Amount of royalties due, broken down by category and country; and</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All reports under this Agreement will be treated as Licensee’s Confidential Information. If during any reporting period, no Net Sales are invoiced, billed, or received and no payment is due Licensor, Licensee shall nevertheless timely submit a written report to Licensor stating that no Net Sales were invoiced, billed, or received and no funds are due Licensor.</w:t>
      </w:r>
    </w:p>
    <w:p>
      <w:pPr>
        <w:spacing w:after="0" w:line="89" w:lineRule="exact"/>
        <w:rPr>
          <w:sz w:val="20"/>
          <w:szCs w:val="20"/>
          <w:color w:val="auto"/>
        </w:rPr>
      </w:pPr>
    </w:p>
    <w:p>
      <w:pPr>
        <w:ind w:left="4" w:right="180" w:hanging="539"/>
        <w:spacing w:after="0" w:line="289"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6"/>
          <w:szCs w:val="16"/>
          <w:i w:val="1"/>
          <w:iCs w:val="1"/>
          <w:color w:val="auto"/>
        </w:rPr>
        <w:t xml:space="preserve">Examination of Records </w:t>
      </w:r>
      <w:r>
        <w:rPr>
          <w:rFonts w:ascii="Arial" w:cs="Arial" w:eastAsia="Arial" w:hAnsi="Arial"/>
          <w:sz w:val="16"/>
          <w:szCs w:val="16"/>
          <w:color w:val="auto"/>
        </w:rPr>
        <w:t>- Upon at least [***] written notice, Licensor, at its own cost and expense, through an independent auditor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Licensee, may inspect and examine such records and books of account of Licensee as are necessary, and where Licensee grants sublicenses or any other grant of rights in the Licensed Technology, it shall obtain a right for Licensor’s independent auditor reasonably acceptable to such Sublicensee, to examine such records and books of account of Sublicensees on Licensor’s behalf, as are necessary to verify the accuracy of Licensee’s royalty payments. Such right may be exercised [***] during any twelve-month period. Such examination may be performed at any time within [***] after the end of the reporting period to which the books of account pertain, and shall be performed during normal business hours at the major place of business or at such other site as may be agreed upon by Licensor and Licensee or the party who is subject to the inspection. Licensor may make abstracts or copies of such books of account solely for its use in performing the examination and such copies shall be considered the Confidential Information of Licensee.</w:t>
      </w:r>
    </w:p>
    <w:p>
      <w:pPr>
        <w:spacing w:after="0" w:line="72" w:lineRule="exact"/>
        <w:rPr>
          <w:sz w:val="20"/>
          <w:szCs w:val="20"/>
          <w:color w:val="auto"/>
        </w:rPr>
      </w:pPr>
    </w:p>
    <w:p>
      <w:pPr>
        <w:ind w:left="4" w:hanging="539"/>
        <w:spacing w:after="0" w:line="286"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6"/>
          <w:szCs w:val="16"/>
          <w:i w:val="1"/>
          <w:iCs w:val="1"/>
          <w:color w:val="auto"/>
        </w:rPr>
        <w:t xml:space="preserve">Result of Examination </w:t>
      </w:r>
      <w:r>
        <w:rPr>
          <w:rFonts w:ascii="Arial" w:cs="Arial" w:eastAsia="Arial" w:hAnsi="Arial"/>
          <w:sz w:val="16"/>
          <w:szCs w:val="16"/>
          <w:color w:val="auto"/>
        </w:rPr>
        <w:t>- If any examination of Licensee’s records shows that Licensee has paid more than required under this Agreement, any</w:t>
      </w:r>
      <w:r>
        <w:rPr>
          <w:rFonts w:ascii="Arial" w:cs="Arial" w:eastAsia="Arial" w:hAnsi="Arial"/>
          <w:sz w:val="16"/>
          <w:szCs w:val="16"/>
          <w:i w:val="1"/>
          <w:iCs w:val="1"/>
          <w:color w:val="auto"/>
        </w:rPr>
        <w:t xml:space="preserve"> </w:t>
      </w:r>
      <w:r>
        <w:rPr>
          <w:rFonts w:ascii="Arial" w:cs="Arial" w:eastAsia="Arial" w:hAnsi="Arial"/>
          <w:sz w:val="16"/>
          <w:szCs w:val="16"/>
          <w:color w:val="auto"/>
        </w:rPr>
        <w:t>excess amounts shall, at Licensee’s option, be promptly refunded or credited against future royalties with interest from the date of overpayment [***]. If any examination of Licensee’s records shows that Licensee has paid less than required under this Agreement, Licensee shall promptly pay the additional amount due together with interest as required under this Agreement for late payments. If the amount of underpayment exceeds</w:t>
      </w:r>
    </w:p>
    <w:p>
      <w:pPr>
        <w:spacing w:after="0" w:line="1" w:lineRule="exact"/>
        <w:rPr>
          <w:sz w:val="20"/>
          <w:szCs w:val="20"/>
          <w:color w:val="auto"/>
        </w:rPr>
      </w:pPr>
    </w:p>
    <w:p>
      <w:pPr>
        <w:ind w:left="4" w:right="60" w:hanging="4"/>
        <w:spacing w:after="0" w:line="260" w:lineRule="auto"/>
        <w:tabs>
          <w:tab w:leader="none" w:pos="43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of the amount which should have been paid, Licensee shall also pay all reasonable, out-of-pockets costs incurred by Licensor with respect to such examination.</w:t>
      </w:r>
    </w:p>
    <w:p>
      <w:pPr>
        <w:spacing w:after="0" w:line="91" w:lineRule="exact"/>
        <w:rPr>
          <w:sz w:val="20"/>
          <w:szCs w:val="20"/>
          <w:color w:val="auto"/>
        </w:rPr>
      </w:pPr>
    </w:p>
    <w:p>
      <w:pPr>
        <w:ind w:left="4" w:right="300" w:hanging="539"/>
        <w:spacing w:after="0" w:line="286"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7"/>
          <w:szCs w:val="17"/>
          <w:i w:val="1"/>
          <w:iCs w:val="1"/>
          <w:color w:val="auto"/>
        </w:rPr>
        <w:t xml:space="preserve">Reimbursement of plasmid materials </w:t>
      </w:r>
      <w:r>
        <w:rPr>
          <w:rFonts w:ascii="Arial" w:cs="Arial" w:eastAsia="Arial" w:hAnsi="Arial"/>
          <w:sz w:val="17"/>
          <w:szCs w:val="17"/>
          <w:color w:val="auto"/>
        </w:rPr>
        <w:t>– The proposed Sponsored Research Agreement shall contain a provision for the reimbursement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$221,300 USD with respect to the cost of manufacturing the plasmid material. In the event a Sponsored Research Agreement is not executed within [***] of the Effective Date, Licensee agrees to reimburse Licensor directly in the amount of $221,300 USD.</w:t>
      </w:r>
    </w:p>
    <w:p>
      <w:pPr>
        <w:sectPr>
          <w:pgSz w:w="11900" w:h="16838" w:orient="portrait"/>
          <w:cols w:equalWidth="0" w:num="1">
            <w:col w:w="10424"/>
          </w:cols>
          <w:pgMar w:left="976" w:top="274" w:right="49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 – Performance</w:t>
      </w:r>
    </w:p>
    <w:p>
      <w:pPr>
        <w:spacing w:after="0" w:line="135"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 xml:space="preserve">Licensee Efforts </w:t>
      </w:r>
      <w:r>
        <w:rPr>
          <w:rFonts w:ascii="Arial" w:cs="Arial" w:eastAsia="Arial" w:hAnsi="Arial"/>
          <w:sz w:val="18"/>
          <w:szCs w:val="18"/>
          <w:color w:val="auto"/>
        </w:rPr>
        <w:t>- During the term of this Agreement, Licensee shall use commercially reasonable efforts to exploit the Licensed Technology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Field of Use in the Territory in countries where it is commercially reasonable to develop Licensed Products hereunder. As a minimum, Licensee agrees to achieve the following:</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540" w:right="20" w:hanging="539"/>
        <w:spacing w:after="0" w:line="342"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Notwithstanding the foregoing, any delays arising from unexpected scientific difficulties or regulatory delays shall be reasonably excused, provided that the Licensee provides timely notice of such situation and promptly uses commercially reasonable efforts to mitigate such situation.</w:t>
      </w:r>
    </w:p>
    <w:p>
      <w:pPr>
        <w:spacing w:after="0" w:line="16" w:lineRule="exact"/>
        <w:rPr>
          <w:sz w:val="20"/>
          <w:szCs w:val="20"/>
          <w:color w:val="auto"/>
        </w:rPr>
      </w:pPr>
    </w:p>
    <w:p>
      <w:pPr>
        <w:ind w:left="540" w:right="120"/>
        <w:spacing w:after="0" w:line="263" w:lineRule="auto"/>
        <w:rPr>
          <w:sz w:val="20"/>
          <w:szCs w:val="20"/>
          <w:color w:val="auto"/>
        </w:rPr>
      </w:pPr>
      <w:r>
        <w:rPr>
          <w:rFonts w:ascii="Arial" w:cs="Arial" w:eastAsia="Arial" w:hAnsi="Arial"/>
          <w:sz w:val="18"/>
          <w:szCs w:val="18"/>
          <w:color w:val="auto"/>
        </w:rPr>
        <w:t>If Licensee is unable to perform any of the above provisions in Article 6.1, then Licensor, after providing Licensee with written notice of Licensee’s failure to perform such obligations and Licensee failing within [***] of receiving such notice to cure such failure or otherwise reach agreement with Licensor on a procedure to remedy the failure, has the right and option to either:</w:t>
      </w:r>
    </w:p>
    <w:p>
      <w:pPr>
        <w:spacing w:after="0" w:line="89" w:lineRule="exact"/>
        <w:rPr>
          <w:sz w:val="20"/>
          <w:szCs w:val="20"/>
          <w:color w:val="auto"/>
        </w:rPr>
      </w:pPr>
    </w:p>
    <w:p>
      <w:pPr>
        <w:ind w:left="1740" w:hanging="543"/>
        <w:spacing w:after="0"/>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terminate this Agreement;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reduce Licensee’s Field of Use;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convert this exclusive license to a non-exclusive license,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this right, if exercised by Licensor, supersedes the rights granted in Article 2.</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Licensee shall provide an annual report to Licensor summarizing progress achieved on commercializing the Licensed Technology.</w:t>
      </w:r>
    </w:p>
    <w:p>
      <w:pPr>
        <w:spacing w:after="0" w:line="129"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Licensee shall comply with all applicable international, federal, national, state, provincial, and local laws and regulations, including, for certainty, any applicable export control, embargo, anti-corruption, and international treaties regulating the sale or use of Licensed Products or containing the Licensed Technology (“Applicable Laws”). Without limiting the generality of the above, Licensee acknowledges that the Licensed Products and any related Licensed Technology may be subject to export controls imposed by Canada, the United States and other Applicable Laws, and may require disclosure to and permits or licenses to be issued by the government of Canada, the government of the United States and/or other applicable government agencies and departments (“</w:t>
      </w:r>
      <w:r>
        <w:rPr>
          <w:rFonts w:ascii="Arial" w:cs="Arial" w:eastAsia="Arial" w:hAnsi="Arial"/>
          <w:sz w:val="16"/>
          <w:szCs w:val="16"/>
          <w:i w:val="1"/>
          <w:iCs w:val="1"/>
          <w:color w:val="auto"/>
        </w:rPr>
        <w:t>Government</w:t>
      </w:r>
      <w:r>
        <w:rPr>
          <w:rFonts w:ascii="Arial" w:cs="Arial" w:eastAsia="Arial" w:hAnsi="Arial"/>
          <w:sz w:val="16"/>
          <w:szCs w:val="16"/>
          <w:color w:val="auto"/>
        </w:rPr>
        <w:t>”). Licensee shall obtain, maintain and comply with all required Government licenses and permits in connection with its use of the Licensed Technology and any manufacturing, marketing, sale, transportation and delivery of Licensed Products. Licensee acknowledges that its covenant to comply with Applicable Laws and obtain, maintain and comply with all requisite Government permits is fundamental condition of the entering into of this License by the Licensor.</w:t>
      </w:r>
    </w:p>
    <w:p>
      <w:pPr>
        <w:sectPr>
          <w:pgSz w:w="11900" w:h="16838" w:orient="portrait"/>
          <w:cols w:equalWidth="0" w:num="1">
            <w:col w:w="10980"/>
          </w:cols>
          <w:pgMar w:left="440" w:top="270" w:right="479" w:bottom="1440" w:gutter="0" w:footer="0" w:header="0"/>
        </w:sectPr>
      </w:pPr>
    </w:p>
    <w:bookmarkStart w:id="454" w:name="page455"/>
    <w:bookmarkEnd w:id="45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Licensee shall not take any actions to invalidate the Licensed Patents or have them declared unenforceable.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Intellectual Property</w:t>
      </w:r>
    </w:p>
    <w:p>
      <w:pPr>
        <w:spacing w:after="0" w:line="135" w:lineRule="exact"/>
        <w:rPr>
          <w:sz w:val="20"/>
          <w:szCs w:val="20"/>
          <w:color w:val="auto"/>
        </w:rPr>
      </w:pPr>
    </w:p>
    <w:p>
      <w:pPr>
        <w:ind w:left="540" w:right="140" w:hanging="539"/>
        <w:spacing w:after="0" w:line="287" w:lineRule="auto"/>
        <w:tabs>
          <w:tab w:leader="none" w:pos="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 xml:space="preserve">Licensed Patents – </w:t>
      </w:r>
      <w:r>
        <w:rPr>
          <w:rFonts w:ascii="Arial" w:cs="Arial" w:eastAsia="Arial" w:hAnsi="Arial"/>
          <w:sz w:val="16"/>
          <w:szCs w:val="16"/>
          <w:color w:val="auto"/>
        </w:rPr>
        <w:t>Unless otherwise provided herein, the Licensed Patents will be held in the name of Licensor and obtained with counsel or</w:t>
      </w:r>
      <w:r>
        <w:rPr>
          <w:rFonts w:ascii="Arial" w:cs="Arial" w:eastAsia="Arial" w:hAnsi="Arial"/>
          <w:sz w:val="16"/>
          <w:szCs w:val="16"/>
          <w:i w:val="1"/>
          <w:iCs w:val="1"/>
          <w:color w:val="auto"/>
        </w:rPr>
        <w:t xml:space="preserve"> </w:t>
      </w:r>
      <w:r>
        <w:rPr>
          <w:rFonts w:ascii="Arial" w:cs="Arial" w:eastAsia="Arial" w:hAnsi="Arial"/>
          <w:sz w:val="16"/>
          <w:szCs w:val="16"/>
          <w:color w:val="auto"/>
        </w:rPr>
        <w:t>patent agent(s) authorized to represent Licensor and mutually agreed upon by the parties. Licensor shall provide Licensee with (a) copies of all relevant documentation related to the prosecution of the Licensed Patents so that Licensee may be informed and appraised of and meaningfully consulted as to their filing, continuing prosecution and maintenance and (b) reasonable opportunity to advise Licensor on the filing, continuing prosecution and maintenance, and to comment on all relevant matters relating thereto, including review of filings and draft responses prior to filing with the applicable patent office. In the event of a disagreement between Licensor and Licensee regarding the filing, prosecution or maintenance of the Licensed Patent Rights, Licensee shall have final decision making authority with respect to such disputed issue. In the event that Licensee does not agree that any given patent application or patent should be made, prosecuted or maintained (hereinafter referred to as a “Licensor Patent”), Licensor shall have the right unilaterally to make, prosecute and maintain such Licensor Patent, and Licensee shall not have any rights to such Licensor Patent. In the event that Licensor elects to abandon any patent or patent application within the Licensed Patents, it shall notify Licensee at least [***] in advance of the associated statutory deadline with the applicable patent office. In the event Licensee disagrees with such abandonment, Licensor shall continue prosecution or maintenance, as the case may be, of such patent or patent application.</w:t>
      </w:r>
    </w:p>
    <w:p>
      <w:pPr>
        <w:spacing w:after="0" w:line="56" w:lineRule="exact"/>
        <w:rPr>
          <w:sz w:val="20"/>
          <w:szCs w:val="20"/>
          <w:color w:val="auto"/>
        </w:rPr>
      </w:pPr>
    </w:p>
    <w:p>
      <w:pPr>
        <w:ind w:left="540"/>
        <w:spacing w:after="0" w:line="282"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color w:val="auto"/>
        </w:rPr>
        <w:t>Licensor shall use its reasonable efforts to amend any patent application to include claims reasonably requested by Licensee and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the Licensed Products.</w:t>
      </w:r>
    </w:p>
    <w:p>
      <w:pPr>
        <w:spacing w:after="0" w:line="54" w:lineRule="exact"/>
        <w:rPr>
          <w:sz w:val="20"/>
          <w:szCs w:val="20"/>
          <w:color w:val="auto"/>
        </w:rPr>
      </w:pPr>
    </w:p>
    <w:p>
      <w:pPr>
        <w:ind w:left="540" w:right="20"/>
        <w:spacing w:after="0" w:line="274"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color w:val="auto"/>
        </w:rPr>
        <w:t>Licensee agrees to pay all costs and legal fees incurred by Licensor on behalf of Licensee for the filing, prosecution, maintenance and taxes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Licensed Patents (other than Licensor Patents). Such costs will include the reasonable and documented -of Licensor’s internal patent agents, out-of-pocket costs for the filing, prosecution and maintenance of the Licensed Patents, including in the event of an Inter Partes Review by the US patent office (or similar process in a country outside the US) reasonable and documented attorneys’ fees, expenses, official and filing fees. All reasonable and documented expenses incurred after the Effective Date for such prosecution, maintenance and taxes shall be reimbursed to Licensor by Licensee within [***] of invoicing.</w:t>
      </w:r>
    </w:p>
    <w:p>
      <w:pPr>
        <w:spacing w:after="0" w:line="83" w:lineRule="exact"/>
        <w:rPr>
          <w:sz w:val="20"/>
          <w:szCs w:val="20"/>
          <w:color w:val="auto"/>
        </w:rPr>
      </w:pPr>
    </w:p>
    <w:p>
      <w:pPr>
        <w:ind w:left="540" w:right="320" w:hanging="539"/>
        <w:spacing w:after="0" w:line="263" w:lineRule="auto"/>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 xml:space="preserve">Patent Markings </w:t>
      </w:r>
      <w:r>
        <w:rPr>
          <w:rFonts w:ascii="Arial" w:cs="Arial" w:eastAsia="Arial" w:hAnsi="Arial"/>
          <w:sz w:val="18"/>
          <w:szCs w:val="18"/>
          <w:color w:val="auto"/>
        </w:rPr>
        <w:t>- Licensee shall comply with all applicable United States and foreign statutes relating to the marking of Licensed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and/or related packaging with patent pending, patent number(s), copyrights, or other intellectual property notices and legends required to maintain the intellectual property rights licensed under this Agreement.</w:t>
      </w:r>
    </w:p>
    <w:p>
      <w:pPr>
        <w:sectPr>
          <w:pgSz w:w="11900" w:h="16838" w:orient="portrait"/>
          <w:cols w:equalWidth="0" w:num="1">
            <w:col w:w="11020"/>
          </w:cols>
          <w:pgMar w:left="440" w:top="274" w:right="4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 – Warranties</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 xml:space="preserve">Licensor Warranties - </w:t>
      </w:r>
      <w:r>
        <w:rPr>
          <w:rFonts w:ascii="Arial" w:cs="Arial" w:eastAsia="Arial" w:hAnsi="Arial"/>
          <w:sz w:val="16"/>
          <w:szCs w:val="16"/>
          <w:color w:val="auto"/>
        </w:rPr>
        <w:t>Licensor represents and warrants as of the Effective Date:</w:t>
      </w:r>
    </w:p>
    <w:p>
      <w:pPr>
        <w:spacing w:after="0" w:line="131" w:lineRule="exact"/>
        <w:rPr>
          <w:sz w:val="20"/>
          <w:szCs w:val="20"/>
          <w:color w:val="auto"/>
        </w:rPr>
      </w:pPr>
    </w:p>
    <w:p>
      <w:pPr>
        <w:ind w:left="1180" w:hanging="647"/>
        <w:spacing w:after="0" w:line="308" w:lineRule="auto"/>
        <w:tabs>
          <w:tab w:leader="none" w:pos="11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to the best of its knowledge after due inquiry, applying a standard of care consistent with the practices of other Canadian public research and educational institutions, and not the standard of care exercised by or in a pharmaceutical industry research facility:</w:t>
      </w:r>
    </w:p>
    <w:p>
      <w:pPr>
        <w:spacing w:after="0" w:line="52" w:lineRule="exact"/>
        <w:rPr>
          <w:sz w:val="20"/>
          <w:szCs w:val="20"/>
          <w:color w:val="auto"/>
        </w:rPr>
      </w:pPr>
    </w:p>
    <w:p>
      <w:pPr>
        <w:ind w:left="1740" w:right="60" w:hanging="543"/>
        <w:spacing w:after="0" w:line="263" w:lineRule="auto"/>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Licensor has identified all inventors of the Licensed Patents and Licensed Technology and the entire right and title to the Licensed Technology and the Licensed Patents have been properly assigned by the inventors and developers of such technology and patent applications to Licensor;</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Licensor is the owner or agent of the entire right, title and interest in and to the Licensed Patents; and</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Licensor has the right to grant the License hereunder, subject to the provisions of Article 2.</w:t>
      </w:r>
    </w:p>
    <w:p>
      <w:pPr>
        <w:spacing w:after="0" w:line="131" w:lineRule="exact"/>
        <w:rPr>
          <w:sz w:val="20"/>
          <w:szCs w:val="20"/>
          <w:color w:val="auto"/>
        </w:rPr>
      </w:pPr>
    </w:p>
    <w:p>
      <w:pPr>
        <w:ind w:left="1180" w:right="460" w:hanging="647"/>
        <w:spacing w:after="0" w:line="277" w:lineRule="auto"/>
        <w:tabs>
          <w:tab w:leader="none" w:pos="1160" w:val="left"/>
        </w:tabs>
        <w:rPr>
          <w:sz w:val="20"/>
          <w:szCs w:val="20"/>
          <w:color w:val="auto"/>
        </w:rPr>
      </w:pPr>
      <w:r>
        <w:rPr>
          <w:rFonts w:ascii="Arial" w:cs="Arial" w:eastAsia="Arial" w:hAnsi="Arial"/>
          <w:sz w:val="18"/>
          <w:szCs w:val="18"/>
          <w:color w:val="auto"/>
        </w:rPr>
        <w:t>8.1.2</w:t>
        <w:tab/>
        <w:t>Licensor has not granted any rights under the Licensed Patents and Licensed Technology prior to the Effective Date that would be inconsistent with the rights granted to Licensee herein, subject to the provisions of Article 2;</w:t>
      </w:r>
    </w:p>
    <w:p>
      <w:pPr>
        <w:spacing w:after="0" w:line="76"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Licensor has not received any written notice that any of the Licensed Patents are invalid or unenforceable; and</w:t>
      </w:r>
    </w:p>
    <w:p>
      <w:pPr>
        <w:spacing w:after="0" w:line="131" w:lineRule="exact"/>
        <w:rPr>
          <w:sz w:val="20"/>
          <w:szCs w:val="20"/>
          <w:color w:val="auto"/>
        </w:rPr>
      </w:pPr>
    </w:p>
    <w:p>
      <w:pPr>
        <w:ind w:left="1180" w:hanging="647"/>
        <w:spacing w:after="0" w:line="263" w:lineRule="auto"/>
        <w:tabs>
          <w:tab w:leader="none" w:pos="1160" w:val="left"/>
        </w:tabs>
        <w:rPr>
          <w:sz w:val="20"/>
          <w:szCs w:val="20"/>
          <w:color w:val="auto"/>
        </w:rPr>
      </w:pPr>
      <w:r>
        <w:rPr>
          <w:rFonts w:ascii="Arial" w:cs="Arial" w:eastAsia="Arial" w:hAnsi="Arial"/>
          <w:sz w:val="18"/>
          <w:szCs w:val="18"/>
          <w:color w:val="auto"/>
        </w:rPr>
        <w:t>8.1.4</w:t>
        <w:tab/>
        <w:t>Licensor has not received any written notice of any actual or threatened claims from any Entity other than the Foundation that the use of or practice of the Licensed Patents or Licensed Technology infringes or misappropriates (or has infringed or misappropriated) the intellectual property of any third party.</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 xml:space="preserve">Licensee Warranties </w:t>
      </w:r>
      <w:r>
        <w:rPr>
          <w:rFonts w:ascii="Arial" w:cs="Arial" w:eastAsia="Arial" w:hAnsi="Arial"/>
          <w:sz w:val="15"/>
          <w:szCs w:val="15"/>
          <w:color w:val="auto"/>
        </w:rPr>
        <w:t>- Licensee represents and warrants:</w:t>
      </w:r>
    </w:p>
    <w:p>
      <w:pPr>
        <w:spacing w:after="0" w:line="131" w:lineRule="exact"/>
        <w:rPr>
          <w:sz w:val="20"/>
          <w:szCs w:val="20"/>
          <w:color w:val="auto"/>
        </w:rPr>
      </w:pPr>
    </w:p>
    <w:p>
      <w:pPr>
        <w:ind w:left="1740" w:hanging="543"/>
        <w:spacing w:after="0"/>
        <w:tabs>
          <w:tab w:leader="none" w:pos="17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Licensee has full right and authority to enter into and fully perform its rights and obligations under this Agreement; and</w:t>
      </w:r>
    </w:p>
    <w:p>
      <w:pPr>
        <w:spacing w:after="0" w:line="142" w:lineRule="exact"/>
        <w:rPr>
          <w:rFonts w:ascii="Arial" w:cs="Arial" w:eastAsia="Arial" w:hAnsi="Arial"/>
          <w:sz w:val="17"/>
          <w:szCs w:val="17"/>
          <w:color w:val="auto"/>
        </w:rPr>
      </w:pPr>
    </w:p>
    <w:p>
      <w:pPr>
        <w:ind w:left="1740" w:hanging="543"/>
        <w:spacing w:after="0"/>
        <w:tabs>
          <w:tab w:leader="none" w:pos="17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entering into this Agreement will not conflict with any other obligation of Licensee.</w:t>
      </w:r>
    </w:p>
    <w:p>
      <w:pPr>
        <w:spacing w:after="0" w:line="131" w:lineRule="exact"/>
        <w:rPr>
          <w:sz w:val="20"/>
          <w:szCs w:val="20"/>
          <w:color w:val="auto"/>
        </w:rPr>
      </w:pPr>
    </w:p>
    <w:p>
      <w:pPr>
        <w:ind w:left="540" w:right="620" w:hanging="539"/>
        <w:spacing w:after="0" w:line="277" w:lineRule="auto"/>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 xml:space="preserve">Limitation on Licensor’s Warranties – </w:t>
      </w:r>
      <w:r>
        <w:rPr>
          <w:rFonts w:ascii="Arial" w:cs="Arial" w:eastAsia="Arial" w:hAnsi="Arial"/>
          <w:sz w:val="18"/>
          <w:szCs w:val="18"/>
          <w:color w:val="auto"/>
        </w:rPr>
        <w:t>Other than the representations and warranties provided in this Article 8, LICENSOR MAKES NO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OR</w:t>
      </w:r>
    </w:p>
    <w:p>
      <w:pPr>
        <w:sectPr>
          <w:pgSz w:w="11900" w:h="16838" w:orient="portrait"/>
          <w:cols w:equalWidth="0" w:num="1">
            <w:col w:w="11000"/>
          </w:cols>
          <w:pgMar w:left="440" w:top="270" w:right="459" w:bottom="1440" w:gutter="0" w:footer="0" w:header="0"/>
        </w:sectPr>
      </w:pPr>
    </w:p>
    <w:bookmarkStart w:id="456" w:name="page457"/>
    <w:bookmarkEnd w:id="456"/>
    <w:p>
      <w:pPr>
        <w:ind w:left="54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EXPRESS, IMPLIED OR STATUTORY, WITH RESPECT TO THE LICENSED TECHNOLOGY. ALL LICENSOR DELIVERABLES ARE MADE AVAILABLE TO LICENSEE STRICTLY ON AN “AS IS” BASIS. LICENSOR DOES NOT WARRANT THAT THE LICENSED TECHNOLOGY IS ERROR FREE OR THAT IT WILL MEET LICENSEE’S REQUIREMENTS. ALL IMPLIED WARRANTIES AND CONDITIONS OF MERCHANTABILITY AND FITNESS FOR A PARTICULAR PURPOSE ARE EXPRESSLY DISCLAIMED AND EXCLUDED. THE ENTIRE RISK AS TO THE RESULTS AND PERFORMANCE OF THE LICENSED TECHNOLOGY, DELIVERABLES, AND ANY PRODUCTS, SERVICES OR METHODS BASED ON THE LICENSED TECHNOLOGY IS ASSUMED BY LICENSEE. OTHER THAN AS EXPRESSLY SET OUT IN THIS ARTICLE 8, LICENSOR DOES NOT MAKE ANY WARRANTIES OR REPRESENTATIONS, EXPRESS OR IMPLIED, CONCERNING THE PATENTABILITY OF ANY LICENSED TECHNOLOGY, THE VALIDITY OF ANY LICENSED PATENT(S), THE SCOPE OF ANY LICENSED PATENT(S) CLAIMS, OR WHETHER OR NOT THE EXERCISE OF THE RIGHTS LICENSED UNDER THIS AGREEMENT WILL OR WILL NOT RESULT IN INFRINGEMENT OF ANY INTELLECTUAL PROPERTY RIGHTS OF THIRD PARTIES.</w:t>
      </w:r>
    </w:p>
    <w:p>
      <w:pPr>
        <w:spacing w:after="0" w:line="3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i w:val="1"/>
          <w:iCs w:val="1"/>
          <w:color w:val="auto"/>
        </w:rPr>
        <w:t>Licensee’s Indemnification</w:t>
      </w:r>
    </w:p>
    <w:p>
      <w:pPr>
        <w:spacing w:after="0" w:line="131" w:lineRule="exact"/>
        <w:rPr>
          <w:sz w:val="20"/>
          <w:szCs w:val="20"/>
          <w:color w:val="auto"/>
        </w:rPr>
      </w:pPr>
    </w:p>
    <w:p>
      <w:pPr>
        <w:ind w:left="1180" w:hanging="647"/>
        <w:spacing w:after="0" w:line="289" w:lineRule="auto"/>
        <w:tabs>
          <w:tab w:leader="none" w:pos="11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6"/>
          <w:szCs w:val="16"/>
          <w:color w:val="auto"/>
        </w:rPr>
        <w:t>Licensee hereby indemnifies and undertakes to defend Licensor, its shareholders, directors, trustees, officers, employees, students and agents and hold them harmless against all third party claims, suits, proceedings, demands, actions of any nature or kind whatsoever including any actions for infringement of a third party’s intellectual property rights, as referred to in Article 9.1 by a third party (other than the Foundation, its directors, trustees, officers, employees, successors or assigns), damages, judgments, costs, expenses and fees (including but without limitation, reasonable legal expenses) or liability of any kind brought by a third party or otherwise related to third party claims arising out of or in any way associated with the development, sub-licensing, use, manufacture, marketing and sale of the Licensed Products or with the use of Licensed Technology, except, in each case, to the extent such third party claim or liability arises out of or is in any way associated with the gross negligence or willful misconduct of Licensor or breach of this Agreement by Licensor. The obligations of Licensee under this Section 8.4 shall survive the termination of this Agreement.</w:t>
      </w:r>
    </w:p>
    <w:p>
      <w:pPr>
        <w:spacing w:after="0" w:line="72" w:lineRule="exact"/>
        <w:rPr>
          <w:sz w:val="20"/>
          <w:szCs w:val="20"/>
          <w:color w:val="auto"/>
        </w:rPr>
      </w:pPr>
    </w:p>
    <w:p>
      <w:pPr>
        <w:ind w:left="1180" w:right="20" w:hanging="647"/>
        <w:spacing w:after="0" w:line="287" w:lineRule="auto"/>
        <w:tabs>
          <w:tab w:leader="none" w:pos="11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6"/>
          <w:szCs w:val="16"/>
          <w:color w:val="auto"/>
        </w:rPr>
        <w:t>As a condition to a Licensor right to receive indemnification under Section 8.4.1, Licensor shall: (i) promptly notify Licensee as soon as it becomes aware of a claim or suit for which indemnification may be sought; (ii) reasonably cooperate, and cause the individual Licensor indemnitees to reasonably cooperate, with Licensee in the defense, settlement or compromise of such claim or suit; and</w:t>
      </w:r>
    </w:p>
    <w:p>
      <w:pPr>
        <w:spacing w:after="0" w:line="2" w:lineRule="exact"/>
        <w:rPr>
          <w:sz w:val="20"/>
          <w:szCs w:val="20"/>
          <w:color w:val="auto"/>
        </w:rPr>
      </w:pPr>
    </w:p>
    <w:p>
      <w:pPr>
        <w:ind w:left="1180" w:right="620" w:firstLine="4"/>
        <w:spacing w:after="0" w:line="260" w:lineRule="auto"/>
        <w:tabs>
          <w:tab w:leader="none" w:pos="149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permit Licensee to control the defense, settlement or compromise of such claim or suit, including the right to select defense counsel. In no event, however, may</w:t>
      </w:r>
    </w:p>
    <w:p>
      <w:pPr>
        <w:sectPr>
          <w:pgSz w:w="11900" w:h="16838" w:orient="portrait"/>
          <w:cols w:equalWidth="0" w:num="1">
            <w:col w:w="11000"/>
          </w:cols>
          <w:pgMar w:left="440" w:top="274" w:right="459" w:bottom="1440" w:gutter="0" w:footer="0" w:header="0"/>
        </w:sectPr>
      </w:pPr>
    </w:p>
    <w:bookmarkStart w:id="457" w:name="page458"/>
    <w:bookmarkEnd w:id="457"/>
    <w:p>
      <w:pPr>
        <w:ind w:left="1200"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Licensee compromise or settle any claim or suit in a manner which (A) admits fault or negligence on the part of Licensor or any other Licensor indemnitee; (B) commits Licensor or any other Licensor indemnitee to take, or forbear to take, any action, without the prior written consent of Licensor, or (C) grant any rights under the Licensed Patents except for Sublicenses as permitted herein. Licensor shall reasonably cooperate with Licensee and its counsel in the course of the defense of any such suit, claim or demand, such cooperation to include without limitation using reasonable efforts to provide or make available documents, information and witnesses.</w:t>
      </w:r>
    </w:p>
    <w:p>
      <w:pPr>
        <w:spacing w:after="0" w:line="67" w:lineRule="exact"/>
        <w:rPr>
          <w:sz w:val="20"/>
          <w:szCs w:val="20"/>
          <w:color w:val="auto"/>
        </w:rPr>
      </w:pPr>
    </w:p>
    <w:p>
      <w:pPr>
        <w:ind w:left="540" w:hanging="539"/>
        <w:spacing w:after="0" w:line="296" w:lineRule="auto"/>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i w:val="1"/>
          <w:iCs w:val="1"/>
          <w:color w:val="auto"/>
        </w:rPr>
        <w:t xml:space="preserve">Insurance - </w:t>
      </w:r>
      <w:r>
        <w:rPr>
          <w:rFonts w:ascii="Arial" w:cs="Arial" w:eastAsia="Arial" w:hAnsi="Arial"/>
          <w:sz w:val="16"/>
          <w:szCs w:val="16"/>
          <w:color w:val="auto"/>
        </w:rPr>
        <w:t>Licensee shall obtain and maintain, at its sole cost and expense, general liability insurance, product and product liability insurance in</w:t>
      </w:r>
      <w:r>
        <w:rPr>
          <w:rFonts w:ascii="Arial" w:cs="Arial" w:eastAsia="Arial" w:hAnsi="Arial"/>
          <w:sz w:val="16"/>
          <w:szCs w:val="16"/>
          <w:i w:val="1"/>
          <w:iCs w:val="1"/>
          <w:color w:val="auto"/>
        </w:rPr>
        <w:t xml:space="preserve"> </w:t>
      </w:r>
      <w:r>
        <w:rPr>
          <w:rFonts w:ascii="Arial" w:cs="Arial" w:eastAsia="Arial" w:hAnsi="Arial"/>
          <w:sz w:val="16"/>
          <w:szCs w:val="16"/>
          <w:color w:val="auto"/>
        </w:rPr>
        <w:t>an amount reasonably sufficient to protect against activities related to this Agreement, including coverage for, without limitation, its indemnification obligations under Article 8.4 (the “Insurance Coverage”). Prior to any distribution or Commercial Sale of a Licensed Product Licensee shall obtain and maintain Insurance Cover at a minimum face amount of $[***] per occasion and an aggregate of $[***]. Upon request, Licensee shall furnish to Licensor a certificate evidencing compliance with these insurance obligations and coverages.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i w:val="1"/>
          <w:iCs w:val="1"/>
          <w:color w:val="auto"/>
        </w:rPr>
        <w:t>Limitation of Liability -</w:t>
      </w:r>
    </w:p>
    <w:p>
      <w:pPr>
        <w:spacing w:after="0" w:line="131" w:lineRule="exact"/>
        <w:rPr>
          <w:sz w:val="20"/>
          <w:szCs w:val="20"/>
          <w:color w:val="auto"/>
        </w:rPr>
      </w:pPr>
    </w:p>
    <w:p>
      <w:pPr>
        <w:ind w:left="1180" w:right="120" w:hanging="647"/>
        <w:spacing w:after="0" w:line="301" w:lineRule="auto"/>
        <w:tabs>
          <w:tab w:leader="none" w:pos="116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6"/>
          <w:szCs w:val="16"/>
          <w:color w:val="auto"/>
        </w:rPr>
        <w:t>Subject to Sections 8.6.2 and 8.6.3, the liability of either party in relation to this Agreement shall in all circumstances be limited to direct damages and neither party shall be liable for any special, consequential, indirect, incidental, exemplary or punitive damages, whether in contract, tort or otherwise resulting from any cause of action whatsoever, including negligence, gross negligence, negligent misrepresentation, loss of profit, strict liability, operation of law, and/or fundamental breach or other theory of law.</w:t>
      </w:r>
    </w:p>
    <w:p>
      <w:pPr>
        <w:spacing w:after="0" w:line="63"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6"/>
          <w:szCs w:val="16"/>
          <w:color w:val="auto"/>
        </w:rPr>
        <w:t>Section 8.6.1 shall not apply in respect of damages arising from a breach of Article 10 or willful misconduct.</w:t>
      </w:r>
    </w:p>
    <w:p>
      <w:pPr>
        <w:spacing w:after="0" w:line="131" w:lineRule="exact"/>
        <w:rPr>
          <w:sz w:val="20"/>
          <w:szCs w:val="20"/>
          <w:color w:val="auto"/>
        </w:rPr>
      </w:pPr>
    </w:p>
    <w:p>
      <w:pPr>
        <w:ind w:left="1180" w:right="260" w:hanging="647"/>
        <w:spacing w:after="0" w:line="308" w:lineRule="auto"/>
        <w:tabs>
          <w:tab w:leader="none" w:pos="116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7"/>
          <w:szCs w:val="17"/>
          <w:color w:val="auto"/>
        </w:rPr>
        <w:t>Except for a breach of Article 10 or willful misconduct, in no event shall Licensor’s aggregate liability for claims arising out of or in connection with this Agreement exceed an amount equal to the amounts paid under Article 4 of this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Infringement</w:t>
      </w:r>
    </w:p>
    <w:p>
      <w:pPr>
        <w:spacing w:after="0" w:line="135"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 xml:space="preserve">Licensed Technology Infringes Third-Party’s Rights - </w:t>
      </w:r>
      <w:r>
        <w:rPr>
          <w:rFonts w:ascii="Arial" w:cs="Arial" w:eastAsia="Arial" w:hAnsi="Arial"/>
          <w:sz w:val="18"/>
          <w:szCs w:val="18"/>
          <w:color w:val="auto"/>
        </w:rPr>
        <w:t>Should any third party threaten or make a claim that the manufacture, use, or sale of a</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the use of the Licensed Technology by Licensee infringes or constitutes wrongful use of such third party’s intellectual property rights, Licensee shall give Licensor prompt written notice detailing as many facts as possible concerning such claim. Licensor agrees, at its own</w:t>
      </w:r>
    </w:p>
    <w:p>
      <w:pPr>
        <w:sectPr>
          <w:pgSz w:w="11900" w:h="16838" w:orient="portrait"/>
          <w:cols w:equalWidth="0" w:num="1">
            <w:col w:w="10980"/>
          </w:cols>
          <w:pgMar w:left="440" w:top="274" w:right="479" w:bottom="1440" w:gutter="0" w:footer="0" w:header="0"/>
        </w:sectPr>
      </w:pPr>
    </w:p>
    <w:bookmarkStart w:id="458" w:name="page459"/>
    <w:bookmarkEnd w:id="458"/>
    <w:p>
      <w:pPr>
        <w:ind w:left="540"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 to provide all reasonable and necessary documents, in the possession of Licensor, and reasonable access at Licensor’s offices during business hours to personnel of Licensor with a knowledge of the dispute, to Licensee in any attempt by Licensee to resolve such claims.</w:t>
      </w:r>
    </w:p>
    <w:p>
      <w:pPr>
        <w:spacing w:after="0" w:line="29" w:lineRule="exact"/>
        <w:rPr>
          <w:sz w:val="20"/>
          <w:szCs w:val="20"/>
          <w:color w:val="auto"/>
        </w:rPr>
      </w:pPr>
    </w:p>
    <w:p>
      <w:pPr>
        <w:ind w:left="540" w:hanging="539"/>
        <w:spacing w:after="0" w:line="289"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 xml:space="preserve">Third-Party Infringement </w:t>
      </w:r>
      <w:r>
        <w:rPr>
          <w:rFonts w:ascii="Arial" w:cs="Arial" w:eastAsia="Arial" w:hAnsi="Arial"/>
          <w:sz w:val="16"/>
          <w:szCs w:val="16"/>
          <w:color w:val="auto"/>
        </w:rPr>
        <w:t>- Licensor and Licensee agree that, should either party become aware of any actual or potential infringement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wrongful or unauthorized use of the Licensed Technology or the Licensed Patents, that party becoming aware will give the other party prompt written notice detailing as many facts as possible concerning such infringement or potential infringement. During the Term, Licensee, at its own expense, shall have the right to prosecute infringement or wrongful or unauthorized use of the Licensed Technology and/or the Licensed Patents in the Field of Use in the Territory. Licensee shall have the right to join Licensor as a party plaintiff in any action brought by Licensee to enforce the Licensed Technology and/or Licensed Patents. Should Licensee join Licensor, Licensee shall pay all out-of-pocket expenses incurred by Licensor in its participation in the action. Licensee shall recover and retain any and all damages recovered from such an action. Licensor shall provide to Licensee all information reasonably required to assist with the prosecution of such action. The foregoing rights shall be subject to the continuing right of Licensor to intervene in an action commenced by Licensee at Licensor’s own expense.</w:t>
      </w:r>
    </w:p>
    <w:p>
      <w:pPr>
        <w:spacing w:after="0" w:line="72" w:lineRule="exact"/>
        <w:rPr>
          <w:sz w:val="20"/>
          <w:szCs w:val="20"/>
          <w:color w:val="auto"/>
        </w:rPr>
      </w:pPr>
    </w:p>
    <w:p>
      <w:pPr>
        <w:ind w:left="540" w:hanging="539"/>
        <w:spacing w:after="0" w:line="293" w:lineRule="auto"/>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 xml:space="preserve">Licensor Enforcement </w:t>
      </w:r>
      <w:r>
        <w:rPr>
          <w:rFonts w:ascii="Arial" w:cs="Arial" w:eastAsia="Arial" w:hAnsi="Arial"/>
          <w:sz w:val="16"/>
          <w:szCs w:val="16"/>
          <w:color w:val="auto"/>
        </w:rPr>
        <w:t>- Should Licensee not commence an action against a third party that is infringing or wrongfully using the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and/or Licensed Patents within 180 days of receiving or giving notice of such infringement, then Licensor may commence an action in its own name against such third party. Licensor shall have the right to join Licensee as a party plaintiff in any action brought by Licensor to enforce the Licensed Technology and/or Licensed Patents intellectual property rights. Should Licensor join Licensee, Licensor shall pay all out-of-pocket expenses incurred by Licensee in its participation in the action. Licensee shall provide to Licensor all information reasonably required to assist with the prosecution of such action. Licensor shall recover and retain any and all damages recovered from such an action.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Confidential Information</w:t>
      </w:r>
    </w:p>
    <w:p>
      <w:pPr>
        <w:spacing w:after="0" w:line="135"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 xml:space="preserve">Confidential Information - </w:t>
      </w:r>
      <w:r>
        <w:rPr>
          <w:rFonts w:ascii="Arial" w:cs="Arial" w:eastAsia="Arial" w:hAnsi="Arial"/>
          <w:sz w:val="18"/>
          <w:szCs w:val="18"/>
          <w:color w:val="auto"/>
        </w:rPr>
        <w:t>The parties may exchange Confidential Information to each other in connection with this Agreement. The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Party shall safeguard the Confidential Information received from the Disclosing Party and shall not disclose it to anyone within the Receiving Party’s organization without a “need to know” and without being bound to a written confidentiality agreement signed on terms no less stringent than set out herein, or, if to third parties, without appropriate written confidentiality agreements being signed on terms no less stringent than set out herein. Each party agrees to take reasonable precautions to protect the other party’s Confidential Information and preserve and shall use at least the same degree of care</w:t>
      </w:r>
    </w:p>
    <w:p>
      <w:pPr>
        <w:sectPr>
          <w:pgSz w:w="11900" w:h="16838" w:orient="portrait"/>
          <w:cols w:equalWidth="0" w:num="1">
            <w:col w:w="10940"/>
          </w:cols>
          <w:pgMar w:left="440" w:top="274" w:right="519" w:bottom="1440" w:gutter="0" w:footer="0" w:header="0"/>
        </w:sectPr>
      </w:pPr>
    </w:p>
    <w:bookmarkStart w:id="459" w:name="page460"/>
    <w:bookmarkEnd w:id="459"/>
    <w:p>
      <w:pPr>
        <w:ind w:left="540"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precaution as is customarily used to protect its own Confidential Information and which in any event shall be a prudent and reasonable degree of care. Each party agrees not to use the other party’s Confidential Information other than as expressly set forth herein.</w:t>
      </w:r>
    </w:p>
    <w:p>
      <w:pPr>
        <w:spacing w:after="0" w:line="29" w:lineRule="exact"/>
        <w:rPr>
          <w:sz w:val="20"/>
          <w:szCs w:val="20"/>
          <w:color w:val="auto"/>
        </w:rPr>
      </w:pPr>
    </w:p>
    <w:p>
      <w:pPr>
        <w:ind w:left="540" w:hanging="539"/>
        <w:spacing w:after="0" w:line="268"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Notwithstanding Section 10.1, a Party may disclose Confidential Information (a) to regulatory authorities as reasonably needed to develop and/or obtain or maintain regulatory approvals of Licensed Products, (b) to its Sublicensees as reasonably needed to research, develop and/or commercialize Licensed Products, under terms of confidentiality that are no less restrictive than those set forth in this Agreement, (c) to prospective sublicensees, strategic partners, merger partners or acquirers, existing and potential investors and in each case, their respective professional advisors, in connection with evaluation and/or negotiation of possible sublicense, corporate partnering, merger, asset purchase or other similar transactions, provided that any such disclosure shall be subject to a written confidentiality agreement with terms of non-disclosure no less restrictive than those set forth in this Agreement, or (d) as reasonably needed to conduct or defend any litigation relating to this Agreement, the Licensed Products or such party’s rights hereunder. Furthermore, if the Receiving Party of Confidential Information becomes legally compelled to disclose any Confidential Information in order to comply with applicable law or with an order issued by a court or regulatory body with competent jurisdiction, the recipient shall (i) provide prompt written notice to the Disclosing Party so that the Disclosing Party may seek a protective order or other appropriate remedy or waive its rights under this Section; and (ii) disclose only that portion of Confidential Information that is legally required to furnish; provided that, in connection with such disclosure, the recipient shall use commercially reasonable efforts to obtain assurance that confidential treatment will be given with respect to such Confidential Information. If any party is required to file this Agreement with any governmental body, such party shall redact the terms of this Agreement to the extent possible in order to keep particularly sensitive provisions confidential.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Termination</w:t>
      </w:r>
    </w:p>
    <w:p>
      <w:pPr>
        <w:spacing w:after="0" w:line="135" w:lineRule="exact"/>
        <w:rPr>
          <w:sz w:val="20"/>
          <w:szCs w:val="20"/>
          <w:color w:val="auto"/>
        </w:rPr>
      </w:pPr>
    </w:p>
    <w:p>
      <w:pPr>
        <w:ind w:left="540" w:right="20" w:hanging="539"/>
        <w:spacing w:after="0" w:line="273"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i w:val="1"/>
          <w:iCs w:val="1"/>
          <w:color w:val="auto"/>
        </w:rPr>
        <w:t xml:space="preserve">Licensor’s Right to Terminate - </w:t>
      </w:r>
      <w:r>
        <w:rPr>
          <w:rFonts w:ascii="Arial" w:cs="Arial" w:eastAsia="Arial" w:hAnsi="Arial"/>
          <w:sz w:val="17"/>
          <w:szCs w:val="17"/>
          <w:color w:val="auto"/>
        </w:rPr>
        <w:t>Licensor may, at its option, terminate this Agreement immediately and without notice if [***], or (b) Licensee</w:t>
      </w:r>
      <w:r>
        <w:rPr>
          <w:rFonts w:ascii="Arial" w:cs="Arial" w:eastAsia="Arial" w:hAnsi="Arial"/>
          <w:sz w:val="17"/>
          <w:szCs w:val="17"/>
          <w:i w:val="1"/>
          <w:iCs w:val="1"/>
          <w:color w:val="auto"/>
        </w:rPr>
        <w:t xml:space="preserve"> </w:t>
      </w:r>
      <w:r>
        <w:rPr>
          <w:rFonts w:ascii="Arial" w:cs="Arial" w:eastAsia="Arial" w:hAnsi="Arial"/>
          <w:sz w:val="17"/>
          <w:szCs w:val="17"/>
          <w:color w:val="auto"/>
        </w:rPr>
        <w:t>files in any court or agency, pursuant to any statute or regulation of any state or country, a petition in bankruptcy or other Insolvency Event or for reorganization or for an arrangement or for the appointment of a receiver or trustee of Licensee, or if Licensee is served with an involuntary petition against it, filed in any insolvency proceeding, and such petition shall not be dismissed within [***] after the filing thereof. For purposes of this Section 11.1, an “Insolvency Event” shall mean Licensee (a) commenced a voluntary proceeding under any insolvency law, or (b) had an involuntary proceeding commenced against it under any insolvency law which has continued undismissed or</w:t>
      </w:r>
    </w:p>
    <w:p>
      <w:pPr>
        <w:sectPr>
          <w:pgSz w:w="11900" w:h="16838" w:orient="portrait"/>
          <w:cols w:equalWidth="0" w:num="1">
            <w:col w:w="11000"/>
          </w:cols>
          <w:pgMar w:left="440" w:top="274" w:right="459" w:bottom="1440" w:gutter="0" w:footer="0" w:header="0"/>
        </w:sectPr>
      </w:pPr>
    </w:p>
    <w:bookmarkStart w:id="460" w:name="page461"/>
    <w:bookmarkEnd w:id="460"/>
    <w:p>
      <w:pPr>
        <w:ind w:left="54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unstayed for [***], or (c) had a receiver, trustee or similar official appointed for it or for any substantial part of its property, or (d) had an order for relief entered with respect to it by a court of competent jurisdiction under any insolvency law.</w:t>
      </w:r>
    </w:p>
    <w:p>
      <w:pPr>
        <w:spacing w:after="0" w:line="76" w:lineRule="exact"/>
        <w:rPr>
          <w:sz w:val="20"/>
          <w:szCs w:val="20"/>
          <w:color w:val="auto"/>
        </w:rPr>
      </w:pPr>
    </w:p>
    <w:p>
      <w:pPr>
        <w:jc w:val="right"/>
        <w:ind w:right="220"/>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Mutual Termination</w:t>
      </w:r>
      <w:r>
        <w:rPr>
          <w:rFonts w:ascii="Arial" w:cs="Arial" w:eastAsia="Arial" w:hAnsi="Arial"/>
          <w:sz w:val="16"/>
          <w:szCs w:val="16"/>
          <w:color w:val="auto"/>
        </w:rPr>
        <w:t>. Either party may, at its option, terminate this Agreement if the other party: (a) becomes subject to, any proceeding under any Bankruptcy and Insolvency Act or any other statute of any state or country relating to insolvency or the protection of creditor’s rights; or</w:t>
      </w:r>
    </w:p>
    <w:p>
      <w:pPr>
        <w:jc w:val="both"/>
        <w:ind w:left="540" w:right="60" w:hanging="4"/>
        <w:spacing w:after="0" w:line="255" w:lineRule="auto"/>
        <w:tabs>
          <w:tab w:leader="none" w:pos="7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 in material breach or default of any obligation under this Agreement and fails to cure such breach or default, or satisfy that such breach or default has been cured, or otherwise reach agreement with the non-breaching party on a procedure to remedy the breach or default within [***] after receiving notice from the non-breaching party to cure.</w:t>
      </w:r>
    </w:p>
    <w:p>
      <w:pPr>
        <w:spacing w:after="0" w:line="95" w:lineRule="exact"/>
        <w:rPr>
          <w:sz w:val="20"/>
          <w:szCs w:val="20"/>
          <w:color w:val="auto"/>
        </w:rPr>
      </w:pPr>
    </w:p>
    <w:p>
      <w:pPr>
        <w:ind w:left="540" w:right="1040" w:hanging="539"/>
        <w:spacing w:after="0" w:line="277" w:lineRule="auto"/>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 xml:space="preserve">Licensee’s Right to Terminate - </w:t>
      </w:r>
      <w:r>
        <w:rPr>
          <w:rFonts w:ascii="Arial" w:cs="Arial" w:eastAsia="Arial" w:hAnsi="Arial"/>
          <w:sz w:val="18"/>
          <w:szCs w:val="18"/>
          <w:color w:val="auto"/>
        </w:rPr>
        <w:t>Licensee may, at its option, terminate this Agreement on a Licensed Product-by-Licensed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country-by-country basis or in its entirety upon providing Licensor [***] written notice.</w:t>
      </w:r>
    </w:p>
    <w:p>
      <w:pPr>
        <w:spacing w:after="0" w:line="76" w:lineRule="exact"/>
        <w:rPr>
          <w:sz w:val="20"/>
          <w:szCs w:val="20"/>
          <w:color w:val="auto"/>
        </w:rPr>
      </w:pPr>
    </w:p>
    <w:p>
      <w:pPr>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 xml:space="preserve">Obligations on Termination - </w:t>
      </w:r>
      <w:r>
        <w:rPr>
          <w:rFonts w:ascii="Arial" w:cs="Arial" w:eastAsia="Arial" w:hAnsi="Arial"/>
          <w:sz w:val="18"/>
          <w:szCs w:val="18"/>
          <w:color w:val="auto"/>
        </w:rPr>
        <w:t>Termination of this Agreement shall not release Licensor or Licensee from any obligation or liability to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have matured or accrued prior to termination. The following rights and obligations, in addition to others as expressly provided herein, shall survive termination:</w:t>
      </w:r>
    </w:p>
    <w:p>
      <w:pPr>
        <w:spacing w:after="0" w:line="89" w:lineRule="exact"/>
        <w:rPr>
          <w:sz w:val="20"/>
          <w:szCs w:val="20"/>
          <w:color w:val="auto"/>
        </w:rPr>
      </w:pPr>
    </w:p>
    <w:p>
      <w:pPr>
        <w:ind w:left="1960" w:right="240" w:hanging="533"/>
        <w:spacing w:after="0" w:line="277" w:lineRule="auto"/>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Licensee shall make all reports as required herein prior to termination and shall submit a termination report as reasonably requested by Licensor within [***] of such request;</w:t>
      </w:r>
    </w:p>
    <w:p>
      <w:pPr>
        <w:spacing w:after="0" w:line="75" w:lineRule="exact"/>
        <w:rPr>
          <w:rFonts w:ascii="Arial" w:cs="Arial" w:eastAsia="Arial" w:hAnsi="Arial"/>
          <w:sz w:val="18"/>
          <w:szCs w:val="18"/>
          <w:color w:val="auto"/>
        </w:rPr>
      </w:pPr>
    </w:p>
    <w:p>
      <w:pPr>
        <w:ind w:left="1960" w:hanging="533"/>
        <w:spacing w:after="0" w:line="277" w:lineRule="auto"/>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Licensee shall pay all royalties or other payments due Licensor accrued for payment prior to termination, within [***] of the effective date of termination and shall promptly remit royalties or other payments due Licensor;</w:t>
      </w:r>
    </w:p>
    <w:p>
      <w:pPr>
        <w:spacing w:after="0" w:line="75" w:lineRule="exact"/>
        <w:rPr>
          <w:rFonts w:ascii="Arial" w:cs="Arial" w:eastAsia="Arial" w:hAnsi="Arial"/>
          <w:sz w:val="18"/>
          <w:szCs w:val="18"/>
          <w:color w:val="auto"/>
        </w:rPr>
      </w:pPr>
    </w:p>
    <w:p>
      <w:pPr>
        <w:ind w:left="1960" w:right="320" w:hanging="533"/>
        <w:spacing w:after="0" w:line="277" w:lineRule="auto"/>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Licensee shall maintain all records required to be kept herein for the period before termination, and shall allow Licensor examination privileges as set forth in Article 5;</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licenses, releases, or agreements of non-assertion running in favour of end users of Licensed Products;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claims and causes of action one party may have against the other; and</w:t>
      </w:r>
    </w:p>
    <w:p>
      <w:pPr>
        <w:spacing w:after="0" w:line="130" w:lineRule="exact"/>
        <w:rPr>
          <w:rFonts w:ascii="Arial" w:cs="Arial" w:eastAsia="Arial" w:hAnsi="Arial"/>
          <w:sz w:val="18"/>
          <w:szCs w:val="18"/>
          <w:color w:val="auto"/>
        </w:rPr>
      </w:pPr>
    </w:p>
    <w:p>
      <w:pPr>
        <w:ind w:left="1960" w:hanging="533"/>
        <w:spacing w:after="0" w:line="277" w:lineRule="auto"/>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obligations to preserve and maintain the confidentiality of Confidential Information, except as required by court orders or by law or to satisfy government regulations.</w:t>
      </w:r>
    </w:p>
    <w:p>
      <w:pPr>
        <w:spacing w:after="0" w:line="62"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Upon termination of this Agreement: (i) Licensee shall cease making, using, selling, marketing any Licensed Product (subject to the sell-off rights); and (ii) both parties shall destroy any Confidential Information disclosed by the other party and provide a certificate to such other party verifying such destruction. In addition, Licensee shall have the right, upon termination of this Agreement, to sell-off any inventory of Licensed Product for a period of [***], or as mutually agreed upon by the parties in writing.</w:t>
      </w:r>
    </w:p>
    <w:p>
      <w:pPr>
        <w:sectPr>
          <w:pgSz w:w="11900" w:h="16838" w:orient="portrait"/>
          <w:cols w:equalWidth="0" w:num="1">
            <w:col w:w="10940"/>
          </w:cols>
          <w:pgMar w:left="440" w:top="274" w:right="51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12 - General Provisions</w:t>
      </w:r>
    </w:p>
    <w:p>
      <w:pPr>
        <w:spacing w:after="0" w:line="135" w:lineRule="exact"/>
        <w:rPr>
          <w:sz w:val="20"/>
          <w:szCs w:val="20"/>
          <w:color w:val="auto"/>
        </w:rPr>
      </w:pPr>
    </w:p>
    <w:p>
      <w:pPr>
        <w:ind w:left="540" w:right="260" w:hanging="539"/>
        <w:spacing w:after="0" w:line="273"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i w:val="1"/>
          <w:iCs w:val="1"/>
          <w:color w:val="auto"/>
        </w:rPr>
        <w:t xml:space="preserve">Assignment - </w:t>
      </w:r>
      <w:r>
        <w:rPr>
          <w:rFonts w:ascii="Arial" w:cs="Arial" w:eastAsia="Arial" w:hAnsi="Arial"/>
          <w:sz w:val="17"/>
          <w:szCs w:val="17"/>
          <w:color w:val="auto"/>
        </w:rPr>
        <w:t>This Agreement shall be binding upon and enure to the benefit of the parties hereto and their respective successor and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assigns. Except as may be expressly permitted in this Agreement, neither party may assign this Agreement or any of its rights, duties or obligations to any person or entity without first obtaining the written consent of the other party, which consent shall not be unreasonably withheld; provided, however, that either party may assign this agreement without such consent (a) to an affiliate or (b) in connection with the sale of all or substantially all of its business or assets to which this agreement relates, whether by merger, consolidation, reorganization, stock sale, change of control, operation of law or otherwise.</w:t>
      </w:r>
    </w:p>
    <w:p>
      <w:pPr>
        <w:spacing w:after="0" w:line="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i w:val="1"/>
          <w:iCs w:val="1"/>
          <w:color w:val="auto"/>
        </w:rPr>
        <w:t>Intentionally Omitted.</w:t>
      </w:r>
    </w:p>
    <w:p>
      <w:pPr>
        <w:spacing w:after="0" w:line="131" w:lineRule="exact"/>
        <w:rPr>
          <w:sz w:val="20"/>
          <w:szCs w:val="20"/>
          <w:color w:val="auto"/>
        </w:rPr>
      </w:pPr>
    </w:p>
    <w:p>
      <w:pPr>
        <w:jc w:val="both"/>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 This agreement may be executed in any number of counterparts, each of which together shall be deemed an original, but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together shall constitute one and the same instrument. For purposes of executing this agreement, a facsimile (including a PDF delivered via email) copy of this agreement, including the signature pages, will be deemed an original.</w:t>
      </w:r>
    </w:p>
    <w:p>
      <w:pPr>
        <w:spacing w:after="0" w:line="89" w:lineRule="exact"/>
        <w:rPr>
          <w:sz w:val="20"/>
          <w:szCs w:val="20"/>
          <w:color w:val="auto"/>
        </w:rPr>
      </w:pPr>
    </w:p>
    <w:p>
      <w:pPr>
        <w:ind w:left="540" w:right="100" w:hanging="539"/>
        <w:spacing w:after="0" w:line="286" w:lineRule="auto"/>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i w:val="1"/>
          <w:iCs w:val="1"/>
          <w:color w:val="auto"/>
        </w:rPr>
        <w:t xml:space="preserve">Dispute Resolution - </w:t>
      </w:r>
      <w:r>
        <w:rPr>
          <w:rFonts w:ascii="Arial" w:cs="Arial" w:eastAsia="Arial" w:hAnsi="Arial"/>
          <w:sz w:val="17"/>
          <w:szCs w:val="17"/>
          <w:color w:val="auto"/>
        </w:rPr>
        <w:t>Licensor and Licensee shall provide the other party with prompt written notice of any controversy or dispute arising out of</w:t>
      </w:r>
      <w:r>
        <w:rPr>
          <w:rFonts w:ascii="Arial" w:cs="Arial" w:eastAsia="Arial" w:hAnsi="Arial"/>
          <w:sz w:val="17"/>
          <w:szCs w:val="17"/>
          <w:i w:val="1"/>
          <w:iCs w:val="1"/>
          <w:color w:val="auto"/>
        </w:rPr>
        <w:t xml:space="preserve"> </w:t>
      </w:r>
      <w:r>
        <w:rPr>
          <w:rFonts w:ascii="Arial" w:cs="Arial" w:eastAsia="Arial" w:hAnsi="Arial"/>
          <w:sz w:val="17"/>
          <w:szCs w:val="17"/>
          <w:color w:val="auto"/>
        </w:rPr>
        <w:t>or in connection with this Agreement, its interpretation, performance or termination. Both parties do hereby agree to make best efforts to amicably resolve any such dispute within a reasonable time after receiving written notice of the existence of such dispute.</w:t>
      </w:r>
    </w:p>
    <w:p>
      <w:pPr>
        <w:spacing w:after="0" w:line="71" w:lineRule="exact"/>
        <w:rPr>
          <w:sz w:val="20"/>
          <w:szCs w:val="20"/>
          <w:color w:val="auto"/>
        </w:rPr>
      </w:pPr>
    </w:p>
    <w:p>
      <w:pPr>
        <w:ind w:left="540" w:hanging="539"/>
        <w:spacing w:after="0" w:line="293"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i w:val="1"/>
          <w:iCs w:val="1"/>
          <w:color w:val="auto"/>
        </w:rPr>
        <w:t xml:space="preserve">Entire Agreement - </w:t>
      </w:r>
      <w:r>
        <w:rPr>
          <w:rFonts w:ascii="Arial" w:cs="Arial" w:eastAsia="Arial" w:hAnsi="Arial"/>
          <w:sz w:val="16"/>
          <w:szCs w:val="16"/>
          <w:color w:val="auto"/>
        </w:rPr>
        <w:t>This Agreement (including without limitation the Background section and the schedules and exhibits attached 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documents incorporated by reference herein, constitute the entire agreement and understanding between Licensor and Licensee pertaining to the subject matter hereof and supersede all prior or collateral agreements, understandings, negotiations and discussions pertaining to such subject matter, whether oral or written or in electronic form. Except as specifically set out herein, there are no conditions, representations, warranties, undertakings, promises, inducements, or agreements whether direct, indirect, collateral, express or implied made by Licensor to Licensee. No modification, supplement or waiver of this Agreement shall be binding unless executed in writing by authorized officers of each party.</w:t>
      </w:r>
    </w:p>
    <w:p>
      <w:pPr>
        <w:sectPr>
          <w:pgSz w:w="11900" w:h="16838" w:orient="portrait"/>
          <w:cols w:equalWidth="0" w:num="1">
            <w:col w:w="10980"/>
          </w:cols>
          <w:pgMar w:left="440" w:top="270" w:right="479" w:bottom="1440" w:gutter="0" w:footer="0" w:header="0"/>
        </w:sectPr>
      </w:pPr>
    </w:p>
    <w:bookmarkStart w:id="462" w:name="page463"/>
    <w:bookmarkEnd w:id="462"/>
    <w:p>
      <w:pPr>
        <w:ind w:hanging="53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12.6</w:t>
      </w:r>
      <w:r>
        <w:rPr>
          <w:sz w:val="20"/>
          <w:szCs w:val="20"/>
          <w:color w:val="auto"/>
        </w:rPr>
        <w:t xml:space="preserve"> </w:t>
      </w:r>
      <w:r>
        <w:rPr>
          <w:rFonts w:ascii="Arial" w:cs="Arial" w:eastAsia="Arial" w:hAnsi="Arial"/>
          <w:sz w:val="18"/>
          <w:szCs w:val="18"/>
          <w:i w:val="1"/>
          <w:iCs w:val="1"/>
          <w:color w:val="auto"/>
        </w:rPr>
        <w:t xml:space="preserve">Force Majeure - </w:t>
      </w:r>
      <w:r>
        <w:rPr>
          <w:rFonts w:ascii="Arial" w:cs="Arial" w:eastAsia="Arial" w:hAnsi="Arial"/>
          <w:sz w:val="18"/>
          <w:szCs w:val="18"/>
          <w:color w:val="auto"/>
        </w:rPr>
        <w:t>Neither Licensor nor Licensee shall be in default of the terms of this Agreement because the party delays performance or fails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such terms; provided such delay or failure is not the result of the party’s intentional or negligent acts or omissions, but the result of causes beyond the reasonable control of such party (any such cause is a “Force Majeure Event”). Causes reasonably beyond the control of Licensor and Licensee shall include, but not be limited to, revolutions; civil disobedience; fires; acts of God, war, or public enemies; blockades; embargoes; strikes; labour disputes; governmental, administrative or judicial orders, delays in transit or deliveries. In the event of a Force Majeure Event, each party shall be allowed a reasonable period of time to fulfil its obligations hereunder, however, where such Force Majeure Event continues more than 180 days, the party not seeking to rely on the Force Majeure Event to excuse its non-performance, may terminate this Agreement.</w:t>
      </w:r>
    </w:p>
    <w:p>
      <w:pPr>
        <w:spacing w:after="0" w:line="97" w:lineRule="exact"/>
        <w:rPr>
          <w:sz w:val="20"/>
          <w:szCs w:val="20"/>
          <w:color w:val="auto"/>
        </w:rPr>
      </w:pPr>
    </w:p>
    <w:p>
      <w:pPr>
        <w:ind w:right="320" w:hanging="539"/>
        <w:spacing w:after="0" w:line="342" w:lineRule="auto"/>
        <w:rPr>
          <w:sz w:val="20"/>
          <w:szCs w:val="20"/>
          <w:color w:val="auto"/>
        </w:rPr>
      </w:pPr>
      <w:r>
        <w:rPr>
          <w:rFonts w:ascii="Arial" w:cs="Arial" w:eastAsia="Arial" w:hAnsi="Arial"/>
          <w:sz w:val="18"/>
          <w:szCs w:val="18"/>
          <w:color w:val="auto"/>
        </w:rPr>
        <w:t>12.7</w:t>
      </w:r>
      <w:r>
        <w:rPr>
          <w:sz w:val="20"/>
          <w:szCs w:val="20"/>
          <w:color w:val="auto"/>
        </w:rPr>
        <w:t xml:space="preserve"> </w:t>
      </w:r>
      <w:r>
        <w:rPr>
          <w:rFonts w:ascii="Arial" w:cs="Arial" w:eastAsia="Arial" w:hAnsi="Arial"/>
          <w:sz w:val="16"/>
          <w:szCs w:val="16"/>
          <w:i w:val="1"/>
          <w:iCs w:val="1"/>
          <w:color w:val="auto"/>
        </w:rPr>
        <w:t xml:space="preserve">Further Assurances - </w:t>
      </w:r>
      <w:r>
        <w:rPr>
          <w:rFonts w:ascii="Arial" w:cs="Arial" w:eastAsia="Arial" w:hAnsi="Arial"/>
          <w:sz w:val="16"/>
          <w:szCs w:val="16"/>
          <w:color w:val="auto"/>
        </w:rPr>
        <w:t>The parties agree that each of them shall, upon reasonable request of the other, do or cause to be done all further lawful</w:t>
      </w:r>
      <w:r>
        <w:rPr>
          <w:rFonts w:ascii="Arial" w:cs="Arial" w:eastAsia="Arial" w:hAnsi="Arial"/>
          <w:sz w:val="16"/>
          <w:szCs w:val="16"/>
          <w:i w:val="1"/>
          <w:iCs w:val="1"/>
          <w:color w:val="auto"/>
        </w:rPr>
        <w:t xml:space="preserve"> </w:t>
      </w:r>
      <w:r>
        <w:rPr>
          <w:rFonts w:ascii="Arial" w:cs="Arial" w:eastAsia="Arial" w:hAnsi="Arial"/>
          <w:sz w:val="16"/>
          <w:szCs w:val="16"/>
          <w:color w:val="auto"/>
        </w:rPr>
        <w:t>acts, deeds and assurances whatsoever required for the better performance of the terms and conditions of this Agreement.</w:t>
      </w:r>
    </w:p>
    <w:p>
      <w:pPr>
        <w:spacing w:after="0" w:line="29" w:lineRule="exact"/>
        <w:rPr>
          <w:sz w:val="20"/>
          <w:szCs w:val="20"/>
          <w:color w:val="auto"/>
        </w:rPr>
      </w:pPr>
    </w:p>
    <w:p>
      <w:pPr>
        <w:ind w:hanging="539"/>
        <w:spacing w:after="0" w:line="263" w:lineRule="auto"/>
        <w:rPr>
          <w:sz w:val="20"/>
          <w:szCs w:val="20"/>
          <w:color w:val="auto"/>
        </w:rPr>
      </w:pPr>
      <w:r>
        <w:rPr>
          <w:rFonts w:ascii="Arial" w:cs="Arial" w:eastAsia="Arial" w:hAnsi="Arial"/>
          <w:sz w:val="18"/>
          <w:szCs w:val="18"/>
          <w:color w:val="auto"/>
        </w:rPr>
        <w:t>12.8</w:t>
      </w:r>
      <w:r>
        <w:rPr>
          <w:sz w:val="20"/>
          <w:szCs w:val="20"/>
          <w:color w:val="auto"/>
        </w:rPr>
        <w:t xml:space="preserve"> </w:t>
      </w:r>
      <w:r>
        <w:rPr>
          <w:rFonts w:ascii="Arial" w:cs="Arial" w:eastAsia="Arial" w:hAnsi="Arial"/>
          <w:sz w:val="18"/>
          <w:szCs w:val="18"/>
          <w:i w:val="1"/>
          <w:iCs w:val="1"/>
          <w:color w:val="auto"/>
        </w:rPr>
        <w:t xml:space="preserve">Headings - </w:t>
      </w:r>
      <w:r>
        <w:rPr>
          <w:rFonts w:ascii="Arial" w:cs="Arial" w:eastAsia="Arial" w:hAnsi="Arial"/>
          <w:sz w:val="18"/>
          <w:szCs w:val="18"/>
          <w:color w:val="auto"/>
        </w:rPr>
        <w:t>The article, section and subsection titles and headings contained in this Agreement are for convenience and reference only. Such titles</w:t>
      </w:r>
      <w:r>
        <w:rPr>
          <w:rFonts w:ascii="Arial" w:cs="Arial" w:eastAsia="Arial" w:hAnsi="Arial"/>
          <w:sz w:val="18"/>
          <w:szCs w:val="18"/>
          <w:i w:val="1"/>
          <w:iCs w:val="1"/>
          <w:color w:val="auto"/>
        </w:rPr>
        <w:t xml:space="preserve"> </w:t>
      </w:r>
      <w:r>
        <w:rPr>
          <w:rFonts w:ascii="Arial" w:cs="Arial" w:eastAsia="Arial" w:hAnsi="Arial"/>
          <w:sz w:val="18"/>
          <w:szCs w:val="18"/>
          <w:color w:val="auto"/>
        </w:rPr>
        <w:t>and headings do not form a part of this Agreement, shall not define or limit the scope of the articles, sections or subsections, and shall not affect the construction or interpretation of any of the articles, sections or subsections.</w:t>
      </w:r>
    </w:p>
    <w:p>
      <w:pPr>
        <w:spacing w:after="0" w:line="89" w:lineRule="exact"/>
        <w:rPr>
          <w:sz w:val="20"/>
          <w:szCs w:val="20"/>
          <w:color w:val="auto"/>
        </w:rPr>
      </w:pPr>
    </w:p>
    <w:p>
      <w:pPr>
        <w:ind w:right="140" w:hanging="539"/>
        <w:spacing w:after="0" w:line="259" w:lineRule="auto"/>
        <w:rPr>
          <w:sz w:val="20"/>
          <w:szCs w:val="20"/>
          <w:color w:val="auto"/>
        </w:rPr>
      </w:pPr>
      <w:r>
        <w:rPr>
          <w:rFonts w:ascii="Arial" w:cs="Arial" w:eastAsia="Arial" w:hAnsi="Arial"/>
          <w:sz w:val="18"/>
          <w:szCs w:val="18"/>
          <w:color w:val="auto"/>
        </w:rPr>
        <w:t>12.9</w:t>
      </w:r>
      <w:r>
        <w:rPr>
          <w:sz w:val="20"/>
          <w:szCs w:val="20"/>
          <w:color w:val="auto"/>
        </w:rPr>
        <w:t xml:space="preserve"> </w:t>
      </w:r>
      <w:r>
        <w:rPr>
          <w:rFonts w:ascii="Arial" w:cs="Arial" w:eastAsia="Arial" w:hAnsi="Arial"/>
          <w:sz w:val="18"/>
          <w:szCs w:val="18"/>
          <w:i w:val="1"/>
          <w:iCs w:val="1"/>
          <w:color w:val="auto"/>
        </w:rPr>
        <w:t xml:space="preserve">Notices - </w:t>
      </w:r>
      <w:r>
        <w:rPr>
          <w:rFonts w:ascii="Arial" w:cs="Arial" w:eastAsia="Arial" w:hAnsi="Arial"/>
          <w:sz w:val="18"/>
          <w:szCs w:val="18"/>
          <w:color w:val="auto"/>
        </w:rPr>
        <w:t>All notices, reports, payments, requests, consents, demands and other communications between Licensor and Licensee,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related to this Agreement, shall be in writing and shall be deemed duly given and effective: when actually received by mail or personal delivery; or when mailed by prepaid registered or certified mail to the receiving party at the address set forth below, or to such other address as may be later designated by written notice from either party to the other party:</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Licensor’s notification address:</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Queen’s University – Office of Partnerships &amp; Innovation</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Licensee’s notification address:</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Taysha Gene Therapies, Inc.</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With copy to:</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460"/>
          </w:cols>
          <w:pgMar w:left="980" w:top="274" w:right="459" w:bottom="1440" w:gutter="0" w:footer="0" w:header="0"/>
        </w:sectPr>
      </w:pPr>
    </w:p>
    <w:bookmarkStart w:id="463" w:name="page464"/>
    <w:bookmarkEnd w:id="463"/>
    <w:p>
      <w:pPr>
        <w:ind w:left="540" w:hanging="53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12.10 </w:t>
      </w:r>
      <w:r>
        <w:rPr>
          <w:rFonts w:ascii="Arial" w:cs="Arial" w:eastAsia="Arial" w:hAnsi="Arial"/>
          <w:sz w:val="16"/>
          <w:szCs w:val="16"/>
          <w:i w:val="1"/>
          <w:iCs w:val="1"/>
          <w:color w:val="auto"/>
        </w:rPr>
        <w:t>Publicity -</w:t>
      </w:r>
      <w:r>
        <w:rPr>
          <w:rFonts w:ascii="Arial" w:cs="Arial" w:eastAsia="Arial" w:hAnsi="Arial"/>
          <w:sz w:val="16"/>
          <w:szCs w:val="16"/>
          <w:color w:val="auto"/>
        </w:rPr>
        <w:t xml:space="preserve"> Neither party will use the name of the other party, or of Licensor, in any publicity without the prior written approval of the party being so named. Such approval from either party shall not be unreasonably withheld or delayed. Notwithstanding the foregoing, Licensee may use the name of Licensor in a non-misleading and factual manner solely in (a) executive summaries, business plans, offering memoranda and other similar documents used by Licensee for the purpose of raising financing for the operations of Licensee as related to Licensed Products, or entering into commercial contracts with third parties, but in such case only to the extent necessary to inform a reader that the Licensed Patents and Licensed Technology have been licensed by Licensee from Licensor, and to inform a reader of the identity and published credentials of inventors of intellectual property, and (b) any securities reports required to be filed with the Securities and Exchange Commission. Licensor may use the name of Licensee in a non-misleading and factual manner to provide aggregate technology transfer revenues in University public reports.</w:t>
      </w:r>
    </w:p>
    <w:p>
      <w:pPr>
        <w:spacing w:after="0" w:line="71" w:lineRule="exact"/>
        <w:rPr>
          <w:sz w:val="20"/>
          <w:szCs w:val="20"/>
          <w:color w:val="auto"/>
        </w:rPr>
      </w:pPr>
    </w:p>
    <w:p>
      <w:pPr>
        <w:jc w:val="both"/>
        <w:ind w:left="540" w:right="220" w:hanging="539"/>
        <w:spacing w:after="0" w:line="275" w:lineRule="auto"/>
        <w:tabs>
          <w:tab w:leader="none" w:pos="5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i w:val="1"/>
          <w:iCs w:val="1"/>
          <w:color w:val="auto"/>
        </w:rPr>
        <w:t xml:space="preserve">Severability - </w:t>
      </w:r>
      <w:r>
        <w:rPr>
          <w:rFonts w:ascii="Arial" w:cs="Arial" w:eastAsia="Arial" w:hAnsi="Arial"/>
          <w:sz w:val="17"/>
          <w:szCs w:val="17"/>
          <w:color w:val="auto"/>
        </w:rPr>
        <w:t>In the event that any provision or term of this Agreement shall be held by a court to be illegal or unenforceable, all of the other</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provisions hereof shall remain in full force and effect, except that if the provision or term held to be illegal or unenforceable is also held to be a material part of this Agreement such that the party in whose favour the material term or provision was stipulated herein would not have entered into this Agreement without such term or provision, then the party in whose favour the material term or provision was stipulated shall have the option upon such a holding, to terminate this Agreement.</w:t>
      </w:r>
    </w:p>
    <w:p>
      <w:pPr>
        <w:spacing w:after="0" w:line="82" w:lineRule="exact"/>
        <w:rPr>
          <w:sz w:val="20"/>
          <w:szCs w:val="20"/>
          <w:color w:val="auto"/>
        </w:rPr>
      </w:pPr>
    </w:p>
    <w:p>
      <w:pPr>
        <w:ind w:left="540" w:right="120" w:hanging="539"/>
        <w:spacing w:after="0" w:line="255" w:lineRule="auto"/>
        <w:tabs>
          <w:tab w:leader="none" w:pos="520" w:val="left"/>
        </w:tabs>
        <w:rPr>
          <w:sz w:val="20"/>
          <w:szCs w:val="20"/>
          <w:color w:val="auto"/>
        </w:rPr>
      </w:pPr>
      <w:r>
        <w:rPr>
          <w:rFonts w:ascii="Arial" w:cs="Arial" w:eastAsia="Arial" w:hAnsi="Arial"/>
          <w:sz w:val="18"/>
          <w:szCs w:val="18"/>
          <w:i w:val="1"/>
          <w:iCs w:val="1"/>
          <w:color w:val="auto"/>
        </w:rPr>
        <w:t>12.12</w:t>
        <w:tab/>
        <w:t xml:space="preserve">Waiver of Rights - </w:t>
      </w:r>
      <w:r>
        <w:rPr>
          <w:rFonts w:ascii="Arial" w:cs="Arial" w:eastAsia="Arial" w:hAnsi="Arial"/>
          <w:sz w:val="18"/>
          <w:szCs w:val="18"/>
          <w:color w:val="auto"/>
        </w:rPr>
        <w:t>In order to be effective, any waiver, by either party, of any right under this Agreement, must be in writing signed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representative of the party making the waiver. No such waiver or failure of Licensor or Licensee to enforce a right or strict performance under this Agreement shall be deemed to be a waiver or forbearance which would in any way prevent Licensor or Licensee from subsequently asserting or exercising any such rights, making a claim not specifically waived, or requiring strict performance of this Agreement. No such waiver or failure to enforce shall affect the validity of this Agreement or be a continuing waiver excusing compliance with any provision of this Agreement in the future.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Follow -</w:t>
      </w:r>
    </w:p>
    <w:p>
      <w:pPr>
        <w:sectPr>
          <w:pgSz w:w="11900" w:h="16838" w:orient="portrait"/>
          <w:cols w:equalWidth="0" w:num="1">
            <w:col w:w="11000"/>
          </w:cols>
          <w:pgMar w:left="440" w:top="274" w:right="459" w:bottom="1440" w:gutter="0" w:footer="0" w:header="0"/>
        </w:sectPr>
      </w:pPr>
    </w:p>
    <w:bookmarkStart w:id="464" w:name="page465"/>
    <w:bookmarkEnd w:id="4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Licensor and Licensee have caused this Agreement to be executed by their duly authorized representative</w:t>
      </w:r>
      <w:r>
        <w:rPr>
          <w:rFonts w:ascii="Arial" w:cs="Arial" w:eastAsia="Arial" w:hAnsi="Arial"/>
          <w:sz w:val="16"/>
          <w:szCs w:val="16"/>
          <w:b w:val="1"/>
          <w:bCs w:val="1"/>
          <w:color w:val="auto"/>
        </w:rPr>
        <w:t>:</w:t>
      </w:r>
    </w:p>
    <w:p>
      <w:pPr>
        <w:sectPr>
          <w:pgSz w:w="11900" w:h="16838" w:orient="portrait"/>
          <w:cols w:equalWidth="0" w:num="1">
            <w:col w:w="10019"/>
          </w:cols>
          <w:pgMar w:left="440" w:top="270" w:right="1440" w:bottom="1440" w:gutter="0" w:footer="0" w:header="0"/>
        </w:sectPr>
      </w:pPr>
    </w:p>
    <w:p>
      <w:pPr>
        <w:spacing w:after="0" w:line="26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Queen’s:</w:t>
            </w:r>
          </w:p>
        </w:tc>
        <w:tc>
          <w:tcPr>
            <w:tcW w:w="4620" w:type="dxa"/>
            <w:vAlign w:val="bottom"/>
          </w:tcPr>
          <w:p>
            <w:pPr>
              <w:spacing w:after="0"/>
              <w:rPr>
                <w:sz w:val="20"/>
                <w:szCs w:val="20"/>
                <w:color w:val="auto"/>
              </w:rPr>
            </w:pPr>
            <w:r>
              <w:rPr>
                <w:rFonts w:ascii="Arial" w:cs="Arial" w:eastAsia="Arial" w:hAnsi="Arial"/>
                <w:sz w:val="18"/>
                <w:szCs w:val="18"/>
                <w:color w:val="auto"/>
              </w:rPr>
              <w:t>/s/ James Banting</w:t>
            </w:r>
          </w:p>
        </w:tc>
        <w:tc>
          <w:tcPr>
            <w:tcW w:w="26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Feb. 21, 2020</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Name: James Banting</w:t>
            </w:r>
          </w:p>
        </w:tc>
        <w:tc>
          <w:tcPr>
            <w:tcW w:w="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Title: Assistant Vice-Principal</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(Partnerships and Innovation)</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0"/>
                <w:szCs w:val="20"/>
                <w:color w:val="auto"/>
              </w:rPr>
            </w:pPr>
            <w:r>
              <w:rPr>
                <w:rFonts w:ascii="Arial" w:cs="Arial" w:eastAsia="Arial" w:hAnsi="Arial"/>
                <w:sz w:val="18"/>
                <w:szCs w:val="18"/>
                <w:color w:val="auto"/>
              </w:rPr>
              <w:t>Licensor:</w:t>
            </w:r>
          </w:p>
        </w:tc>
        <w:tc>
          <w:tcPr>
            <w:tcW w:w="4620" w:type="dxa"/>
            <w:vAlign w:val="bottom"/>
          </w:tcPr>
          <w:p>
            <w:pPr>
              <w:spacing w:after="0"/>
              <w:rPr>
                <w:sz w:val="20"/>
                <w:szCs w:val="20"/>
                <w:color w:val="auto"/>
              </w:rPr>
            </w:pPr>
            <w:r>
              <w:rPr>
                <w:rFonts w:ascii="Arial" w:cs="Arial" w:eastAsia="Arial" w:hAnsi="Arial"/>
                <w:sz w:val="18"/>
                <w:szCs w:val="18"/>
                <w:color w:val="auto"/>
              </w:rPr>
              <w:t>/s/ RA Session II</w:t>
            </w:r>
          </w:p>
        </w:tc>
        <w:tc>
          <w:tcPr>
            <w:tcW w:w="1520" w:type="dxa"/>
            <w:vAlign w:val="bottom"/>
            <w:gridSpan w:val="2"/>
          </w:tcPr>
          <w:p>
            <w:pPr>
              <w:ind w:left="260"/>
              <w:spacing w:after="0"/>
              <w:rPr>
                <w:sz w:val="20"/>
                <w:szCs w:val="20"/>
                <w:color w:val="auto"/>
              </w:rPr>
            </w:pPr>
            <w:r>
              <w:rPr>
                <w:rFonts w:ascii="Arial" w:cs="Arial" w:eastAsia="Arial" w:hAnsi="Arial"/>
                <w:sz w:val="18"/>
                <w:szCs w:val="18"/>
                <w:color w:val="auto"/>
              </w:rPr>
              <w:t>2/25/2020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Date</w:t>
            </w: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Name: RA Session II</w:t>
            </w: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Title: Founder</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type w:val="continuous"/>
        </w:sectPr>
      </w:pPr>
    </w:p>
    <w:bookmarkStart w:id="465" w:name="page466"/>
    <w:bookmarkEnd w:id="465"/>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9" w:lineRule="exact"/>
        <w:rPr>
          <w:sz w:val="20"/>
          <w:szCs w:val="20"/>
          <w:color w:val="auto"/>
        </w:rPr>
      </w:pPr>
    </w:p>
    <w:p>
      <w:pPr>
        <w:jc w:val="right"/>
        <w:ind w:right="3359"/>
        <w:spacing w:after="0"/>
        <w:rPr>
          <w:sz w:val="20"/>
          <w:szCs w:val="20"/>
          <w:color w:val="auto"/>
        </w:rPr>
      </w:pPr>
      <w:r>
        <w:rPr>
          <w:rFonts w:ascii="Arial" w:cs="Arial" w:eastAsia="Arial" w:hAnsi="Arial"/>
          <w:sz w:val="18"/>
          <w:szCs w:val="18"/>
          <w:color w:val="auto"/>
        </w:rPr>
        <w:t>List of Patents and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66" w:name="page467"/>
    <w:bookmarkEnd w:id="466"/>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List of Know-How</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trade secrets, Confidential Information, and other useful, technical information, including without limitation knowledge, know-how, procedures, devices, methods, formulas, software, designs, techniques, processes, and inventions not known to the public, related to the Licensed Patents. Know-How will include all public and non-public data and be available to Licensee sufficient detail to support regulatory filings. Know-How shall include, but is not limited to the following: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600"/>
          </w:cols>
          <w:pgMar w:left="440" w:top="270" w:right="859" w:bottom="1440" w:gutter="0" w:footer="0" w:header="0"/>
        </w:sectPr>
      </w:pPr>
    </w:p>
    <w:bookmarkStart w:id="467" w:name="page468"/>
    <w:bookmarkEnd w:id="467"/>
    <w:p>
      <w:pPr>
        <w:ind w:left="10080"/>
        <w:spacing w:after="0"/>
        <w:rPr>
          <w:sz w:val="20"/>
          <w:szCs w:val="20"/>
          <w:color w:val="auto"/>
        </w:rPr>
      </w:pPr>
      <w:r>
        <w:rPr>
          <w:rFonts w:ascii="Arial" w:cs="Arial" w:eastAsia="Arial" w:hAnsi="Arial"/>
          <w:sz w:val="16"/>
          <w:szCs w:val="16"/>
          <w:b w:val="1"/>
          <w:bCs w:val="1"/>
          <w:color w:val="auto"/>
        </w:rPr>
        <w:t>Exhibit 10.4</w:t>
      </w:r>
    </w:p>
    <w:p>
      <w:pPr>
        <w:spacing w:after="0" w:line="25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Taysha Gene Therapies, Inc. has determined such information (i) is not material and (ii) would be competitively harmful if publicly disclosed.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ATED AS OF</w:t>
      </w:r>
      <w:r>
        <w:rPr>
          <w:rFonts w:ascii="Arial" w:cs="Arial" w:eastAsia="Arial" w:hAnsi="Arial"/>
          <w:sz w:val="18"/>
          <w:szCs w:val="18"/>
          <w:color w:val="auto"/>
        </w:rPr>
        <w:t xml:space="preserve"> A</w:t>
      </w:r>
      <w:r>
        <w:rPr>
          <w:rFonts w:ascii="Arial" w:cs="Arial" w:eastAsia="Arial" w:hAnsi="Arial"/>
          <w:sz w:val="14"/>
          <w:szCs w:val="14"/>
          <w:color w:val="auto"/>
        </w:rPr>
        <w:t>UGUST</w:t>
      </w:r>
      <w:r>
        <w:rPr>
          <w:rFonts w:ascii="Arial" w:cs="Arial" w:eastAsia="Arial" w:hAnsi="Arial"/>
          <w:sz w:val="18"/>
          <w:szCs w:val="18"/>
          <w:color w:val="auto"/>
        </w:rPr>
        <w:t xml:space="preserve"> 14, 2020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Y AND</w:t>
      </w:r>
      <w:r>
        <w:rPr>
          <w:rFonts w:ascii="Arial" w:cs="Arial" w:eastAsia="Arial" w:hAnsi="Arial"/>
          <w:sz w:val="18"/>
          <w:szCs w:val="18"/>
          <w:color w:val="auto"/>
        </w:rPr>
        <w:t xml:space="preserve"> B</w:t>
      </w:r>
      <w:r>
        <w:rPr>
          <w:rFonts w:ascii="Arial" w:cs="Arial" w:eastAsia="Arial" w:hAnsi="Arial"/>
          <w:sz w:val="14"/>
          <w:szCs w:val="14"/>
          <w:color w:val="auto"/>
        </w:rPr>
        <w:t>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BEONA</w:t>
      </w:r>
      <w:r>
        <w:rPr>
          <w:rFonts w:ascii="Arial" w:cs="Arial" w:eastAsia="Arial" w:hAnsi="Arial"/>
          <w:sz w:val="18"/>
          <w:szCs w:val="18"/>
          <w:color w:val="auto"/>
        </w:rPr>
        <w:t xml:space="preserve"> T</w:t>
      </w:r>
      <w:r>
        <w:rPr>
          <w:rFonts w:ascii="Arial" w:cs="Arial" w:eastAsia="Arial" w:hAnsi="Arial"/>
          <w:sz w:val="14"/>
          <w:szCs w:val="14"/>
          <w:color w:val="auto"/>
        </w:rPr>
        <w:t>HERAPEUTICS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AYSHA</w:t>
      </w:r>
      <w:r>
        <w:rPr>
          <w:rFonts w:ascii="Arial" w:cs="Arial" w:eastAsia="Arial" w:hAnsi="Arial"/>
          <w:sz w:val="18"/>
          <w:szCs w:val="18"/>
          <w:color w:val="auto"/>
        </w:rPr>
        <w:t xml:space="preserve"> G</w:t>
      </w:r>
      <w:r>
        <w:rPr>
          <w:rFonts w:ascii="Arial" w:cs="Arial" w:eastAsia="Arial" w:hAnsi="Arial"/>
          <w:sz w:val="14"/>
          <w:szCs w:val="14"/>
          <w:color w:val="auto"/>
        </w:rPr>
        <w:t>ENE</w:t>
      </w:r>
      <w:r>
        <w:rPr>
          <w:rFonts w:ascii="Arial" w:cs="Arial" w:eastAsia="Arial" w:hAnsi="Arial"/>
          <w:sz w:val="18"/>
          <w:szCs w:val="18"/>
          <w:color w:val="auto"/>
        </w:rPr>
        <w:t xml:space="preserve"> T</w:t>
      </w:r>
      <w:r>
        <w:rPr>
          <w:rFonts w:ascii="Arial" w:cs="Arial" w:eastAsia="Arial" w:hAnsi="Arial"/>
          <w:sz w:val="14"/>
          <w:szCs w:val="14"/>
          <w:color w:val="auto"/>
        </w:rPr>
        <w:t>HERAPIES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04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0"/>
                <w:szCs w:val="20"/>
                <w:color w:val="auto"/>
              </w:rPr>
            </w:pPr>
          </w:p>
        </w:tc>
      </w:tr>
      <w:tr>
        <w:trPr>
          <w:trHeight w:val="406"/>
        </w:trPr>
        <w:tc>
          <w:tcPr>
            <w:tcW w:w="10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ARTICLE 1</w:t>
            </w:r>
          </w:p>
        </w:tc>
        <w:tc>
          <w:tcPr>
            <w:tcW w:w="80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ARTICLE 2    LICENSES AND OTHER RIGHTS</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8040" w:type="dxa"/>
            <w:vAlign w:val="bottom"/>
          </w:tcPr>
          <w:p>
            <w:pPr>
              <w:ind w:left="140"/>
              <w:spacing w:after="0"/>
              <w:rPr>
                <w:sz w:val="20"/>
                <w:szCs w:val="20"/>
                <w:color w:val="auto"/>
              </w:rPr>
            </w:pPr>
            <w:r>
              <w:rPr>
                <w:rFonts w:ascii="Arial" w:cs="Arial" w:eastAsia="Arial" w:hAnsi="Arial"/>
                <w:sz w:val="18"/>
                <w:szCs w:val="18"/>
                <w:color w:val="auto"/>
              </w:rPr>
              <w:t>Grant of License to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8040" w:type="dxa"/>
            <w:vAlign w:val="bottom"/>
          </w:tcPr>
          <w:p>
            <w:pPr>
              <w:ind w:left="140"/>
              <w:spacing w:after="0"/>
              <w:rPr>
                <w:sz w:val="20"/>
                <w:szCs w:val="20"/>
                <w:color w:val="auto"/>
              </w:rPr>
            </w:pPr>
            <w:r>
              <w:rPr>
                <w:rFonts w:ascii="Arial" w:cs="Arial" w:eastAsia="Arial" w:hAnsi="Arial"/>
                <w:sz w:val="18"/>
                <w:szCs w:val="18"/>
                <w:color w:val="auto"/>
              </w:rPr>
              <w:t>Grant of Sublicense by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8040" w:type="dxa"/>
            <w:vAlign w:val="bottom"/>
          </w:tcPr>
          <w:p>
            <w:pPr>
              <w:ind w:left="140"/>
              <w:spacing w:after="0"/>
              <w:rPr>
                <w:sz w:val="20"/>
                <w:szCs w:val="20"/>
                <w:color w:val="auto"/>
              </w:rPr>
            </w:pPr>
            <w:r>
              <w:rPr>
                <w:rFonts w:ascii="Arial" w:cs="Arial" w:eastAsia="Arial" w:hAnsi="Arial"/>
                <w:sz w:val="18"/>
                <w:szCs w:val="18"/>
                <w:color w:val="auto"/>
              </w:rPr>
              <w:t>Technology Transfer</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8040" w:type="dxa"/>
            <w:vAlign w:val="bottom"/>
          </w:tcPr>
          <w:p>
            <w:pPr>
              <w:ind w:left="140"/>
              <w:spacing w:after="0"/>
              <w:rPr>
                <w:sz w:val="20"/>
                <w:szCs w:val="20"/>
                <w:color w:val="auto"/>
              </w:rPr>
            </w:pPr>
            <w:r>
              <w:rPr>
                <w:rFonts w:ascii="Arial" w:cs="Arial" w:eastAsia="Arial" w:hAnsi="Arial"/>
                <w:sz w:val="18"/>
                <w:szCs w:val="18"/>
                <w:color w:val="auto"/>
              </w:rPr>
              <w:t>Manufacturing Technology Transfer</w:t>
            </w:r>
          </w:p>
        </w:tc>
        <w:tc>
          <w:tcPr>
            <w:tcW w:w="1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8040" w:type="dxa"/>
            <w:vAlign w:val="bottom"/>
          </w:tcPr>
          <w:p>
            <w:pPr>
              <w:ind w:left="140"/>
              <w:spacing w:after="0"/>
              <w:rPr>
                <w:sz w:val="20"/>
                <w:szCs w:val="20"/>
                <w:color w:val="auto"/>
              </w:rPr>
            </w:pPr>
            <w:r>
              <w:rPr>
                <w:rFonts w:ascii="Arial" w:cs="Arial" w:eastAsia="Arial" w:hAnsi="Arial"/>
                <w:sz w:val="18"/>
                <w:szCs w:val="18"/>
                <w:color w:val="auto"/>
              </w:rPr>
              <w:t>Regulatory Technology Transfer</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8040" w:type="dxa"/>
            <w:vAlign w:val="bottom"/>
          </w:tcPr>
          <w:p>
            <w:pPr>
              <w:ind w:left="140"/>
              <w:spacing w:after="0"/>
              <w:rPr>
                <w:sz w:val="20"/>
                <w:szCs w:val="20"/>
                <w:color w:val="auto"/>
              </w:rPr>
            </w:pPr>
            <w:r>
              <w:rPr>
                <w:rFonts w:ascii="Arial" w:cs="Arial" w:eastAsia="Arial" w:hAnsi="Arial"/>
                <w:sz w:val="18"/>
                <w:szCs w:val="18"/>
                <w:color w:val="auto"/>
              </w:rPr>
              <w:t>Procedures for Technology Transfer</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8040" w:type="dxa"/>
            <w:vAlign w:val="bottom"/>
          </w:tcPr>
          <w:p>
            <w:pPr>
              <w:ind w:left="140"/>
              <w:spacing w:after="0"/>
              <w:rPr>
                <w:sz w:val="20"/>
                <w:szCs w:val="20"/>
                <w:color w:val="auto"/>
              </w:rPr>
            </w:pPr>
            <w:r>
              <w:rPr>
                <w:rFonts w:ascii="Arial" w:cs="Arial" w:eastAsia="Arial" w:hAnsi="Arial"/>
                <w:sz w:val="18"/>
                <w:szCs w:val="18"/>
                <w:color w:val="auto"/>
              </w:rPr>
              <w:t>UNC Agreement</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8040" w:type="dxa"/>
            <w:vAlign w:val="bottom"/>
          </w:tcPr>
          <w:p>
            <w:pPr>
              <w:ind w:left="140"/>
              <w:spacing w:after="0"/>
              <w:rPr>
                <w:sz w:val="20"/>
                <w:szCs w:val="20"/>
                <w:color w:val="auto"/>
              </w:rPr>
            </w:pPr>
            <w:r>
              <w:rPr>
                <w:rFonts w:ascii="Arial" w:cs="Arial" w:eastAsia="Arial" w:hAnsi="Arial"/>
                <w:sz w:val="18"/>
                <w:szCs w:val="18"/>
                <w:color w:val="auto"/>
              </w:rPr>
              <w:t>No Implied Licenses</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2.9</w:t>
            </w:r>
          </w:p>
        </w:tc>
        <w:tc>
          <w:tcPr>
            <w:tcW w:w="8040" w:type="dxa"/>
            <w:vAlign w:val="bottom"/>
          </w:tcPr>
          <w:p>
            <w:pPr>
              <w:ind w:left="140"/>
              <w:spacing w:after="0"/>
              <w:rPr>
                <w:sz w:val="20"/>
                <w:szCs w:val="20"/>
                <w:color w:val="auto"/>
              </w:rPr>
            </w:pPr>
            <w:r>
              <w:rPr>
                <w:rFonts w:ascii="Arial" w:cs="Arial" w:eastAsia="Arial" w:hAnsi="Arial"/>
                <w:sz w:val="18"/>
                <w:szCs w:val="18"/>
                <w:color w:val="auto"/>
              </w:rPr>
              <w:t>Negative Covenant</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ARTICLE 3    DEVELOPMENT, MANUFACTURE AND COMMERCIALIZATION OF PRODUCT</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8040" w:type="dxa"/>
            <w:vAlign w:val="bottom"/>
          </w:tcPr>
          <w:p>
            <w:pPr>
              <w:ind w:left="140"/>
              <w:spacing w:after="0"/>
              <w:rPr>
                <w:sz w:val="20"/>
                <w:szCs w:val="20"/>
                <w:color w:val="auto"/>
              </w:rPr>
            </w:pPr>
            <w:r>
              <w:rPr>
                <w:rFonts w:ascii="Arial" w:cs="Arial" w:eastAsia="Arial" w:hAnsi="Arial"/>
                <w:sz w:val="18"/>
                <w:szCs w:val="18"/>
                <w:color w:val="auto"/>
              </w:rPr>
              <w:t>Development of the Licensed Product by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8040" w:type="dxa"/>
            <w:vAlign w:val="bottom"/>
          </w:tcPr>
          <w:p>
            <w:pPr>
              <w:ind w:left="140"/>
              <w:spacing w:after="0"/>
              <w:rPr>
                <w:sz w:val="20"/>
                <w:szCs w:val="20"/>
                <w:color w:val="auto"/>
              </w:rPr>
            </w:pPr>
            <w:r>
              <w:rPr>
                <w:rFonts w:ascii="Arial" w:cs="Arial" w:eastAsia="Arial" w:hAnsi="Arial"/>
                <w:sz w:val="18"/>
                <w:szCs w:val="18"/>
                <w:color w:val="auto"/>
              </w:rPr>
              <w:t>Licensor Support in Development</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8040" w:type="dxa"/>
            <w:vAlign w:val="bottom"/>
          </w:tcPr>
          <w:p>
            <w:pPr>
              <w:ind w:left="140"/>
              <w:spacing w:after="0"/>
              <w:rPr>
                <w:sz w:val="20"/>
                <w:szCs w:val="20"/>
                <w:color w:val="auto"/>
              </w:rPr>
            </w:pPr>
            <w:r>
              <w:rPr>
                <w:rFonts w:ascii="Arial" w:cs="Arial" w:eastAsia="Arial" w:hAnsi="Arial"/>
                <w:sz w:val="18"/>
                <w:szCs w:val="18"/>
                <w:color w:val="auto"/>
              </w:rPr>
              <w:t>Commercialization</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8040" w:type="dxa"/>
            <w:vAlign w:val="bottom"/>
          </w:tcPr>
          <w:p>
            <w:pPr>
              <w:ind w:left="140"/>
              <w:spacing w:after="0"/>
              <w:rPr>
                <w:sz w:val="20"/>
                <w:szCs w:val="20"/>
                <w:color w:val="auto"/>
              </w:rPr>
            </w:pPr>
            <w:r>
              <w:rPr>
                <w:rFonts w:ascii="Arial" w:cs="Arial" w:eastAsia="Arial" w:hAnsi="Arial"/>
                <w:sz w:val="18"/>
                <w:szCs w:val="18"/>
                <w:color w:val="auto"/>
              </w:rPr>
              <w:t>Clinical and Commercial Manufacturing</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8040" w:type="dxa"/>
            <w:vAlign w:val="bottom"/>
          </w:tcPr>
          <w:p>
            <w:pPr>
              <w:ind w:left="140"/>
              <w:spacing w:after="0"/>
              <w:rPr>
                <w:sz w:val="20"/>
                <w:szCs w:val="20"/>
                <w:color w:val="auto"/>
              </w:rPr>
            </w:pPr>
            <w:r>
              <w:rPr>
                <w:rFonts w:ascii="Arial" w:cs="Arial" w:eastAsia="Arial" w:hAnsi="Arial"/>
                <w:sz w:val="18"/>
                <w:szCs w:val="18"/>
                <w:color w:val="auto"/>
              </w:rPr>
              <w:t>Diligence by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804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8040" w:type="dxa"/>
            <w:vAlign w:val="bottom"/>
          </w:tcPr>
          <w:p>
            <w:pPr>
              <w:ind w:left="140"/>
              <w:spacing w:after="0"/>
              <w:rPr>
                <w:sz w:val="20"/>
                <w:szCs w:val="20"/>
                <w:color w:val="auto"/>
              </w:rPr>
            </w:pPr>
            <w:r>
              <w:rPr>
                <w:rFonts w:ascii="Arial" w:cs="Arial" w:eastAsia="Arial" w:hAnsi="Arial"/>
                <w:sz w:val="18"/>
                <w:szCs w:val="18"/>
                <w:color w:val="auto"/>
              </w:rPr>
              <w:t>Reporting</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4</w:t>
            </w:r>
          </w:p>
        </w:tc>
        <w:tc>
          <w:tcPr>
            <w:tcW w:w="8040" w:type="dxa"/>
            <w:vAlign w:val="bottom"/>
          </w:tcPr>
          <w:p>
            <w:pPr>
              <w:ind w:left="140"/>
              <w:spacing w:after="0"/>
              <w:rPr>
                <w:sz w:val="20"/>
                <w:szCs w:val="20"/>
                <w:color w:val="auto"/>
              </w:rPr>
            </w:pPr>
            <w:r>
              <w:rPr>
                <w:rFonts w:ascii="Arial" w:cs="Arial" w:eastAsia="Arial" w:hAnsi="Arial"/>
                <w:sz w:val="18"/>
                <w:szCs w:val="18"/>
                <w:color w:val="auto"/>
              </w:rPr>
              <w:t>REGULATORY MATTERS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8040" w:type="dxa"/>
            <w:vAlign w:val="bottom"/>
          </w:tcPr>
          <w:p>
            <w:pPr>
              <w:ind w:left="140"/>
              <w:spacing w:after="0"/>
              <w:rPr>
                <w:sz w:val="20"/>
                <w:szCs w:val="20"/>
                <w:color w:val="auto"/>
              </w:rPr>
            </w:pPr>
            <w:r>
              <w:rPr>
                <w:rFonts w:ascii="Arial" w:cs="Arial" w:eastAsia="Arial" w:hAnsi="Arial"/>
                <w:sz w:val="18"/>
                <w:szCs w:val="18"/>
                <w:color w:val="auto"/>
              </w:rPr>
              <w:t>Regulatory Filings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4.2</w:t>
            </w:r>
          </w:p>
        </w:tc>
        <w:tc>
          <w:tcPr>
            <w:tcW w:w="8040" w:type="dxa"/>
            <w:vAlign w:val="bottom"/>
          </w:tcPr>
          <w:p>
            <w:pPr>
              <w:ind w:left="140"/>
              <w:spacing w:after="0"/>
              <w:rPr>
                <w:sz w:val="20"/>
                <w:szCs w:val="20"/>
                <w:color w:val="auto"/>
              </w:rPr>
            </w:pPr>
            <w:r>
              <w:rPr>
                <w:rFonts w:ascii="Arial" w:cs="Arial" w:eastAsia="Arial" w:hAnsi="Arial"/>
                <w:sz w:val="18"/>
                <w:szCs w:val="18"/>
                <w:color w:val="auto"/>
              </w:rPr>
              <w:t>Communications with Authorities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4.3</w:t>
            </w:r>
          </w:p>
        </w:tc>
        <w:tc>
          <w:tcPr>
            <w:tcW w:w="8040" w:type="dxa"/>
            <w:vAlign w:val="bottom"/>
          </w:tcPr>
          <w:p>
            <w:pPr>
              <w:ind w:left="140"/>
              <w:spacing w:after="0"/>
              <w:rPr>
                <w:sz w:val="20"/>
                <w:szCs w:val="20"/>
                <w:color w:val="auto"/>
              </w:rPr>
            </w:pPr>
            <w:r>
              <w:rPr>
                <w:rFonts w:ascii="Arial" w:cs="Arial" w:eastAsia="Arial" w:hAnsi="Arial"/>
                <w:sz w:val="18"/>
                <w:szCs w:val="18"/>
                <w:color w:val="auto"/>
              </w:rPr>
              <w:t>Recalls</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5</w:t>
            </w:r>
          </w:p>
        </w:tc>
        <w:tc>
          <w:tcPr>
            <w:tcW w:w="8040" w:type="dxa"/>
            <w:vAlign w:val="bottom"/>
          </w:tcPr>
          <w:p>
            <w:pPr>
              <w:ind w:left="140"/>
              <w:spacing w:after="0"/>
              <w:rPr>
                <w:sz w:val="20"/>
                <w:szCs w:val="20"/>
                <w:color w:val="auto"/>
              </w:rPr>
            </w:pPr>
            <w:r>
              <w:rPr>
                <w:rFonts w:ascii="Arial" w:cs="Arial" w:eastAsia="Arial" w:hAnsi="Arial"/>
                <w:sz w:val="18"/>
                <w:szCs w:val="18"/>
                <w:color w:val="auto"/>
              </w:rPr>
              <w:t>FINANCIAL PROVISIONS</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8040" w:type="dxa"/>
            <w:vAlign w:val="bottom"/>
          </w:tcPr>
          <w:p>
            <w:pPr>
              <w:ind w:left="140"/>
              <w:spacing w:after="0"/>
              <w:rPr>
                <w:sz w:val="20"/>
                <w:szCs w:val="20"/>
                <w:color w:val="auto"/>
              </w:rPr>
            </w:pPr>
            <w:r>
              <w:rPr>
                <w:rFonts w:ascii="Arial" w:cs="Arial" w:eastAsia="Arial" w:hAnsi="Arial"/>
                <w:sz w:val="18"/>
                <w:szCs w:val="18"/>
                <w:color w:val="auto"/>
              </w:rPr>
              <w:t>Initial Fee</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8040" w:type="dxa"/>
            <w:vAlign w:val="bottom"/>
          </w:tcPr>
          <w:p>
            <w:pPr>
              <w:ind w:left="140"/>
              <w:spacing w:after="0"/>
              <w:rPr>
                <w:sz w:val="20"/>
                <w:szCs w:val="20"/>
                <w:color w:val="auto"/>
              </w:rPr>
            </w:pPr>
            <w:r>
              <w:rPr>
                <w:rFonts w:ascii="Arial" w:cs="Arial" w:eastAsia="Arial" w:hAnsi="Arial"/>
                <w:sz w:val="18"/>
                <w:szCs w:val="18"/>
                <w:color w:val="auto"/>
              </w:rPr>
              <w:t>Milestone Payments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8040" w:type="dxa"/>
            <w:vAlign w:val="bottom"/>
          </w:tcPr>
          <w:p>
            <w:pPr>
              <w:ind w:left="140"/>
              <w:spacing w:after="0"/>
              <w:rPr>
                <w:sz w:val="20"/>
                <w:szCs w:val="20"/>
                <w:color w:val="auto"/>
              </w:rPr>
            </w:pPr>
            <w:r>
              <w:rPr>
                <w:rFonts w:ascii="Arial" w:cs="Arial" w:eastAsia="Arial" w:hAnsi="Arial"/>
                <w:sz w:val="18"/>
                <w:szCs w:val="18"/>
                <w:color w:val="auto"/>
              </w:rPr>
              <w:t>Commercial Event Payments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8040" w:type="dxa"/>
            <w:vAlign w:val="bottom"/>
          </w:tcPr>
          <w:p>
            <w:pPr>
              <w:ind w:left="140"/>
              <w:spacing w:after="0"/>
              <w:rPr>
                <w:sz w:val="20"/>
                <w:szCs w:val="20"/>
                <w:color w:val="auto"/>
              </w:rPr>
            </w:pPr>
            <w:r>
              <w:rPr>
                <w:rFonts w:ascii="Arial" w:cs="Arial" w:eastAsia="Arial" w:hAnsi="Arial"/>
                <w:sz w:val="18"/>
                <w:szCs w:val="18"/>
                <w:color w:val="auto"/>
              </w:rPr>
              <w:t>Royalty Payments for Licensed Product</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8040" w:type="dxa"/>
            <w:vAlign w:val="bottom"/>
          </w:tcPr>
          <w:p>
            <w:pPr>
              <w:ind w:left="140"/>
              <w:spacing w:after="0"/>
              <w:rPr>
                <w:sz w:val="20"/>
                <w:szCs w:val="20"/>
                <w:color w:val="auto"/>
              </w:rPr>
            </w:pPr>
            <w:r>
              <w:rPr>
                <w:rFonts w:ascii="Arial" w:cs="Arial" w:eastAsia="Arial" w:hAnsi="Arial"/>
                <w:sz w:val="18"/>
                <w:szCs w:val="18"/>
                <w:color w:val="auto"/>
              </w:rPr>
              <w:t>Existing Third-Party Agreements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8040" w:type="dxa"/>
            <w:vAlign w:val="bottom"/>
          </w:tcPr>
          <w:p>
            <w:pPr>
              <w:ind w:left="140"/>
              <w:spacing w:after="0"/>
              <w:rPr>
                <w:sz w:val="20"/>
                <w:szCs w:val="20"/>
                <w:color w:val="auto"/>
              </w:rPr>
            </w:pPr>
            <w:r>
              <w:rPr>
                <w:rFonts w:ascii="Arial" w:cs="Arial" w:eastAsia="Arial" w:hAnsi="Arial"/>
                <w:sz w:val="18"/>
                <w:szCs w:val="18"/>
                <w:color w:val="auto"/>
              </w:rPr>
              <w:t>Timing of Payment</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8040" w:type="dxa"/>
            <w:vAlign w:val="bottom"/>
          </w:tcPr>
          <w:p>
            <w:pPr>
              <w:ind w:left="140"/>
              <w:spacing w:after="0"/>
              <w:rPr>
                <w:sz w:val="20"/>
                <w:szCs w:val="20"/>
                <w:color w:val="auto"/>
              </w:rPr>
            </w:pPr>
            <w:r>
              <w:rPr>
                <w:rFonts w:ascii="Arial" w:cs="Arial" w:eastAsia="Arial" w:hAnsi="Arial"/>
                <w:sz w:val="18"/>
                <w:szCs w:val="18"/>
                <w:color w:val="auto"/>
              </w:rPr>
              <w:t>Mode of Payment and Currency; Invoices</w:t>
            </w:r>
          </w:p>
        </w:tc>
        <w:tc>
          <w:tcPr>
            <w:tcW w:w="1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5.8</w:t>
            </w:r>
          </w:p>
        </w:tc>
        <w:tc>
          <w:tcPr>
            <w:tcW w:w="8040" w:type="dxa"/>
            <w:vAlign w:val="bottom"/>
          </w:tcPr>
          <w:p>
            <w:pPr>
              <w:ind w:left="140"/>
              <w:spacing w:after="0"/>
              <w:rPr>
                <w:sz w:val="20"/>
                <w:szCs w:val="20"/>
                <w:color w:val="auto"/>
              </w:rPr>
            </w:pPr>
            <w:r>
              <w:rPr>
                <w:rFonts w:ascii="Arial" w:cs="Arial" w:eastAsia="Arial" w:hAnsi="Arial"/>
                <w:sz w:val="18"/>
                <w:szCs w:val="18"/>
                <w:color w:val="auto"/>
              </w:rPr>
              <w:t>Royalty Reports</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040" w:type="dxa"/>
            <w:vAlign w:val="bottom"/>
          </w:tcPr>
          <w:p>
            <w:pPr>
              <w:spacing w:after="0"/>
              <w:rPr>
                <w:sz w:val="24"/>
                <w:szCs w:val="24"/>
                <w:color w:val="auto"/>
              </w:rPr>
            </w:pPr>
          </w:p>
        </w:tc>
        <w:tc>
          <w:tcPr>
            <w:tcW w:w="8040" w:type="dxa"/>
            <w:vAlign w:val="bottom"/>
          </w:tcPr>
          <w:p>
            <w:pPr>
              <w:ind w:left="4440"/>
              <w:spacing w:after="0"/>
              <w:rPr>
                <w:sz w:val="20"/>
                <w:szCs w:val="20"/>
                <w:color w:val="auto"/>
              </w:rPr>
            </w:pPr>
            <w:r>
              <w:rPr>
                <w:rFonts w:ascii="Arial" w:cs="Arial" w:eastAsia="Arial" w:hAnsi="Arial"/>
                <w:sz w:val="18"/>
                <w:szCs w:val="18"/>
                <w:color w:val="auto"/>
              </w:rPr>
              <w:t>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69" w:name="page470"/>
    <w:bookmarkEnd w:id="469"/>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420" w:type="dxa"/>
            <w:vAlign w:val="bottom"/>
          </w:tcPr>
          <w:p>
            <w:pPr>
              <w:jc w:val="center"/>
              <w:ind w:left="121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420" w:type="dxa"/>
            <w:vAlign w:val="bottom"/>
          </w:tcPr>
          <w:p>
            <w:pPr>
              <w:jc w:val="center"/>
              <w:ind w:left="121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406"/>
        </w:trPr>
        <w:tc>
          <w:tcPr>
            <w:tcW w:w="11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ind w:left="360"/>
              <w:spacing w:after="0"/>
              <w:rPr>
                <w:sz w:val="20"/>
                <w:szCs w:val="20"/>
                <w:color w:val="auto"/>
              </w:rPr>
            </w:pPr>
            <w:r>
              <w:rPr>
                <w:rFonts w:ascii="Arial" w:cs="Arial" w:eastAsia="Arial" w:hAnsi="Arial"/>
                <w:sz w:val="18"/>
                <w:szCs w:val="18"/>
                <w:color w:val="auto"/>
              </w:rPr>
              <w:t>5.9</w:t>
            </w:r>
          </w:p>
        </w:tc>
        <w:tc>
          <w:tcPr>
            <w:tcW w:w="7420" w:type="dxa"/>
            <w:vAlign w:val="bottom"/>
          </w:tcPr>
          <w:p>
            <w:pPr>
              <w:ind w:left="160"/>
              <w:spacing w:after="0"/>
              <w:rPr>
                <w:sz w:val="20"/>
                <w:szCs w:val="20"/>
                <w:color w:val="auto"/>
              </w:rPr>
            </w:pPr>
            <w:r>
              <w:rPr>
                <w:rFonts w:ascii="Arial" w:cs="Arial" w:eastAsia="Arial" w:hAnsi="Arial"/>
                <w:sz w:val="18"/>
                <w:szCs w:val="18"/>
                <w:color w:val="auto"/>
              </w:rPr>
              <w:t>Late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5.10</w:t>
            </w:r>
          </w:p>
        </w:tc>
        <w:tc>
          <w:tcPr>
            <w:tcW w:w="7420" w:type="dxa"/>
            <w:vAlign w:val="bottom"/>
          </w:tcPr>
          <w:p>
            <w:pPr>
              <w:ind w:left="160"/>
              <w:spacing w:after="0"/>
              <w:rPr>
                <w:sz w:val="20"/>
                <w:szCs w:val="20"/>
                <w:color w:val="auto"/>
              </w:rPr>
            </w:pPr>
            <w:r>
              <w:rPr>
                <w:rFonts w:ascii="Arial" w:cs="Arial" w:eastAsia="Arial" w:hAnsi="Arial"/>
                <w:sz w:val="18"/>
                <w:szCs w:val="18"/>
                <w:color w:val="auto"/>
              </w:rPr>
              <w:t>Audits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5.11</w:t>
            </w:r>
          </w:p>
        </w:tc>
        <w:tc>
          <w:tcPr>
            <w:tcW w:w="7420" w:type="dxa"/>
            <w:vAlign w:val="bottom"/>
          </w:tcPr>
          <w:p>
            <w:pPr>
              <w:ind w:left="16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6</w:t>
            </w:r>
          </w:p>
        </w:tc>
        <w:tc>
          <w:tcPr>
            <w:tcW w:w="7420" w:type="dxa"/>
            <w:vAlign w:val="bottom"/>
          </w:tcPr>
          <w:p>
            <w:pPr>
              <w:ind w:left="160"/>
              <w:spacing w:after="0"/>
              <w:rPr>
                <w:sz w:val="20"/>
                <w:szCs w:val="20"/>
                <w:color w:val="auto"/>
              </w:rPr>
            </w:pPr>
            <w:r>
              <w:rPr>
                <w:rFonts w:ascii="Arial" w:cs="Arial" w:eastAsia="Arial" w:hAnsi="Arial"/>
                <w:sz w:val="18"/>
                <w:szCs w:val="18"/>
                <w:color w:val="auto"/>
              </w:rPr>
              <w:t>INVENTIONS AND PATENTS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6.1</w:t>
            </w:r>
          </w:p>
        </w:tc>
        <w:tc>
          <w:tcPr>
            <w:tcW w:w="74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6.2</w:t>
            </w:r>
          </w:p>
        </w:tc>
        <w:tc>
          <w:tcPr>
            <w:tcW w:w="7420" w:type="dxa"/>
            <w:vAlign w:val="bottom"/>
          </w:tcPr>
          <w:p>
            <w:pPr>
              <w:ind w:left="160"/>
              <w:spacing w:after="0"/>
              <w:rPr>
                <w:sz w:val="20"/>
                <w:szCs w:val="20"/>
                <w:color w:val="auto"/>
              </w:rPr>
            </w:pPr>
            <w:r>
              <w:rPr>
                <w:rFonts w:ascii="Arial" w:cs="Arial" w:eastAsia="Arial" w:hAnsi="Arial"/>
                <w:sz w:val="18"/>
                <w:szCs w:val="18"/>
                <w:color w:val="auto"/>
              </w:rPr>
              <w:t>Patent Prosecution and Maintenance</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6.3</w:t>
            </w:r>
          </w:p>
        </w:tc>
        <w:tc>
          <w:tcPr>
            <w:tcW w:w="7420" w:type="dxa"/>
            <w:vAlign w:val="bottom"/>
          </w:tcPr>
          <w:p>
            <w:pPr>
              <w:ind w:left="160"/>
              <w:spacing w:after="0"/>
              <w:rPr>
                <w:sz w:val="20"/>
                <w:szCs w:val="20"/>
                <w:color w:val="auto"/>
              </w:rPr>
            </w:pPr>
            <w:r>
              <w:rPr>
                <w:rFonts w:ascii="Arial" w:cs="Arial" w:eastAsia="Arial" w:hAnsi="Arial"/>
                <w:sz w:val="18"/>
                <w:szCs w:val="18"/>
                <w:color w:val="auto"/>
              </w:rPr>
              <w:t>Enforcement and Defense</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7</w:t>
            </w:r>
          </w:p>
        </w:tc>
        <w:tc>
          <w:tcPr>
            <w:tcW w:w="74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7.1</w:t>
            </w:r>
          </w:p>
        </w:tc>
        <w:tc>
          <w:tcPr>
            <w:tcW w:w="7420" w:type="dxa"/>
            <w:vAlign w:val="bottom"/>
          </w:tcPr>
          <w:p>
            <w:pPr>
              <w:ind w:left="160"/>
              <w:spacing w:after="0"/>
              <w:rPr>
                <w:sz w:val="20"/>
                <w:szCs w:val="20"/>
                <w:color w:val="auto"/>
              </w:rPr>
            </w:pPr>
            <w:r>
              <w:rPr>
                <w:rFonts w:ascii="Arial" w:cs="Arial" w:eastAsia="Arial" w:hAnsi="Arial"/>
                <w:sz w:val="18"/>
                <w:szCs w:val="18"/>
                <w:color w:val="auto"/>
              </w:rPr>
              <w:t>Confidentiality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7.2</w:t>
            </w:r>
          </w:p>
        </w:tc>
        <w:tc>
          <w:tcPr>
            <w:tcW w:w="7420" w:type="dxa"/>
            <w:vAlign w:val="bottom"/>
          </w:tcPr>
          <w:p>
            <w:pPr>
              <w:ind w:left="160"/>
              <w:spacing w:after="0"/>
              <w:rPr>
                <w:sz w:val="20"/>
                <w:szCs w:val="20"/>
                <w:color w:val="auto"/>
              </w:rPr>
            </w:pPr>
            <w:r>
              <w:rPr>
                <w:rFonts w:ascii="Arial" w:cs="Arial" w:eastAsia="Arial" w:hAnsi="Arial"/>
                <w:sz w:val="18"/>
                <w:szCs w:val="18"/>
                <w:color w:val="auto"/>
              </w:rPr>
              <w:t>Use</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7.3</w:t>
            </w:r>
          </w:p>
        </w:tc>
        <w:tc>
          <w:tcPr>
            <w:tcW w:w="7420" w:type="dxa"/>
            <w:vAlign w:val="bottom"/>
          </w:tcPr>
          <w:p>
            <w:pPr>
              <w:ind w:left="160"/>
              <w:spacing w:after="0"/>
              <w:rPr>
                <w:sz w:val="20"/>
                <w:szCs w:val="20"/>
                <w:color w:val="auto"/>
              </w:rPr>
            </w:pPr>
            <w:r>
              <w:rPr>
                <w:rFonts w:ascii="Arial" w:cs="Arial" w:eastAsia="Arial" w:hAnsi="Arial"/>
                <w:sz w:val="18"/>
                <w:szCs w:val="18"/>
                <w:color w:val="auto"/>
              </w:rPr>
              <w:t>Required 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7.4</w:t>
            </w:r>
          </w:p>
        </w:tc>
        <w:tc>
          <w:tcPr>
            <w:tcW w:w="7420" w:type="dxa"/>
            <w:vAlign w:val="bottom"/>
          </w:tcPr>
          <w:p>
            <w:pPr>
              <w:ind w:left="160"/>
              <w:spacing w:after="0"/>
              <w:rPr>
                <w:sz w:val="20"/>
                <w:szCs w:val="20"/>
                <w:color w:val="auto"/>
              </w:rPr>
            </w:pPr>
            <w:r>
              <w:rPr>
                <w:rFonts w:ascii="Arial" w:cs="Arial" w:eastAsia="Arial" w:hAnsi="Arial"/>
                <w:sz w:val="18"/>
                <w:szCs w:val="18"/>
                <w:color w:val="auto"/>
              </w:rPr>
              <w:t>Publications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7.5</w:t>
            </w:r>
          </w:p>
        </w:tc>
        <w:tc>
          <w:tcPr>
            <w:tcW w:w="7420" w:type="dxa"/>
            <w:vAlign w:val="bottom"/>
          </w:tcPr>
          <w:p>
            <w:pPr>
              <w:ind w:left="160"/>
              <w:spacing w:after="0"/>
              <w:rPr>
                <w:sz w:val="20"/>
                <w:szCs w:val="20"/>
                <w:color w:val="auto"/>
              </w:rPr>
            </w:pPr>
            <w:r>
              <w:rPr>
                <w:rFonts w:ascii="Arial" w:cs="Arial" w:eastAsia="Arial" w:hAnsi="Arial"/>
                <w:sz w:val="18"/>
                <w:szCs w:val="18"/>
                <w:color w:val="auto"/>
              </w:rPr>
              <w:t>Press Releases and 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8</w:t>
            </w:r>
          </w:p>
        </w:tc>
        <w:tc>
          <w:tcPr>
            <w:tcW w:w="7420" w:type="dxa"/>
            <w:vAlign w:val="bottom"/>
          </w:tcPr>
          <w:p>
            <w:pPr>
              <w:ind w:left="160"/>
              <w:spacing w:after="0"/>
              <w:rPr>
                <w:sz w:val="20"/>
                <w:szCs w:val="20"/>
                <w:color w:val="auto"/>
              </w:rPr>
            </w:pPr>
            <w:r>
              <w:rPr>
                <w:rFonts w:ascii="Arial" w:cs="Arial" w:eastAsia="Arial" w:hAnsi="Arial"/>
                <w:sz w:val="18"/>
                <w:szCs w:val="18"/>
                <w:color w:val="auto"/>
              </w:rPr>
              <w:t>REPRESENTATIONS, WARRANTIES AND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8.1</w:t>
            </w:r>
          </w:p>
        </w:tc>
        <w:tc>
          <w:tcPr>
            <w:tcW w:w="7420" w:type="dxa"/>
            <w:vAlign w:val="bottom"/>
          </w:tcPr>
          <w:p>
            <w:pPr>
              <w:ind w:left="160"/>
              <w:spacing w:after="0"/>
              <w:rPr>
                <w:sz w:val="20"/>
                <w:szCs w:val="20"/>
                <w:color w:val="auto"/>
              </w:rPr>
            </w:pPr>
            <w:r>
              <w:rPr>
                <w:rFonts w:ascii="Arial" w:cs="Arial" w:eastAsia="Arial" w:hAnsi="Arial"/>
                <w:sz w:val="18"/>
                <w:szCs w:val="18"/>
                <w:color w:val="auto"/>
              </w:rPr>
              <w:t>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8.2</w:t>
            </w:r>
          </w:p>
        </w:tc>
        <w:tc>
          <w:tcPr>
            <w:tcW w:w="7420" w:type="dxa"/>
            <w:vAlign w:val="bottom"/>
          </w:tcPr>
          <w:p>
            <w:pPr>
              <w:ind w:left="160"/>
              <w:spacing w:after="0"/>
              <w:rPr>
                <w:sz w:val="20"/>
                <w:szCs w:val="20"/>
                <w:color w:val="auto"/>
              </w:rPr>
            </w:pPr>
            <w:r>
              <w:rPr>
                <w:rFonts w:ascii="Arial" w:cs="Arial" w:eastAsia="Arial" w:hAnsi="Arial"/>
                <w:sz w:val="18"/>
                <w:szCs w:val="18"/>
                <w:color w:val="auto"/>
              </w:rPr>
              <w:t>Additional Representations and Warranties of Licensor</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8.3</w:t>
            </w:r>
          </w:p>
        </w:tc>
        <w:tc>
          <w:tcPr>
            <w:tcW w:w="7420" w:type="dxa"/>
            <w:vAlign w:val="bottom"/>
          </w:tcPr>
          <w:p>
            <w:pPr>
              <w:ind w:left="160"/>
              <w:spacing w:after="0"/>
              <w:rPr>
                <w:sz w:val="20"/>
                <w:szCs w:val="20"/>
                <w:color w:val="auto"/>
              </w:rPr>
            </w:pPr>
            <w:r>
              <w:rPr>
                <w:rFonts w:ascii="Arial" w:cs="Arial" w:eastAsia="Arial" w:hAnsi="Arial"/>
                <w:sz w:val="18"/>
                <w:szCs w:val="18"/>
                <w:color w:val="auto"/>
              </w:rPr>
              <w:t>Licensor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9</w:t>
            </w:r>
          </w:p>
        </w:tc>
        <w:tc>
          <w:tcPr>
            <w:tcW w:w="7420" w:type="dxa"/>
            <w:vAlign w:val="bottom"/>
          </w:tcPr>
          <w:p>
            <w:pPr>
              <w:ind w:left="160"/>
              <w:spacing w:after="0"/>
              <w:rPr>
                <w:sz w:val="20"/>
                <w:szCs w:val="20"/>
                <w:color w:val="auto"/>
              </w:rPr>
            </w:pPr>
            <w:r>
              <w:rPr>
                <w:rFonts w:ascii="Arial" w:cs="Arial" w:eastAsia="Arial" w:hAnsi="Arial"/>
                <w:sz w:val="18"/>
                <w:szCs w:val="18"/>
                <w:color w:val="auto"/>
              </w:rPr>
              <w:t>INDEMNIFICATION AND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9.1</w:t>
            </w:r>
          </w:p>
        </w:tc>
        <w:tc>
          <w:tcPr>
            <w:tcW w:w="7420" w:type="dxa"/>
            <w:vAlign w:val="bottom"/>
          </w:tcPr>
          <w:p>
            <w:pPr>
              <w:ind w:left="160"/>
              <w:spacing w:after="0"/>
              <w:rPr>
                <w:sz w:val="20"/>
                <w:szCs w:val="20"/>
                <w:color w:val="auto"/>
              </w:rPr>
            </w:pPr>
            <w:r>
              <w:rPr>
                <w:rFonts w:ascii="Arial" w:cs="Arial" w:eastAsia="Arial" w:hAnsi="Arial"/>
                <w:sz w:val="18"/>
                <w:szCs w:val="18"/>
                <w:color w:val="auto"/>
              </w:rPr>
              <w:t>Indemnification by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9.2</w:t>
            </w:r>
          </w:p>
        </w:tc>
        <w:tc>
          <w:tcPr>
            <w:tcW w:w="7420" w:type="dxa"/>
            <w:vAlign w:val="bottom"/>
          </w:tcPr>
          <w:p>
            <w:pPr>
              <w:ind w:left="160"/>
              <w:spacing w:after="0"/>
              <w:rPr>
                <w:sz w:val="20"/>
                <w:szCs w:val="20"/>
                <w:color w:val="auto"/>
              </w:rPr>
            </w:pPr>
            <w:r>
              <w:rPr>
                <w:rFonts w:ascii="Arial" w:cs="Arial" w:eastAsia="Arial" w:hAnsi="Arial"/>
                <w:sz w:val="18"/>
                <w:szCs w:val="18"/>
                <w:color w:val="auto"/>
              </w:rPr>
              <w:t>Indemnification by Licensor</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9.3</w:t>
            </w:r>
          </w:p>
        </w:tc>
        <w:tc>
          <w:tcPr>
            <w:tcW w:w="7420" w:type="dxa"/>
            <w:vAlign w:val="bottom"/>
          </w:tcPr>
          <w:p>
            <w:pPr>
              <w:ind w:left="160"/>
              <w:spacing w:after="0"/>
              <w:rPr>
                <w:sz w:val="20"/>
                <w:szCs w:val="20"/>
                <w:color w:val="auto"/>
              </w:rPr>
            </w:pPr>
            <w:r>
              <w:rPr>
                <w:rFonts w:ascii="Arial" w:cs="Arial" w:eastAsia="Arial" w:hAnsi="Arial"/>
                <w:sz w:val="18"/>
                <w:szCs w:val="18"/>
                <w:color w:val="auto"/>
              </w:rPr>
              <w:t>No Consequential Damages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9.4</w:t>
            </w:r>
          </w:p>
        </w:tc>
        <w:tc>
          <w:tcPr>
            <w:tcW w:w="7420" w:type="dxa"/>
            <w:vAlign w:val="bottom"/>
          </w:tcPr>
          <w:p>
            <w:pPr>
              <w:ind w:left="160"/>
              <w:spacing w:after="0"/>
              <w:rPr>
                <w:sz w:val="20"/>
                <w:szCs w:val="20"/>
                <w:color w:val="auto"/>
              </w:rPr>
            </w:pPr>
            <w:r>
              <w:rPr>
                <w:rFonts w:ascii="Arial" w:cs="Arial" w:eastAsia="Arial" w:hAnsi="Arial"/>
                <w:sz w:val="18"/>
                <w:szCs w:val="18"/>
                <w:color w:val="auto"/>
              </w:rPr>
              <w:t>Notification of Claims; Conditions to Indemnification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9.5</w:t>
            </w:r>
          </w:p>
        </w:tc>
        <w:tc>
          <w:tcPr>
            <w:tcW w:w="742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10</w:t>
            </w:r>
          </w:p>
        </w:tc>
        <w:tc>
          <w:tcPr>
            <w:tcW w:w="7420" w:type="dxa"/>
            <w:vAlign w:val="bottom"/>
          </w:tcPr>
          <w:p>
            <w:pPr>
              <w:ind w:left="160"/>
              <w:spacing w:after="0"/>
              <w:rPr>
                <w:sz w:val="20"/>
                <w:szCs w:val="20"/>
                <w:color w:val="auto"/>
              </w:rPr>
            </w:pPr>
            <w:r>
              <w:rPr>
                <w:rFonts w:ascii="Arial" w:cs="Arial" w:eastAsia="Arial" w:hAnsi="Arial"/>
                <w:sz w:val="18"/>
                <w:szCs w:val="18"/>
                <w:color w:val="auto"/>
              </w:rPr>
              <w:t>TERM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10.1</w:t>
            </w:r>
          </w:p>
        </w:tc>
        <w:tc>
          <w:tcPr>
            <w:tcW w:w="7420" w:type="dxa"/>
            <w:vAlign w:val="bottom"/>
          </w:tcPr>
          <w:p>
            <w:pPr>
              <w:ind w:left="160"/>
              <w:spacing w:after="0"/>
              <w:rPr>
                <w:sz w:val="20"/>
                <w:szCs w:val="20"/>
                <w:color w:val="auto"/>
              </w:rPr>
            </w:pPr>
            <w:r>
              <w:rPr>
                <w:rFonts w:ascii="Arial" w:cs="Arial" w:eastAsia="Arial" w:hAnsi="Arial"/>
                <w:sz w:val="18"/>
                <w:szCs w:val="18"/>
                <w:color w:val="auto"/>
              </w:rPr>
              <w:t>Term and Expiration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10.2</w:t>
            </w:r>
          </w:p>
        </w:tc>
        <w:tc>
          <w:tcPr>
            <w:tcW w:w="7420" w:type="dxa"/>
            <w:vAlign w:val="bottom"/>
          </w:tcPr>
          <w:p>
            <w:pPr>
              <w:ind w:left="160"/>
              <w:spacing w:after="0"/>
              <w:rPr>
                <w:sz w:val="20"/>
                <w:szCs w:val="20"/>
                <w:color w:val="auto"/>
              </w:rPr>
            </w:pPr>
            <w:r>
              <w:rPr>
                <w:rFonts w:ascii="Arial" w:cs="Arial" w:eastAsia="Arial" w:hAnsi="Arial"/>
                <w:sz w:val="18"/>
                <w:szCs w:val="18"/>
                <w:color w:val="auto"/>
              </w:rPr>
              <w:t>Termination of the Agreement for Convenience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10.3</w:t>
            </w:r>
          </w:p>
        </w:tc>
        <w:tc>
          <w:tcPr>
            <w:tcW w:w="7420" w:type="dxa"/>
            <w:vAlign w:val="bottom"/>
          </w:tcPr>
          <w:p>
            <w:pPr>
              <w:ind w:left="160"/>
              <w:spacing w:after="0"/>
              <w:rPr>
                <w:sz w:val="20"/>
                <w:szCs w:val="20"/>
                <w:color w:val="auto"/>
              </w:rPr>
            </w:pPr>
            <w:r>
              <w:rPr>
                <w:rFonts w:ascii="Arial" w:cs="Arial" w:eastAsia="Arial" w:hAnsi="Arial"/>
                <w:sz w:val="18"/>
                <w:szCs w:val="18"/>
                <w:color w:val="auto"/>
              </w:rPr>
              <w:t>Termination upon Material Breach</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10.4</w:t>
            </w:r>
          </w:p>
        </w:tc>
        <w:tc>
          <w:tcPr>
            <w:tcW w:w="7420" w:type="dxa"/>
            <w:vAlign w:val="bottom"/>
          </w:tcPr>
          <w:p>
            <w:pPr>
              <w:ind w:left="160"/>
              <w:spacing w:after="0"/>
              <w:rPr>
                <w:sz w:val="20"/>
                <w:szCs w:val="20"/>
                <w:color w:val="auto"/>
              </w:rPr>
            </w:pPr>
            <w:r>
              <w:rPr>
                <w:rFonts w:ascii="Arial" w:cs="Arial" w:eastAsia="Arial" w:hAnsi="Arial"/>
                <w:sz w:val="18"/>
                <w:szCs w:val="18"/>
                <w:color w:val="auto"/>
              </w:rPr>
              <w:t>Effects of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10.5</w:t>
            </w:r>
          </w:p>
        </w:tc>
        <w:tc>
          <w:tcPr>
            <w:tcW w:w="7420" w:type="dxa"/>
            <w:vAlign w:val="bottom"/>
          </w:tcPr>
          <w:p>
            <w:pPr>
              <w:ind w:left="160"/>
              <w:spacing w:after="0"/>
              <w:rPr>
                <w:sz w:val="20"/>
                <w:szCs w:val="20"/>
                <w:color w:val="auto"/>
              </w:rPr>
            </w:pPr>
            <w:r>
              <w:rPr>
                <w:rFonts w:ascii="Arial" w:cs="Arial" w:eastAsia="Arial" w:hAnsi="Arial"/>
                <w:sz w:val="18"/>
                <w:szCs w:val="18"/>
                <w:color w:val="auto"/>
              </w:rPr>
              <w:t>Termination on Bankruptcy or Insolvency</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10.6</w:t>
            </w:r>
          </w:p>
        </w:tc>
        <w:tc>
          <w:tcPr>
            <w:tcW w:w="7420" w:type="dxa"/>
            <w:vAlign w:val="bottom"/>
          </w:tcPr>
          <w:p>
            <w:pPr>
              <w:ind w:left="160"/>
              <w:spacing w:after="0"/>
              <w:rPr>
                <w:sz w:val="20"/>
                <w:szCs w:val="20"/>
                <w:color w:val="auto"/>
              </w:rPr>
            </w:pPr>
            <w:r>
              <w:rPr>
                <w:rFonts w:ascii="Arial" w:cs="Arial" w:eastAsia="Arial" w:hAnsi="Arial"/>
                <w:sz w:val="18"/>
                <w:szCs w:val="18"/>
                <w:color w:val="auto"/>
              </w:rPr>
              <w:t>Other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11</w:t>
            </w:r>
          </w:p>
        </w:tc>
        <w:tc>
          <w:tcPr>
            <w:tcW w:w="7420" w:type="dxa"/>
            <w:vAlign w:val="bottom"/>
          </w:tcPr>
          <w:p>
            <w:pPr>
              <w:ind w:left="160"/>
              <w:spacing w:after="0"/>
              <w:rPr>
                <w:sz w:val="20"/>
                <w:szCs w:val="20"/>
                <w:color w:val="auto"/>
              </w:rPr>
            </w:pPr>
            <w:r>
              <w:rPr>
                <w:rFonts w:ascii="Arial" w:cs="Arial" w:eastAsia="Arial" w:hAnsi="Arial"/>
                <w:sz w:val="18"/>
                <w:szCs w:val="18"/>
                <w:color w:val="auto"/>
              </w:rPr>
              <w:t>DISPUTE RESOLUTION</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11.1</w:t>
            </w:r>
          </w:p>
        </w:tc>
        <w:tc>
          <w:tcPr>
            <w:tcW w:w="7420" w:type="dxa"/>
            <w:vAlign w:val="bottom"/>
          </w:tcPr>
          <w:p>
            <w:pPr>
              <w:ind w:left="160"/>
              <w:spacing w:after="0"/>
              <w:rPr>
                <w:sz w:val="20"/>
                <w:szCs w:val="20"/>
                <w:color w:val="auto"/>
              </w:rPr>
            </w:pPr>
            <w:r>
              <w:rPr>
                <w:rFonts w:ascii="Arial" w:cs="Arial" w:eastAsia="Arial" w:hAnsi="Arial"/>
                <w:sz w:val="18"/>
                <w:szCs w:val="18"/>
                <w:color w:val="auto"/>
              </w:rPr>
              <w:t>Escalation to Executive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64"/>
        </w:trPr>
        <w:tc>
          <w:tcPr>
            <w:tcW w:w="1140" w:type="dxa"/>
            <w:vAlign w:val="bottom"/>
          </w:tcPr>
          <w:p>
            <w:pPr>
              <w:spacing w:after="0"/>
              <w:rPr>
                <w:sz w:val="24"/>
                <w:szCs w:val="24"/>
                <w:color w:val="auto"/>
              </w:rPr>
            </w:pPr>
          </w:p>
        </w:tc>
        <w:tc>
          <w:tcPr>
            <w:tcW w:w="7420" w:type="dxa"/>
            <w:vAlign w:val="bottom"/>
          </w:tcPr>
          <w:p>
            <w:pPr>
              <w:jc w:val="center"/>
              <w:ind w:left="123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70" w:name="page471"/>
    <w:bookmarkEnd w:id="470"/>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420" w:type="dxa"/>
            <w:vAlign w:val="bottom"/>
          </w:tcPr>
          <w:p>
            <w:pPr>
              <w:ind w:left="394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20"/>
                <w:szCs w:val="20"/>
                <w:color w:val="auto"/>
              </w:rPr>
            </w:pPr>
          </w:p>
        </w:tc>
      </w:tr>
      <w:tr>
        <w:trPr>
          <w:trHeight w:val="406"/>
        </w:trPr>
        <w:tc>
          <w:tcPr>
            <w:tcW w:w="11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ind w:left="360"/>
              <w:spacing w:after="0"/>
              <w:rPr>
                <w:sz w:val="20"/>
                <w:szCs w:val="20"/>
                <w:color w:val="auto"/>
              </w:rPr>
            </w:pPr>
            <w:r>
              <w:rPr>
                <w:rFonts w:ascii="Arial" w:cs="Arial" w:eastAsia="Arial" w:hAnsi="Arial"/>
                <w:sz w:val="18"/>
                <w:szCs w:val="18"/>
                <w:color w:val="auto"/>
              </w:rPr>
              <w:t>11.2</w:t>
            </w:r>
          </w:p>
        </w:tc>
        <w:tc>
          <w:tcPr>
            <w:tcW w:w="7420" w:type="dxa"/>
            <w:vAlign w:val="bottom"/>
          </w:tcPr>
          <w:p>
            <w:pPr>
              <w:ind w:left="160"/>
              <w:spacing w:after="0"/>
              <w:rPr>
                <w:sz w:val="20"/>
                <w:szCs w:val="20"/>
                <w:color w:val="auto"/>
              </w:rPr>
            </w:pPr>
            <w:r>
              <w:rPr>
                <w:rFonts w:ascii="Arial" w:cs="Arial" w:eastAsia="Arial" w:hAnsi="Arial"/>
                <w:sz w:val="18"/>
                <w:szCs w:val="18"/>
                <w:color w:val="auto"/>
              </w:rPr>
              <w:t>Injunctive Relief</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12</w:t>
            </w:r>
          </w:p>
        </w:tc>
        <w:tc>
          <w:tcPr>
            <w:tcW w:w="7420" w:type="dxa"/>
            <w:vAlign w:val="bottom"/>
          </w:tcPr>
          <w:p>
            <w:pPr>
              <w:ind w:left="160"/>
              <w:spacing w:after="0"/>
              <w:rPr>
                <w:sz w:val="20"/>
                <w:szCs w:val="20"/>
                <w:color w:val="auto"/>
              </w:rPr>
            </w:pPr>
            <w:r>
              <w:rPr>
                <w:rFonts w:ascii="Arial" w:cs="Arial" w:eastAsia="Arial" w:hAnsi="Arial"/>
                <w:sz w:val="18"/>
                <w:szCs w:val="18"/>
                <w:color w:val="auto"/>
              </w:rPr>
              <w:t>MISCELLANEOUS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w:t>
            </w:r>
          </w:p>
        </w:tc>
        <w:tc>
          <w:tcPr>
            <w:tcW w:w="7420" w:type="dxa"/>
            <w:vAlign w:val="bottom"/>
          </w:tcPr>
          <w:p>
            <w:pPr>
              <w:ind w:left="160"/>
              <w:spacing w:after="0"/>
              <w:rPr>
                <w:sz w:val="20"/>
                <w:szCs w:val="20"/>
                <w:color w:val="auto"/>
              </w:rPr>
            </w:pPr>
            <w:r>
              <w:rPr>
                <w:rFonts w:ascii="Arial" w:cs="Arial" w:eastAsia="Arial" w:hAnsi="Arial"/>
                <w:sz w:val="18"/>
                <w:szCs w:val="18"/>
                <w:color w:val="auto"/>
              </w:rPr>
              <w:t>Relationship of the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12.2</w:t>
            </w:r>
          </w:p>
        </w:tc>
        <w:tc>
          <w:tcPr>
            <w:tcW w:w="742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12.3</w:t>
            </w:r>
          </w:p>
        </w:tc>
        <w:tc>
          <w:tcPr>
            <w:tcW w:w="7420" w:type="dxa"/>
            <w:vAlign w:val="bottom"/>
          </w:tcPr>
          <w:p>
            <w:pPr>
              <w:ind w:left="160"/>
              <w:spacing w:after="0"/>
              <w:rPr>
                <w:sz w:val="20"/>
                <w:szCs w:val="20"/>
                <w:color w:val="auto"/>
              </w:rPr>
            </w:pPr>
            <w:r>
              <w:rPr>
                <w:rFonts w:ascii="Arial" w:cs="Arial" w:eastAsia="Arial" w:hAnsi="Arial"/>
                <w:sz w:val="18"/>
                <w:szCs w:val="18"/>
                <w:color w:val="auto"/>
              </w:rPr>
              <w:t>Performance and Exercise by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12.4</w:t>
            </w:r>
          </w:p>
        </w:tc>
        <w:tc>
          <w:tcPr>
            <w:tcW w:w="7420" w:type="dxa"/>
            <w:vAlign w:val="bottom"/>
          </w:tcPr>
          <w:p>
            <w:pPr>
              <w:ind w:left="160"/>
              <w:spacing w:after="0"/>
              <w:rPr>
                <w:sz w:val="20"/>
                <w:szCs w:val="20"/>
                <w:color w:val="auto"/>
              </w:rPr>
            </w:pPr>
            <w:r>
              <w:rPr>
                <w:rFonts w:ascii="Arial" w:cs="Arial" w:eastAsia="Arial" w:hAnsi="Arial"/>
                <w:sz w:val="18"/>
                <w:szCs w:val="18"/>
                <w:color w:val="auto"/>
              </w:rPr>
              <w:t>Further 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12.5</w:t>
            </w:r>
          </w:p>
        </w:tc>
        <w:tc>
          <w:tcPr>
            <w:tcW w:w="742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12.6</w:t>
            </w:r>
          </w:p>
        </w:tc>
        <w:tc>
          <w:tcPr>
            <w:tcW w:w="7420" w:type="dxa"/>
            <w:vAlign w:val="bottom"/>
          </w:tcPr>
          <w:p>
            <w:pPr>
              <w:ind w:left="160"/>
              <w:spacing w:after="0"/>
              <w:rPr>
                <w:sz w:val="20"/>
                <w:szCs w:val="20"/>
                <w:color w:val="auto"/>
              </w:rPr>
            </w:pPr>
            <w:r>
              <w:rPr>
                <w:rFonts w:ascii="Arial" w:cs="Arial" w:eastAsia="Arial" w:hAnsi="Arial"/>
                <w:sz w:val="18"/>
                <w:szCs w:val="18"/>
                <w:color w:val="auto"/>
              </w:rPr>
              <w:t>No Trademark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12.7</w:t>
            </w:r>
          </w:p>
        </w:tc>
        <w:tc>
          <w:tcPr>
            <w:tcW w:w="7420" w:type="dxa"/>
            <w:vAlign w:val="bottom"/>
          </w:tcPr>
          <w:p>
            <w:pPr>
              <w:ind w:left="160"/>
              <w:spacing w:after="0"/>
              <w:rPr>
                <w:sz w:val="20"/>
                <w:szCs w:val="20"/>
                <w:color w:val="auto"/>
              </w:rPr>
            </w:pPr>
            <w:r>
              <w:rPr>
                <w:rFonts w:ascii="Arial" w:cs="Arial" w:eastAsia="Arial" w:hAnsi="Arial"/>
                <w:sz w:val="18"/>
                <w:szCs w:val="18"/>
                <w:color w:val="auto"/>
              </w:rPr>
              <w:t>Entire Agreement of the Parties; 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12.8</w:t>
            </w:r>
          </w:p>
        </w:tc>
        <w:tc>
          <w:tcPr>
            <w:tcW w:w="7420" w:type="dxa"/>
            <w:vAlign w:val="bottom"/>
          </w:tcPr>
          <w:p>
            <w:pPr>
              <w:ind w:left="160"/>
              <w:spacing w:after="0"/>
              <w:rPr>
                <w:sz w:val="20"/>
                <w:szCs w:val="20"/>
                <w:color w:val="auto"/>
              </w:rPr>
            </w:pPr>
            <w:r>
              <w:rPr>
                <w:rFonts w:ascii="Arial" w:cs="Arial" w:eastAsia="Arial" w:hAnsi="Arial"/>
                <w:sz w:val="18"/>
                <w:szCs w:val="18"/>
                <w:color w:val="auto"/>
              </w:rPr>
              <w:t>Captions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12.9</w:t>
            </w:r>
          </w:p>
        </w:tc>
        <w:tc>
          <w:tcPr>
            <w:tcW w:w="742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12.10</w:t>
            </w:r>
          </w:p>
        </w:tc>
        <w:tc>
          <w:tcPr>
            <w:tcW w:w="7420" w:type="dxa"/>
            <w:vAlign w:val="bottom"/>
          </w:tcPr>
          <w:p>
            <w:pPr>
              <w:ind w:left="160"/>
              <w:spacing w:after="0"/>
              <w:rPr>
                <w:sz w:val="20"/>
                <w:szCs w:val="20"/>
                <w:color w:val="auto"/>
              </w:rPr>
            </w:pPr>
            <w:r>
              <w:rPr>
                <w:rFonts w:ascii="Arial" w:cs="Arial" w:eastAsia="Arial" w:hAnsi="Arial"/>
                <w:sz w:val="18"/>
                <w:szCs w:val="18"/>
                <w:color w:val="auto"/>
              </w:rPr>
              <w:t>Notices and Deliveries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12.11</w:t>
            </w:r>
          </w:p>
        </w:tc>
        <w:tc>
          <w:tcPr>
            <w:tcW w:w="7420" w:type="dxa"/>
            <w:vAlign w:val="bottom"/>
          </w:tcPr>
          <w:p>
            <w:pPr>
              <w:ind w:left="160"/>
              <w:spacing w:after="0"/>
              <w:rPr>
                <w:sz w:val="20"/>
                <w:szCs w:val="20"/>
                <w:color w:val="auto"/>
              </w:rPr>
            </w:pPr>
            <w:r>
              <w:rPr>
                <w:rFonts w:ascii="Arial" w:cs="Arial" w:eastAsia="Arial" w:hAnsi="Arial"/>
                <w:sz w:val="18"/>
                <w:szCs w:val="18"/>
                <w:color w:val="auto"/>
              </w:rPr>
              <w:t>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12.12</w:t>
            </w:r>
          </w:p>
        </w:tc>
        <w:tc>
          <w:tcPr>
            <w:tcW w:w="74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12.13</w:t>
            </w:r>
          </w:p>
        </w:tc>
        <w:tc>
          <w:tcPr>
            <w:tcW w:w="7420" w:type="dxa"/>
            <w:vAlign w:val="bottom"/>
          </w:tcPr>
          <w:p>
            <w:pPr>
              <w:ind w:left="160"/>
              <w:spacing w:after="0"/>
              <w:rPr>
                <w:sz w:val="20"/>
                <w:szCs w:val="20"/>
                <w:color w:val="auto"/>
              </w:rPr>
            </w:pPr>
            <w:r>
              <w:rPr>
                <w:rFonts w:ascii="Arial" w:cs="Arial" w:eastAsia="Arial" w:hAnsi="Arial"/>
                <w:sz w:val="18"/>
                <w:szCs w:val="18"/>
                <w:color w:val="auto"/>
              </w:rPr>
              <w:t>No Implied License</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12.14</w:t>
            </w:r>
          </w:p>
        </w:tc>
        <w:tc>
          <w:tcPr>
            <w:tcW w:w="742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12.15</w:t>
            </w:r>
          </w:p>
        </w:tc>
        <w:tc>
          <w:tcPr>
            <w:tcW w:w="74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471" w:name="page472"/>
    <w:bookmarkEnd w:id="4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LICENSE AGREEMENT</w:t>
      </w:r>
    </w:p>
    <w:p>
      <w:pPr>
        <w:spacing w:after="0" w:line="225" w:lineRule="exact"/>
        <w:rPr>
          <w:sz w:val="20"/>
          <w:szCs w:val="20"/>
          <w:color w:val="auto"/>
        </w:rPr>
      </w:pPr>
    </w:p>
    <w:p>
      <w:pPr>
        <w:ind w:right="40" w:firstLine="551"/>
        <w:spacing w:after="0" w:line="261"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August 14,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Abeona Therapeutics Inc., a Delaware corporation having its principal place of business at 1330 Avenue of the Americas, Suite 33A, New York, NY 10019 (“</w:t>
      </w:r>
      <w:r>
        <w:rPr>
          <w:rFonts w:ascii="Arial" w:cs="Arial" w:eastAsia="Arial" w:hAnsi="Arial"/>
          <w:sz w:val="18"/>
          <w:szCs w:val="18"/>
          <w:b w:val="1"/>
          <w:bCs w:val="1"/>
          <w:color w:val="auto"/>
        </w:rPr>
        <w:t>Licensor</w:t>
      </w:r>
      <w:r>
        <w:rPr>
          <w:rFonts w:ascii="Arial" w:cs="Arial" w:eastAsia="Arial" w:hAnsi="Arial"/>
          <w:sz w:val="18"/>
          <w:szCs w:val="18"/>
          <w:color w:val="auto"/>
        </w:rPr>
        <w:t>”), and Taysha Gene Therapies, Inc., a Delaware corporation having a place of business at 2280 Inwood Road, Dallas, TX 75325 (“</w:t>
      </w:r>
      <w:r>
        <w:rPr>
          <w:rFonts w:ascii="Arial" w:cs="Arial" w:eastAsia="Arial" w:hAnsi="Arial"/>
          <w:sz w:val="18"/>
          <w:szCs w:val="18"/>
          <w:b w:val="1"/>
          <w:bCs w:val="1"/>
          <w:color w:val="auto"/>
        </w:rPr>
        <w:t>Company</w:t>
      </w:r>
      <w:r>
        <w:rPr>
          <w:rFonts w:ascii="Arial" w:cs="Arial" w:eastAsia="Arial" w:hAnsi="Arial"/>
          <w:sz w:val="18"/>
          <w:szCs w:val="18"/>
          <w:color w:val="auto"/>
        </w:rPr>
        <w:t>”). Licensor and Company may be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Licensor is a fully integrated gene and cell therapy company engaged,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in the development of gene therapy technologies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CLN1 Disease;</w:t>
      </w:r>
    </w:p>
    <w:p>
      <w:pPr>
        <w:spacing w:after="0" w:line="162" w:lineRule="exact"/>
        <w:rPr>
          <w:sz w:val="20"/>
          <w:szCs w:val="20"/>
          <w:color w:val="auto"/>
        </w:rPr>
      </w:pPr>
    </w:p>
    <w:p>
      <w:pPr>
        <w:ind w:right="68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engaged in the research, development, manufacturing and commercialization of gene therapy products and is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in Developing, manufacturing and Commercializing Licensed Products; and</w:t>
      </w:r>
    </w:p>
    <w:p>
      <w:pPr>
        <w:spacing w:after="0" w:line="162" w:lineRule="exact"/>
        <w:rPr>
          <w:sz w:val="20"/>
          <w:szCs w:val="20"/>
          <w:color w:val="auto"/>
        </w:rPr>
      </w:pPr>
    </w:p>
    <w:p>
      <w:pPr>
        <w:ind w:right="20" w:firstLine="55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desires to license from Licensor, and Licensor wishes to exclusively license to Company rights to Develop,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Commercialize Licensed Products in the Field in the Territory.</w:t>
      </w:r>
    </w:p>
    <w:p>
      <w:pPr>
        <w:spacing w:after="0" w:line="162" w:lineRule="exact"/>
        <w:rPr>
          <w:sz w:val="20"/>
          <w:szCs w:val="20"/>
          <w:color w:val="auto"/>
        </w:rPr>
      </w:pPr>
    </w:p>
    <w:p>
      <w:pPr>
        <w:ind w:right="580" w:firstLine="551"/>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various promises and undertakings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hereby agree as follows: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27" w:lineRule="exact"/>
        <w:rPr>
          <w:sz w:val="20"/>
          <w:szCs w:val="20"/>
          <w:color w:val="auto"/>
        </w:rPr>
      </w:pPr>
    </w:p>
    <w:p>
      <w:pPr>
        <w:ind w:left="540" w:right="60" w:hanging="539"/>
        <w:spacing w:after="0" w:line="303" w:lineRule="auto"/>
        <w:tabs>
          <w:tab w:leader="none" w:pos="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a Person who controls, is controlled by or is under common control with a Party, but only for so long as such control exists. For the purposes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w:t>
      </w:r>
    </w:p>
    <w:p>
      <w:pPr>
        <w:spacing w:after="0" w:line="56"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means a Biologics License Application submitted pursuant to the requirements of the FDA, as more fully defined in 21 C.F.R. § 601, and any equivalent application submitted in any country in the Territory, including all additions, deletions or supplements thereto, and as any and all such requirements may be amended, or supplanted, at any time.</w:t>
      </w:r>
    </w:p>
    <w:p>
      <w:pPr>
        <w:spacing w:after="0" w:line="81" w:lineRule="exact"/>
        <w:rPr>
          <w:sz w:val="20"/>
          <w:szCs w:val="20"/>
          <w:color w:val="auto"/>
        </w:rPr>
      </w:pPr>
    </w:p>
    <w:p>
      <w:pPr>
        <w:ind w:left="540" w:right="220" w:hanging="539"/>
        <w:spacing w:after="0" w:line="293"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three (3) month period commencing January 1, April 1, July 1 or October 1 of any year; provided, however, that (a) the first Calendar Quarter of the Term shall extend from the Effective Date to the end of the first full Calendar Quarter thereafter,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the last Calendar Quarter of the Term shall end upon the expiration or termination of this Agreement.</w:t>
      </w:r>
    </w:p>
    <w:p>
      <w:pPr>
        <w:spacing w:after="0" w:line="112"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the 1</w:t>
      </w:r>
      <w:r>
        <w:rPr>
          <w:rFonts w:ascii="Arial" w:cs="Arial" w:eastAsia="Arial" w:hAnsi="Arial"/>
          <w:sz w:val="15"/>
          <w:szCs w:val="15"/>
          <w:color w:val="auto"/>
        </w:rPr>
        <w:t>st</w:t>
      </w:r>
      <w:r>
        <w:rPr>
          <w:rFonts w:ascii="Arial" w:cs="Arial" w:eastAsia="Arial" w:hAnsi="Arial"/>
          <w:sz w:val="18"/>
          <w:szCs w:val="18"/>
          <w:color w:val="auto"/>
        </w:rPr>
        <w:t xml:space="preserve"> of January and ending on the 31</w:t>
      </w:r>
      <w:r>
        <w:rPr>
          <w:rFonts w:ascii="Arial" w:cs="Arial" w:eastAsia="Arial" w:hAnsi="Arial"/>
          <w:sz w:val="15"/>
          <w:szCs w:val="15"/>
          <w:color w:val="auto"/>
        </w:rPr>
        <w:t>st</w:t>
      </w:r>
      <w:r>
        <w:rPr>
          <w:rFonts w:ascii="Arial" w:cs="Arial" w:eastAsia="Arial" w:hAnsi="Arial"/>
          <w:sz w:val="18"/>
          <w:szCs w:val="18"/>
          <w:color w:val="auto"/>
        </w:rPr>
        <w:t xml:space="preserve"> of December of the same year; provided, however, that (a) the first Calendar Year of the Term shall commence on the Effective Date and end on the 31</w:t>
      </w:r>
      <w:r>
        <w:rPr>
          <w:rFonts w:ascii="Arial" w:cs="Arial" w:eastAsia="Arial" w:hAnsi="Arial"/>
          <w:sz w:val="15"/>
          <w:szCs w:val="15"/>
          <w:color w:val="auto"/>
        </w:rPr>
        <w:t>st</w:t>
      </w:r>
      <w:r>
        <w:rPr>
          <w:rFonts w:ascii="Arial" w:cs="Arial" w:eastAsia="Arial" w:hAnsi="Arial"/>
          <w:sz w:val="18"/>
          <w:szCs w:val="18"/>
          <w:color w:val="auto"/>
        </w:rPr>
        <w:t xml:space="preserve"> of December of the same year and (b) the last Calendar Year of the Term shall commence on the 1</w:t>
      </w:r>
      <w:r>
        <w:rPr>
          <w:rFonts w:ascii="Arial" w:cs="Arial" w:eastAsia="Arial" w:hAnsi="Arial"/>
          <w:sz w:val="15"/>
          <w:szCs w:val="15"/>
          <w:color w:val="auto"/>
        </w:rPr>
        <w:t>st</w:t>
      </w:r>
      <w:r>
        <w:rPr>
          <w:rFonts w:ascii="Arial" w:cs="Arial" w:eastAsia="Arial" w:hAnsi="Arial"/>
          <w:sz w:val="18"/>
          <w:szCs w:val="18"/>
          <w:color w:val="auto"/>
        </w:rPr>
        <w:t xml:space="preserve"> of January of the Calendar Year in which this Agreement terminates or expires and end on the date of termination or expiration of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72" w:name="page473"/>
    <w:bookmarkEnd w:id="472"/>
    <w:p>
      <w:pPr>
        <w:ind w:left="540" w:right="28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CLN1 Disease</w:t>
      </w:r>
      <w:r>
        <w:rPr>
          <w:rFonts w:ascii="Arial" w:cs="Arial" w:eastAsia="Arial" w:hAnsi="Arial"/>
          <w:sz w:val="18"/>
          <w:szCs w:val="18"/>
          <w:color w:val="auto"/>
        </w:rPr>
        <w:t>” means infantile neuronal ceroid lipofuscinosis, also known as infantile Batten disease, caused by mutations in the palmitoyl protein thioesterase 1 (PPT1) gene.</w:t>
      </w:r>
    </w:p>
    <w:p>
      <w:pPr>
        <w:spacing w:after="0" w:line="67" w:lineRule="exact"/>
        <w:rPr>
          <w:sz w:val="20"/>
          <w:szCs w:val="20"/>
          <w:color w:val="auto"/>
        </w:rPr>
      </w:pPr>
    </w:p>
    <w:p>
      <w:pPr>
        <w:ind w:left="540" w:right="80" w:hanging="539"/>
        <w:spacing w:after="0" w:line="294" w:lineRule="auto"/>
        <w:tabs>
          <w:tab w:leader="none" w:pos="5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cGMP Inventory</w:t>
      </w:r>
      <w:r>
        <w:rPr>
          <w:rFonts w:ascii="Arial" w:cs="Arial" w:eastAsia="Arial" w:hAnsi="Arial"/>
          <w:sz w:val="16"/>
          <w:szCs w:val="16"/>
          <w:color w:val="auto"/>
        </w:rPr>
        <w:t>” means Licensor’s inventory of CLN1 Plasmid that has been manufactured in accordance with (a) standards promulgated by any Regulatory Authority having jurisdiction over the manufacture of Licensed Product, including those Current Good Manufacturing Practices promulgated by the FDA and related regulations, as amended, or any successor laws thereto (“</w:t>
      </w:r>
      <w:r>
        <w:rPr>
          <w:rFonts w:ascii="Arial" w:cs="Arial" w:eastAsia="Arial" w:hAnsi="Arial"/>
          <w:sz w:val="16"/>
          <w:szCs w:val="16"/>
          <w:b w:val="1"/>
          <w:bCs w:val="1"/>
          <w:color w:val="auto"/>
        </w:rPr>
        <w:t>cGMP</w:t>
      </w:r>
      <w:r>
        <w:rPr>
          <w:rFonts w:ascii="Arial" w:cs="Arial" w:eastAsia="Arial" w:hAnsi="Arial"/>
          <w:sz w:val="16"/>
          <w:szCs w:val="16"/>
          <w:color w:val="auto"/>
        </w:rPr>
        <w:t>”), required to be followed in connection with the manufacture of biopharmaceutical products; (b) standards promulgated by any Regulatory Authority having jurisdiction over the manufacture of Licensed Product, in the form of draft or final guidance documents (including advisory opinions, compliance policy guides and guidelines); and (c) such other industry standards as may be agreed upon by the Parties as applicable to Licensed Product.</w:t>
      </w:r>
    </w:p>
    <w:p>
      <w:pPr>
        <w:spacing w:after="0" w:line="65"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 clinical trial in human subjects that has been approved by a Regulatory Authority and Institutional Review Board or Ethics Committee, and is designed to measure the safety and/or efficacy of Licensed Product. Clinical Trials shall include, but are not limited to, Pivotal Trials.</w:t>
      </w:r>
    </w:p>
    <w:p>
      <w:pPr>
        <w:spacing w:after="0" w:line="81" w:lineRule="exact"/>
        <w:rPr>
          <w:sz w:val="20"/>
          <w:szCs w:val="20"/>
          <w:color w:val="auto"/>
        </w:rPr>
      </w:pPr>
    </w:p>
    <w:p>
      <w:pPr>
        <w:jc w:val="both"/>
        <w:ind w:left="540" w:right="220" w:hanging="539"/>
        <w:spacing w:after="0" w:line="266" w:lineRule="auto"/>
        <w:tabs>
          <w:tab w:leader="none" w:pos="5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product comprised of a combination of a Licensed Product and at least one other product where the other product is an active ingredient, device, delivery system or other separately sold product co-packaged such that the Licensed Product and other product is integrated in a singular product.</w:t>
      </w:r>
    </w:p>
    <w:p>
      <w:pPr>
        <w:spacing w:after="0" w:line="81" w:lineRule="exact"/>
        <w:rPr>
          <w:sz w:val="20"/>
          <w:szCs w:val="20"/>
          <w:color w:val="auto"/>
        </w:rPr>
      </w:pPr>
    </w:p>
    <w:p>
      <w:pPr>
        <w:ind w:left="540" w:right="400" w:hanging="539"/>
        <w:spacing w:after="0" w:line="266" w:lineRule="auto"/>
        <w:tabs>
          <w:tab w:leader="none" w:pos="5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undertaken before and after Regulatory Approval of a BLA for the Licensed Product that relate to the marketing, promoting, distributing, importing or exporting for sale, offering for sale, and selling of the Licensed Product, and interacting with Regulatory Authorities regarding the foregoing.</w:t>
      </w:r>
    </w:p>
    <w:p>
      <w:pPr>
        <w:spacing w:after="0" w:line="81" w:lineRule="exact"/>
        <w:rPr>
          <w:sz w:val="20"/>
          <w:szCs w:val="20"/>
          <w:color w:val="auto"/>
        </w:rPr>
      </w:pPr>
    </w:p>
    <w:p>
      <w:pPr>
        <w:ind w:left="540" w:right="100" w:hanging="539"/>
        <w:spacing w:after="0" w:line="293" w:lineRule="auto"/>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(a) with respect to the efforts to be expended by a Party with respect to any objective, such reasonable, diligent, and good faith efforts as such Party would normally use to accomplish a similar objective under similar circumstances; and</w:t>
      </w:r>
    </w:p>
    <w:p>
      <w:pPr>
        <w:spacing w:after="0" w:line="1" w:lineRule="exact"/>
        <w:rPr>
          <w:sz w:val="20"/>
          <w:szCs w:val="20"/>
          <w:color w:val="auto"/>
        </w:rPr>
      </w:pPr>
    </w:p>
    <w:p>
      <w:pPr>
        <w:ind w:left="540" w:hanging="4"/>
        <w:spacing w:after="0" w:line="268" w:lineRule="auto"/>
        <w:tabs>
          <w:tab w:leader="none" w:pos="79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with respect to any objective relating to Development or Commercialization of the Licensed Product by a Party, the application by such Party, consistent with the exercise of its prudent scientific and business judgment, of diligent efforts and resources to fulfill the obligation in issue, consistent with the level of efforts a similarly situated pharmaceutical company would devote to a product at a similar stage in its product life as the Licensed Product and having profit potential and strategic value comparable to that of the Licensed Product, taking into account, without limitation, commercial, legal and regulatory factors, target product profiles, product labeling, past performance, the regulatory environment and competitive market conditions in the therapeutic area, safety and efficacy of the Licensed Product, the strength of its proprietary position and such other factors as such Party may reasonably consider, all based on conditions then prevailing. For clarity, Commercially Reasonable Efforts will not mean that a Party guarantees that it will actually accomplish the applicable task or objective.</w:t>
      </w:r>
    </w:p>
    <w:p>
      <w:pPr>
        <w:spacing w:after="0" w:line="85"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Arial" w:cs="Arial" w:eastAsia="Arial" w:hAnsi="Arial"/>
          <w:sz w:val="18"/>
          <w:szCs w:val="18"/>
          <w:color w:val="auto"/>
        </w:rPr>
        <w:t>1.11</w:t>
        <w:tab/>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means information relating to the business, operations or products of a Party or any of its Affiliates, including any Know-How, that such Party discloses to the other Party under this Agreement, or otherwise becomes known to the other Party by virtue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73" w:name="page474"/>
    <w:bookmarkEnd w:id="473"/>
    <w:p>
      <w:pPr>
        <w:ind w:left="540" w:right="220" w:hanging="539"/>
        <w:spacing w:after="0" w:line="25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w:t>
        <w:tab/>
        <w:t>“</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 Patents, (b) Know-How or (c) biological, chemical or physical material, that a Party or one of its Affiliates owns or has a license or sublicense to such Patents, Know-How or material (or in the case of material, has the right to physical possession of such material) and has the ability to grant a license or sublicense to, or assign its right, title and interest in and to, such Patents, Know-How or material as provided for in this Agreement without violating the terms of any agreement or other arrangement with any Third Party.</w:t>
      </w:r>
    </w:p>
    <w:p>
      <w:pPr>
        <w:spacing w:after="0" w:line="89" w:lineRule="exact"/>
        <w:rPr>
          <w:sz w:val="20"/>
          <w:szCs w:val="20"/>
          <w:color w:val="auto"/>
        </w:rPr>
      </w:pPr>
    </w:p>
    <w:p>
      <w:pPr>
        <w:jc w:val="center"/>
        <w:ind w:right="160"/>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Cover</w:t>
      </w:r>
      <w:r>
        <w:rPr>
          <w:rFonts w:ascii="Arial" w:cs="Arial" w:eastAsia="Arial" w:hAnsi="Arial"/>
          <w:sz w:val="16"/>
          <w:szCs w:val="16"/>
          <w:color w:val="auto"/>
        </w:rPr>
        <w:t>”, “</w:t>
      </w:r>
      <w:r>
        <w:rPr>
          <w:rFonts w:ascii="Arial" w:cs="Arial" w:eastAsia="Arial" w:hAnsi="Arial"/>
          <w:sz w:val="16"/>
          <w:szCs w:val="16"/>
          <w:b w:val="1"/>
          <w:bCs w:val="1"/>
          <w:color w:val="auto"/>
        </w:rPr>
        <w:t>Covering</w:t>
      </w:r>
      <w:r>
        <w:rPr>
          <w:rFonts w:ascii="Arial" w:cs="Arial" w:eastAsia="Arial" w:hAnsi="Arial"/>
          <w:sz w:val="16"/>
          <w:szCs w:val="16"/>
          <w:color w:val="auto"/>
        </w:rPr>
        <w:t>” or “</w:t>
      </w:r>
      <w:r>
        <w:rPr>
          <w:rFonts w:ascii="Arial" w:cs="Arial" w:eastAsia="Arial" w:hAnsi="Arial"/>
          <w:sz w:val="16"/>
          <w:szCs w:val="16"/>
          <w:b w:val="1"/>
          <w:bCs w:val="1"/>
          <w:color w:val="auto"/>
        </w:rPr>
        <w:t>Covered</w:t>
      </w:r>
      <w:r>
        <w:rPr>
          <w:rFonts w:ascii="Arial" w:cs="Arial" w:eastAsia="Arial" w:hAnsi="Arial"/>
          <w:sz w:val="16"/>
          <w:szCs w:val="16"/>
          <w:color w:val="auto"/>
        </w:rPr>
        <w:t>” means, with respect to Licensed Product, that the making, using, selling, or offering for sale of Licensed Product would, but for a license granted in this Agreement under the Licensed Patents, infringe a Valid Claim of the Licensed Patents.</w:t>
      </w:r>
    </w:p>
    <w:p>
      <w:pPr>
        <w:spacing w:after="0" w:line="21" w:lineRule="exact"/>
        <w:rPr>
          <w:sz w:val="20"/>
          <w:szCs w:val="20"/>
          <w:color w:val="auto"/>
        </w:rPr>
      </w:pPr>
    </w:p>
    <w:p>
      <w:pPr>
        <w:ind w:left="540" w:right="240" w:hanging="539"/>
        <w:spacing w:after="0" w:line="303"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w:t>
      </w:r>
      <w:r>
        <w:rPr>
          <w:rFonts w:ascii="Arial" w:cs="Arial" w:eastAsia="Arial" w:hAnsi="Arial"/>
          <w:sz w:val="16"/>
          <w:szCs w:val="16"/>
          <w:color w:val="auto"/>
        </w:rPr>
        <w:t>” or “</w:t>
      </w:r>
      <w:r>
        <w:rPr>
          <w:rFonts w:ascii="Arial" w:cs="Arial" w:eastAsia="Arial" w:hAnsi="Arial"/>
          <w:sz w:val="16"/>
          <w:szCs w:val="16"/>
          <w:b w:val="1"/>
          <w:bCs w:val="1"/>
          <w:color w:val="auto"/>
        </w:rPr>
        <w:t>Develop</w:t>
      </w:r>
      <w:r>
        <w:rPr>
          <w:rFonts w:ascii="Arial" w:cs="Arial" w:eastAsia="Arial" w:hAnsi="Arial"/>
          <w:sz w:val="16"/>
          <w:szCs w:val="16"/>
          <w:color w:val="auto"/>
        </w:rPr>
        <w:t>” means, with respect to the Licensed Product, the performance of all pre-clinical and clinical development (including toxicology, pharmacology, test method development and stability testing, process development, formulation development, quality control development, statistical analysis), Clinical Trials (excluding Clinical Trials conducted after Regulatory Approval of a BLA), manufacturing and regulatory activities that are required to obtain Regulatory Approval of Licensed Product in the Territory.</w:t>
      </w:r>
    </w:p>
    <w:p>
      <w:pPr>
        <w:spacing w:after="0" w:line="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means, together, [***] of Company and the [***] of Licensor.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Third-Party Agreement(s)</w:t>
      </w:r>
      <w:r>
        <w:rPr>
          <w:rFonts w:ascii="Arial" w:cs="Arial" w:eastAsia="Arial" w:hAnsi="Arial"/>
          <w:sz w:val="16"/>
          <w:szCs w:val="16"/>
          <w:color w:val="auto"/>
        </w:rPr>
        <w:t xml:space="preserve">” means the agreement(s) set forth on </w:t>
      </w:r>
      <w:r>
        <w:rPr>
          <w:rFonts w:ascii="Arial" w:cs="Arial" w:eastAsia="Arial" w:hAnsi="Arial"/>
          <w:sz w:val="16"/>
          <w:szCs w:val="16"/>
          <w:u w:val="single" w:color="auto"/>
          <w:color w:val="auto"/>
        </w:rPr>
        <w:t>Schedule 1.16</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 successor federal agency thereto.</w:t>
      </w:r>
    </w:p>
    <w:p>
      <w:pPr>
        <w:spacing w:after="0" w:line="131"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Arial" w:cs="Arial" w:eastAsia="Arial" w:hAnsi="Arial"/>
          <w:sz w:val="18"/>
          <w:szCs w:val="18"/>
          <w:color w:val="auto"/>
        </w:rPr>
        <w:t>1.18</w:t>
        <w:tab/>
        <w:t>“</w:t>
      </w:r>
      <w:r>
        <w:rPr>
          <w:rFonts w:ascii="Arial" w:cs="Arial" w:eastAsia="Arial" w:hAnsi="Arial"/>
          <w:sz w:val="18"/>
          <w:szCs w:val="18"/>
          <w:b w:val="1"/>
          <w:bCs w:val="1"/>
          <w:color w:val="auto"/>
        </w:rPr>
        <w:t>Field</w:t>
      </w:r>
      <w:r>
        <w:rPr>
          <w:rFonts w:ascii="Arial" w:cs="Arial" w:eastAsia="Arial" w:hAnsi="Arial"/>
          <w:sz w:val="18"/>
          <w:szCs w:val="18"/>
          <w:color w:val="auto"/>
        </w:rPr>
        <w:t>” means, and is limited to, the practice of the Licensed Patents, Licensed Material, and Licensed Know-How for gene therapy for the prevention, treatment or diagnosis of CLN1 Disease in humans.</w:t>
      </w:r>
    </w:p>
    <w:p>
      <w:pPr>
        <w:spacing w:after="0" w:line="67" w:lineRule="exact"/>
        <w:rPr>
          <w:sz w:val="20"/>
          <w:szCs w:val="20"/>
          <w:color w:val="auto"/>
        </w:rPr>
      </w:pPr>
    </w:p>
    <w:p>
      <w:pPr>
        <w:jc w:val="both"/>
        <w:ind w:left="540" w:right="340" w:hanging="539"/>
        <w:spacing w:after="0" w:line="314" w:lineRule="auto"/>
        <w:tabs>
          <w:tab w:leader="none" w:pos="5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of Licensed Product(s) means any transfer for value in an arms-length transaction to an independent Third Party distributor, agent or end user in a country after obtaining all Regulatory Approvals from applicable Regulatory Authorities required for the manufacture, importation, marketing, promotion, pricing, reimbursement and sale of the Licensed Product(s) in such country.</w:t>
      </w:r>
    </w:p>
    <w:p>
      <w:pPr>
        <w:spacing w:after="0" w:line="47"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1.20</w:t>
        <w:tab/>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93"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Arial" w:cs="Arial" w:eastAsia="Arial" w:hAnsi="Arial"/>
          <w:sz w:val="18"/>
          <w:szCs w:val="18"/>
          <w:color w:val="auto"/>
        </w:rPr>
        <w:t>1.21</w:t>
        <w:tab/>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submitted to applicable Regulatory Authorities for approval to commence Clinical Trials in a given jurisdiction.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270" w:right="579" w:bottom="1440" w:gutter="0" w:footer="0" w:header="0"/>
        </w:sectPr>
      </w:pPr>
    </w:p>
    <w:bookmarkStart w:id="474" w:name="page475"/>
    <w:bookmarkEnd w:id="474"/>
    <w:p>
      <w:pPr>
        <w:ind w:left="540" w:hanging="539"/>
        <w:spacing w:after="0" w:line="28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 scientific or technical information, results or data of any type whatsoever, in any tangible or intangible form whatsoever, that is not in the public domain or otherwise publicly known, including, without limitation,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including, without limitation, plasmids, viruses, cells, cell lines, assays, animal models and physical, biological or chemical material, including drug substance samples, intermediates of drug substance samples, drug product samples and intermediates of drug product samples. The fact that an item is known to the public shall not be taken to exclude the possibility that a compilation including the item, and/or a development relating to the item, is (and remains) not known to the public. “Know-How” includes any rights including copyright, database or design rights protecting such Know-How. “Know-How” excludes Patents.</w:t>
      </w:r>
    </w:p>
    <w:p>
      <w:pPr>
        <w:spacing w:after="0" w:line="69"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laws, statutes, rules, regulations, ordinances and other pronouncements having the binding effect of law of any Governmental Body.</w:t>
      </w:r>
    </w:p>
    <w:p>
      <w:pPr>
        <w:spacing w:after="0" w:line="67"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Arial" w:cs="Arial" w:eastAsia="Arial" w:hAnsi="Arial"/>
          <w:sz w:val="18"/>
          <w:szCs w:val="18"/>
          <w:color w:val="auto"/>
        </w:rPr>
        <w:t>1.24</w:t>
        <w:tab/>
        <w:t>“</w:t>
      </w:r>
      <w:r>
        <w:rPr>
          <w:rFonts w:ascii="Arial" w:cs="Arial" w:eastAsia="Arial" w:hAnsi="Arial"/>
          <w:sz w:val="18"/>
          <w:szCs w:val="18"/>
          <w:b w:val="1"/>
          <w:bCs w:val="1"/>
          <w:color w:val="auto"/>
        </w:rPr>
        <w:t>Licensed Know-How</w:t>
      </w:r>
      <w:r>
        <w:rPr>
          <w:rFonts w:ascii="Arial" w:cs="Arial" w:eastAsia="Arial" w:hAnsi="Arial"/>
          <w:sz w:val="18"/>
          <w:szCs w:val="18"/>
          <w:color w:val="auto"/>
        </w:rPr>
        <w:t xml:space="preserve">” means all Know-How that is Controlled by Licensor or any of its Affiliates, as of the Effective Date that is necessary or useful in the research, Development, manufacture, use, or Commercialization of Licensed Products. The Licensed Know-How shall include all Know-How set forth on </w:t>
      </w:r>
      <w:r>
        <w:rPr>
          <w:rFonts w:ascii="Arial" w:cs="Arial" w:eastAsia="Arial" w:hAnsi="Arial"/>
          <w:sz w:val="18"/>
          <w:szCs w:val="18"/>
          <w:u w:val="single" w:color="auto"/>
          <w:color w:val="auto"/>
        </w:rPr>
        <w:t>Schedule 1.24</w:t>
      </w:r>
      <w:r>
        <w:rPr>
          <w:rFonts w:ascii="Arial" w:cs="Arial" w:eastAsia="Arial" w:hAnsi="Arial"/>
          <w:sz w:val="18"/>
          <w:szCs w:val="18"/>
          <w:color w:val="auto"/>
        </w:rPr>
        <w:t>.</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Materials</w:t>
      </w:r>
      <w:r>
        <w:rPr>
          <w:rFonts w:ascii="Arial" w:cs="Arial" w:eastAsia="Arial" w:hAnsi="Arial"/>
          <w:sz w:val="16"/>
          <w:szCs w:val="16"/>
          <w:color w:val="auto"/>
        </w:rPr>
        <w:t xml:space="preserve">” means the chemical, biological or physical materials that are set forth on </w:t>
      </w:r>
      <w:r>
        <w:rPr>
          <w:rFonts w:ascii="Arial" w:cs="Arial" w:eastAsia="Arial" w:hAnsi="Arial"/>
          <w:sz w:val="16"/>
          <w:szCs w:val="16"/>
          <w:u w:val="single" w:color="auto"/>
          <w:color w:val="auto"/>
        </w:rPr>
        <w:t>Schedule 1.25</w:t>
      </w:r>
      <w:r>
        <w:rPr>
          <w:rFonts w:ascii="Arial" w:cs="Arial" w:eastAsia="Arial" w:hAnsi="Arial"/>
          <w:sz w:val="16"/>
          <w:szCs w:val="16"/>
          <w:color w:val="auto"/>
        </w:rPr>
        <w:t>.</w:t>
      </w:r>
    </w:p>
    <w:p>
      <w:pPr>
        <w:spacing w:after="0" w:line="131" w:lineRule="exact"/>
        <w:rPr>
          <w:sz w:val="20"/>
          <w:szCs w:val="20"/>
          <w:color w:val="auto"/>
        </w:rPr>
      </w:pPr>
    </w:p>
    <w:p>
      <w:pPr>
        <w:ind w:left="540" w:right="80" w:hanging="539"/>
        <w:spacing w:after="0" w:line="298" w:lineRule="auto"/>
        <w:tabs>
          <w:tab w:leader="none" w:pos="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Patents</w:t>
      </w:r>
      <w:r>
        <w:rPr>
          <w:rFonts w:ascii="Arial" w:cs="Arial" w:eastAsia="Arial" w:hAnsi="Arial"/>
          <w:sz w:val="16"/>
          <w:szCs w:val="16"/>
          <w:color w:val="auto"/>
        </w:rPr>
        <w:t xml:space="preserve">” means the Patents listed on </w:t>
      </w:r>
      <w:r>
        <w:rPr>
          <w:rFonts w:ascii="Arial" w:cs="Arial" w:eastAsia="Arial" w:hAnsi="Arial"/>
          <w:sz w:val="16"/>
          <w:szCs w:val="16"/>
          <w:u w:val="single" w:color="auto"/>
          <w:color w:val="auto"/>
        </w:rPr>
        <w:t>Schedule 1.26</w:t>
      </w:r>
      <w:r>
        <w:rPr>
          <w:rFonts w:ascii="Arial" w:cs="Arial" w:eastAsia="Arial" w:hAnsi="Arial"/>
          <w:sz w:val="16"/>
          <w:szCs w:val="16"/>
          <w:color w:val="auto"/>
        </w:rPr>
        <w:t xml:space="preserve">, (b) the Patent Rights (as defined by the UNC Agreement) to the extent not already set forth on </w:t>
      </w:r>
      <w:r>
        <w:rPr>
          <w:rFonts w:ascii="Arial" w:cs="Arial" w:eastAsia="Arial" w:hAnsi="Arial"/>
          <w:sz w:val="16"/>
          <w:szCs w:val="16"/>
          <w:u w:val="single" w:color="auto"/>
          <w:color w:val="auto"/>
        </w:rPr>
        <w:t>Schedule 1.26</w:t>
      </w:r>
      <w:r>
        <w:rPr>
          <w:rFonts w:ascii="Arial" w:cs="Arial" w:eastAsia="Arial" w:hAnsi="Arial"/>
          <w:sz w:val="16"/>
          <w:szCs w:val="16"/>
          <w:color w:val="auto"/>
        </w:rPr>
        <w:t xml:space="preserve">, and (c) any Patents Controlled by Licensor or its Affiliates as of the Effective Date (to the extent not already set forth on </w:t>
      </w:r>
      <w:r>
        <w:rPr>
          <w:rFonts w:ascii="Arial" w:cs="Arial" w:eastAsia="Arial" w:hAnsi="Arial"/>
          <w:sz w:val="16"/>
          <w:szCs w:val="16"/>
          <w:u w:val="single" w:color="auto"/>
          <w:color w:val="auto"/>
        </w:rPr>
        <w:t>Schedule 1.26</w:t>
      </w:r>
      <w:r>
        <w:rPr>
          <w:rFonts w:ascii="Arial" w:cs="Arial" w:eastAsia="Arial" w:hAnsi="Arial"/>
          <w:sz w:val="16"/>
          <w:szCs w:val="16"/>
          <w:color w:val="auto"/>
        </w:rPr>
        <w:t xml:space="preserve"> as of the Effective Date) or during the Term that are necessary or useful to research, Develop, manufacture, use or Commercialize a Licensed Product with an AAV vector containing a nucleic acid transgene encoding a PPT1 polypeptide. Licensor shall update </w:t>
      </w:r>
      <w:r>
        <w:rPr>
          <w:rFonts w:ascii="Arial" w:cs="Arial" w:eastAsia="Arial" w:hAnsi="Arial"/>
          <w:sz w:val="16"/>
          <w:szCs w:val="16"/>
          <w:u w:val="single" w:color="auto"/>
          <w:color w:val="auto"/>
        </w:rPr>
        <w:t>Schedule 1.26</w:t>
      </w:r>
      <w:r>
        <w:rPr>
          <w:rFonts w:ascii="Arial" w:cs="Arial" w:eastAsia="Arial" w:hAnsi="Arial"/>
          <w:sz w:val="16"/>
          <w:szCs w:val="16"/>
          <w:color w:val="auto"/>
        </w:rPr>
        <w:t xml:space="preserve"> from time-to-time to include any new Patents Controlled by Licensor during the Term pursuant to clauses (b) and (c)..</w:t>
      </w:r>
    </w:p>
    <w:p>
      <w:pPr>
        <w:spacing w:after="0" w:line="59" w:lineRule="exact"/>
        <w:rPr>
          <w:sz w:val="20"/>
          <w:szCs w:val="20"/>
          <w:color w:val="auto"/>
        </w:rPr>
      </w:pPr>
    </w:p>
    <w:p>
      <w:pPr>
        <w:ind w:left="540" w:right="380" w:hanging="539"/>
        <w:spacing w:after="0" w:line="347" w:lineRule="auto"/>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or component part thereof for which the manufacture, use, importation or sale of which, absent the license granted under this Agreement, would infringe a Valid Claim of a Licensed Patent and/or that incorporate the Licensed Material.</w:t>
      </w:r>
    </w:p>
    <w:p>
      <w:pPr>
        <w:spacing w:after="0" w:line="21" w:lineRule="exact"/>
        <w:rPr>
          <w:sz w:val="20"/>
          <w:szCs w:val="20"/>
          <w:color w:val="auto"/>
        </w:rPr>
      </w:pPr>
    </w:p>
    <w:p>
      <w:pPr>
        <w:ind w:left="540" w:right="280" w:hanging="539"/>
        <w:spacing w:after="0" w:line="266" w:lineRule="auto"/>
        <w:tabs>
          <w:tab w:leader="none" w:pos="52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the Licensed Patents, the Licensed Know-How and the Licensed Materials. For the avoidance of doubt, the Licensed Technology includes any Licensed Patents, Licensed Know-How and/or Licensed Materials Controlled by Licensor pursuant to any Existing Third-Party Agreement.</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b w:val="1"/>
          <w:bCs w:val="1"/>
          <w:color w:val="auto"/>
        </w:rPr>
        <w:t>Market Exclusivity</w:t>
      </w:r>
      <w:r>
        <w:rPr>
          <w:rFonts w:ascii="Arial" w:cs="Arial" w:eastAsia="Arial" w:hAnsi="Arial"/>
          <w:sz w:val="18"/>
          <w:szCs w:val="18"/>
          <w:color w:val="auto"/>
        </w:rPr>
        <w:t>” means an exclusive benefit by grant or an exclusion under or from the FDA, European Medicines Agency or other similar Regulatory Authority, relating to a Licensed Product, including orphan drug protection or data exclusivity.</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75" w:name="page476"/>
    <w:bookmarkEnd w:id="475"/>
    <w:p>
      <w:pPr>
        <w:ind w:left="540" w:right="340" w:hanging="539"/>
        <w:spacing w:after="0" w:line="266"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1.31</w:t>
        <w:tab/>
        <w:t>“</w:t>
      </w:r>
      <w:r>
        <w:rPr>
          <w:rFonts w:ascii="Arial" w:cs="Arial" w:eastAsia="Arial" w:hAnsi="Arial"/>
          <w:sz w:val="18"/>
          <w:szCs w:val="18"/>
          <w:b w:val="1"/>
          <w:bCs w:val="1"/>
          <w:color w:val="auto"/>
        </w:rPr>
        <w:t>Out-of-Pocket Expenses</w:t>
      </w:r>
      <w:r>
        <w:rPr>
          <w:rFonts w:ascii="Arial" w:cs="Arial" w:eastAsia="Arial" w:hAnsi="Arial"/>
          <w:sz w:val="18"/>
          <w:szCs w:val="18"/>
          <w:color w:val="auto"/>
        </w:rPr>
        <w:t>” means expenses actually paid by a Party or its Affiliate to any Third Party; provided, that “</w:t>
      </w:r>
      <w:r>
        <w:rPr>
          <w:rFonts w:ascii="Arial" w:cs="Arial" w:eastAsia="Arial" w:hAnsi="Arial"/>
          <w:sz w:val="18"/>
          <w:szCs w:val="18"/>
          <w:b w:val="1"/>
          <w:bCs w:val="1"/>
          <w:color w:val="auto"/>
        </w:rPr>
        <w:t>Out-of-Pocket</w:t>
      </w:r>
      <w:r>
        <w:rPr>
          <w:rFonts w:ascii="Arial" w:cs="Arial" w:eastAsia="Arial" w:hAnsi="Arial"/>
          <w:sz w:val="18"/>
          <w:szCs w:val="18"/>
          <w:color w:val="auto"/>
        </w:rPr>
        <w:t xml:space="preserve"> </w:t>
      </w:r>
      <w:r>
        <w:rPr>
          <w:rFonts w:ascii="Arial" w:cs="Arial" w:eastAsia="Arial" w:hAnsi="Arial"/>
          <w:sz w:val="18"/>
          <w:szCs w:val="18"/>
          <w:b w:val="1"/>
          <w:bCs w:val="1"/>
          <w:color w:val="auto"/>
        </w:rPr>
        <w:t>Expenses</w:t>
      </w:r>
      <w:r>
        <w:rPr>
          <w:rFonts w:ascii="Arial" w:cs="Arial" w:eastAsia="Arial" w:hAnsi="Arial"/>
          <w:sz w:val="18"/>
          <w:szCs w:val="18"/>
          <w:color w:val="auto"/>
        </w:rPr>
        <w:t>” shall not include expenses paid to any consultants (or service providers of like kind), except for travel expenses associated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(or service provider of like kind).</w:t>
      </w:r>
    </w:p>
    <w:p>
      <w:pPr>
        <w:spacing w:after="0" w:line="81" w:lineRule="exact"/>
        <w:rPr>
          <w:sz w:val="20"/>
          <w:szCs w:val="20"/>
          <w:color w:val="auto"/>
        </w:rPr>
      </w:pPr>
    </w:p>
    <w:p>
      <w:pPr>
        <w:ind w:left="540" w:hanging="539"/>
        <w:spacing w:after="0" w:line="261" w:lineRule="auto"/>
        <w:tabs>
          <w:tab w:leader="none" w:pos="520"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b w:val="1"/>
          <w:bCs w:val="1"/>
          <w:color w:val="auto"/>
        </w:rPr>
        <w:t>Patents</w:t>
      </w:r>
      <w:r>
        <w:rPr>
          <w:rFonts w:ascii="Arial" w:cs="Arial" w:eastAsia="Arial" w:hAnsi="Arial"/>
          <w:sz w:val="18"/>
          <w:szCs w:val="18"/>
          <w:color w:val="auto"/>
        </w:rPr>
        <w:t>” means: (a) an issued or granted patent, including any extension, supplemental protection certificate, registration, confirmation, reissue, reexamination or renewal thereof; (b) a pending patent application, including any continuation, divisional, continuation-in-part, substitute or provisional application thereof; and (c) all counterparts or foreign equivalents of any of the foregoing issued by or filed in any country or other jurisdiction.</w:t>
      </w:r>
    </w:p>
    <w:p>
      <w:pPr>
        <w:spacing w:after="0" w:line="85"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Arial" w:cs="Arial" w:eastAsia="Arial" w:hAnsi="Arial"/>
          <w:sz w:val="18"/>
          <w:szCs w:val="18"/>
          <w:color w:val="auto"/>
        </w:rPr>
        <w:t>1.33</w:t>
        <w:tab/>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67" w:lineRule="exact"/>
        <w:rPr>
          <w:sz w:val="20"/>
          <w:szCs w:val="20"/>
          <w:color w:val="auto"/>
        </w:rPr>
      </w:pPr>
    </w:p>
    <w:p>
      <w:pPr>
        <w:ind w:left="540" w:right="120" w:hanging="539"/>
        <w:spacing w:after="0" w:line="291" w:lineRule="auto"/>
        <w:tabs>
          <w:tab w:leader="none" w:pos="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Pivotal Trial</w:t>
      </w:r>
      <w:r>
        <w:rPr>
          <w:rFonts w:ascii="Arial" w:cs="Arial" w:eastAsia="Arial" w:hAnsi="Arial"/>
          <w:sz w:val="16"/>
          <w:szCs w:val="16"/>
          <w:color w:val="auto"/>
        </w:rPr>
        <w:t>” means either (a) a Clinical Trial, the principal purpose of which is to demonstrate clinically and statistically the efficacy and safety of a Licensed Product as a basis for obtaining Regulatory Approval, and has been recognized and approved as such by the Regulatory Authority, or (b) a Clinical Trial of a Licensed Product on a sufficient number of subjects that satisfies both of the following (i) and (ii): (i) such trial is designed to establish that such Licensed Product has an acceptable safety and efficacy profile for its intended use, and to determine warnings, precautions, and adverse reactions that are associated with such Licensed Product, which trial is intended to support Regulatory Approval of such Licensed Product; and (ii) such trial is a registration trial intended to be sufficient to support the filing of an application for Regulatory Approval for such Licensed Product in the US, or applicable country, as evidenced by (A) an agreement with or statement from the FDA or its foreign equivalent, or (B) other guidance or minutes issued by the FDA or its foreign equivalent, for such registration trial.</w:t>
      </w:r>
    </w:p>
    <w:p>
      <w:pPr>
        <w:spacing w:after="0" w:line="65" w:lineRule="exact"/>
        <w:rPr>
          <w:sz w:val="20"/>
          <w:szCs w:val="20"/>
          <w:color w:val="auto"/>
        </w:rPr>
      </w:pPr>
    </w:p>
    <w:p>
      <w:pPr>
        <w:ind w:left="540" w:right="340" w:hanging="539"/>
        <w:spacing w:after="0" w:line="312" w:lineRule="auto"/>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Price Approvals</w:t>
      </w:r>
      <w:r>
        <w:rPr>
          <w:rFonts w:ascii="Arial" w:cs="Arial" w:eastAsia="Arial" w:hAnsi="Arial"/>
          <w:sz w:val="17"/>
          <w:szCs w:val="17"/>
          <w:color w:val="auto"/>
        </w:rPr>
        <w:t>” means, in those countries in the Territory where Regulatory Authorities may approve or determine pricing and/or pricing reimbursement for pharmaceutical products, such pricing and/or pricing reimbursement approval or determination.</w:t>
      </w:r>
    </w:p>
    <w:p>
      <w:pPr>
        <w:spacing w:after="0" w:line="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the FDA or any foreign equivalent.</w:t>
      </w:r>
    </w:p>
    <w:p>
      <w:pPr>
        <w:spacing w:after="0" w:line="131" w:lineRule="exact"/>
        <w:rPr>
          <w:sz w:val="20"/>
          <w:szCs w:val="20"/>
          <w:color w:val="auto"/>
        </w:rPr>
      </w:pPr>
    </w:p>
    <w:p>
      <w:pPr>
        <w:ind w:left="540" w:right="220" w:hanging="539"/>
        <w:spacing w:after="0" w:line="261" w:lineRule="auto"/>
        <w:tabs>
          <w:tab w:leader="none" w:pos="520" w:val="left"/>
        </w:tabs>
        <w:rPr>
          <w:sz w:val="20"/>
          <w:szCs w:val="20"/>
          <w:color w:val="auto"/>
        </w:rPr>
      </w:pPr>
      <w:r>
        <w:rPr>
          <w:rFonts w:ascii="Arial" w:cs="Arial" w:eastAsia="Arial" w:hAnsi="Arial"/>
          <w:sz w:val="18"/>
          <w:szCs w:val="18"/>
          <w:color w:val="auto"/>
        </w:rPr>
        <w:t>1.37</w:t>
        <w:tab/>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any and all approvals, licenses, registrations, or authorizations of the relevant Regulatory Authority, including Price Approvals, necessary for the Development, manufacture, use, storage, import, transport or Commercialization of Licensed Product in a particular country or jurisdiction. For the avoidance of doubt, Regulatory Approval to Commercialize Licensed Product shall include Price Approval.</w:t>
      </w:r>
    </w:p>
    <w:p>
      <w:pPr>
        <w:spacing w:after="0" w:line="85" w:lineRule="exact"/>
        <w:rPr>
          <w:sz w:val="20"/>
          <w:szCs w:val="20"/>
          <w:color w:val="auto"/>
        </w:rPr>
      </w:pPr>
    </w:p>
    <w:p>
      <w:pPr>
        <w:ind w:left="540" w:hanging="539"/>
        <w:spacing w:after="0" w:line="294" w:lineRule="auto"/>
        <w:tabs>
          <w:tab w:leader="none" w:pos="5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on a Licensed Product-by-Licensed Product and country-by-country basis, the period from the First Commercial Sale of such Licensed Product in such country until the later of (a) the expiration or revocation or complete rejection of the last to expire or to be revoked or to be completely rejected of any Licensed Patent Covering such Licensed Product in the country in which the Licensed Product is sold, (b) the loss of Market Exclusivity in the country in which such Licensed Product is sold, or (c) if no Licensed Patent exists in the country where the Licensed Product is sold Covering the manufacture, use or sale of the Licensed Product and no Market Exclusivity exists in the country in which the Licensed Product is sold, ten (10) years from the First Commercial Sale of such Licensed Product in such country.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476" w:name="page477"/>
    <w:bookmarkEnd w:id="476"/>
    <w:p>
      <w:pPr>
        <w:ind w:left="540" w:right="28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1.39</w:t>
        <w:tab/>
        <w:t>“</w:t>
      </w:r>
      <w:r>
        <w:rPr>
          <w:rFonts w:ascii="Arial" w:cs="Arial" w:eastAsia="Arial" w:hAnsi="Arial"/>
          <w:sz w:val="18"/>
          <w:szCs w:val="18"/>
          <w:b w:val="1"/>
          <w:bCs w:val="1"/>
          <w:color w:val="auto"/>
        </w:rPr>
        <w:t>Sublicensee</w:t>
      </w:r>
      <w:r>
        <w:rPr>
          <w:rFonts w:ascii="Arial" w:cs="Arial" w:eastAsia="Arial" w:hAnsi="Arial"/>
          <w:sz w:val="18"/>
          <w:szCs w:val="18"/>
          <w:color w:val="auto"/>
        </w:rPr>
        <w:t>” means any Person other than an Affiliate of Company to which Company (or its Affiliates) grants a sublicense under Licensed Patents or Licensed Know-How.</w:t>
      </w:r>
    </w:p>
    <w:p>
      <w:pPr>
        <w:spacing w:after="0" w:line="67" w:lineRule="exact"/>
        <w:rPr>
          <w:sz w:val="20"/>
          <w:szCs w:val="20"/>
          <w:color w:val="auto"/>
        </w:rPr>
      </w:pPr>
    </w:p>
    <w:p>
      <w:pPr>
        <w:jc w:val="center"/>
        <w:ind w:right="480"/>
        <w:spacing w:after="0"/>
        <w:tabs>
          <w:tab w:leader="none" w:pos="20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any federal, state, local or foreign income, gross receipts, license, payroll, employment, excise, severance, stamp,</w:t>
      </w:r>
    </w:p>
    <w:p>
      <w:pPr>
        <w:spacing w:after="0" w:line="27" w:lineRule="exact"/>
        <w:rPr>
          <w:sz w:val="20"/>
          <w:szCs w:val="20"/>
          <w:color w:val="auto"/>
        </w:rPr>
      </w:pPr>
    </w:p>
    <w:p>
      <w:pPr>
        <w:ind w:left="540" w:right="640"/>
        <w:spacing w:after="0" w:line="302" w:lineRule="auto"/>
        <w:rPr>
          <w:sz w:val="20"/>
          <w:szCs w:val="20"/>
          <w:color w:val="auto"/>
        </w:rPr>
      </w:pPr>
      <w:r>
        <w:rPr>
          <w:rFonts w:ascii="Arial" w:cs="Arial" w:eastAsia="Arial" w:hAnsi="Arial"/>
          <w:sz w:val="16"/>
          <w:szCs w:val="16"/>
          <w:color w:val="auto"/>
        </w:rPr>
        <w:t>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5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all the countries of the world.</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Licensor, Company or any of their respective Affiliates.</w:t>
      </w:r>
    </w:p>
    <w:p>
      <w:pPr>
        <w:spacing w:after="0" w:line="131" w:lineRule="exact"/>
        <w:rPr>
          <w:sz w:val="20"/>
          <w:szCs w:val="20"/>
          <w:color w:val="auto"/>
        </w:rPr>
      </w:pPr>
    </w:p>
    <w:p>
      <w:pPr>
        <w:ind w:left="540" w:hanging="539"/>
        <w:spacing w:after="0" w:line="281" w:lineRule="auto"/>
        <w:tabs>
          <w:tab w:leader="none" w:pos="5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Party License Agreement</w:t>
      </w:r>
      <w:r>
        <w:rPr>
          <w:rFonts w:ascii="Arial" w:cs="Arial" w:eastAsia="Arial" w:hAnsi="Arial"/>
          <w:sz w:val="17"/>
          <w:szCs w:val="17"/>
          <w:color w:val="auto"/>
        </w:rPr>
        <w:t>” means any agreement entered into by a Party or its Affiliate with a Third Party, or any amendment or supplement thereto, in each case following the Effective Date, whereby royalties, fees or other payments are to be made by a Party or its Affiliate to such Third Party in connection with the grant of rights under intellectual property rights Controlled by such Third Party, which rights are necessary or useful to research, Develop, manufacture, have made, import, export, use or Commercialize Licensed Product.</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its territories and possessions.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lawful currency of the United States.</w:t>
      </w:r>
    </w:p>
    <w:p>
      <w:pPr>
        <w:spacing w:after="0" w:line="131" w:lineRule="exact"/>
        <w:rPr>
          <w:sz w:val="20"/>
          <w:szCs w:val="20"/>
          <w:color w:val="auto"/>
        </w:rPr>
      </w:pPr>
    </w:p>
    <w:p>
      <w:pPr>
        <w:ind w:left="540" w:right="240" w:hanging="539"/>
        <w:spacing w:after="0" w:line="266" w:lineRule="auto"/>
        <w:tabs>
          <w:tab w:leader="none" w:pos="520" w:val="left"/>
        </w:tabs>
        <w:rPr>
          <w:sz w:val="20"/>
          <w:szCs w:val="20"/>
          <w:color w:val="auto"/>
        </w:rPr>
      </w:pPr>
      <w:r>
        <w:rPr>
          <w:rFonts w:ascii="Arial" w:cs="Arial" w:eastAsia="Arial" w:hAnsi="Arial"/>
          <w:sz w:val="18"/>
          <w:szCs w:val="18"/>
          <w:color w:val="auto"/>
        </w:rPr>
        <w:t>1.46</w:t>
        <w:tab/>
        <w:t>“</w:t>
      </w:r>
      <w:r>
        <w:rPr>
          <w:rFonts w:ascii="Arial" w:cs="Arial" w:eastAsia="Arial" w:hAnsi="Arial"/>
          <w:sz w:val="18"/>
          <w:szCs w:val="18"/>
          <w:b w:val="1"/>
          <w:bCs w:val="1"/>
          <w:color w:val="auto"/>
        </w:rPr>
        <w:t>UNC Agreement</w:t>
      </w:r>
      <w:r>
        <w:rPr>
          <w:rFonts w:ascii="Arial" w:cs="Arial" w:eastAsia="Arial" w:hAnsi="Arial"/>
          <w:sz w:val="18"/>
          <w:szCs w:val="18"/>
          <w:color w:val="auto"/>
        </w:rPr>
        <w:t>” means the license agreement entered into by Licensor and the University of North Carolina at Chapel Hill (“</w:t>
      </w:r>
      <w:r>
        <w:rPr>
          <w:rFonts w:ascii="Arial" w:cs="Arial" w:eastAsia="Arial" w:hAnsi="Arial"/>
          <w:sz w:val="18"/>
          <w:szCs w:val="18"/>
          <w:b w:val="1"/>
          <w:bCs w:val="1"/>
          <w:color w:val="auto"/>
        </w:rPr>
        <w:t>University</w:t>
      </w:r>
      <w:r>
        <w:rPr>
          <w:rFonts w:ascii="Arial" w:cs="Arial" w:eastAsia="Arial" w:hAnsi="Arial"/>
          <w:sz w:val="18"/>
          <w:szCs w:val="18"/>
          <w:color w:val="auto"/>
        </w:rPr>
        <w:t xml:space="preserve">”) dated September 16, 2016 and referencing “CLN1 Genome Designs for AAV Vectors, University File 16-0076,” as attached hereto as </w:t>
      </w:r>
      <w:r>
        <w:rPr>
          <w:rFonts w:ascii="Arial" w:cs="Arial" w:eastAsia="Arial" w:hAnsi="Arial"/>
          <w:sz w:val="18"/>
          <w:szCs w:val="18"/>
          <w:u w:val="single" w:color="auto"/>
          <w:color w:val="auto"/>
        </w:rPr>
        <w:t>Schedule 1.46</w:t>
      </w:r>
      <w:r>
        <w:rPr>
          <w:rFonts w:ascii="Arial" w:cs="Arial" w:eastAsia="Arial" w:hAnsi="Arial"/>
          <w:sz w:val="18"/>
          <w:szCs w:val="18"/>
          <w:color w:val="auto"/>
        </w:rPr>
        <w:t>.</w:t>
      </w:r>
    </w:p>
    <w:p>
      <w:pPr>
        <w:spacing w:after="0" w:line="81"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Arial" w:cs="Arial" w:eastAsia="Arial" w:hAnsi="Arial"/>
          <w:sz w:val="18"/>
          <w:szCs w:val="18"/>
          <w:color w:val="auto"/>
        </w:rPr>
        <w:t>1.47</w:t>
        <w:tab/>
        <w:t>“</w:t>
      </w:r>
      <w:r>
        <w:rPr>
          <w:rFonts w:ascii="Arial" w:cs="Arial" w:eastAsia="Arial" w:hAnsi="Arial"/>
          <w:sz w:val="18"/>
          <w:szCs w:val="18"/>
          <w:b w:val="1"/>
          <w:bCs w:val="1"/>
          <w:color w:val="auto"/>
        </w:rPr>
        <w:t>Valid Claim</w:t>
      </w:r>
      <w:r>
        <w:rPr>
          <w:rFonts w:ascii="Arial" w:cs="Arial" w:eastAsia="Arial" w:hAnsi="Arial"/>
          <w:sz w:val="18"/>
          <w:szCs w:val="18"/>
          <w:color w:val="auto"/>
        </w:rPr>
        <w:t>” means, with respect to the Licensed Patents, (a) any unexpired claim of an issued Patent that has not been found to be unpatentable, unenforceable or invalid by a court or other governmental agency of competent jurisdiction that is unappealable or unappealed in the time allowed for appeal; or (b) a claim of a pending application, which application claims a first priority no more than [***] prior to the date upon which pendency is determined. For purposes of clarification, if a claim in an application has been pending for more than [***] from its priority date, and a Patent subsequently issues containing such claim, then upon issuance of the Patent, the claim shall thereafter be considered a Valid Claim.</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b w:val="1"/>
          <w:bCs w:val="1"/>
          <w:color w:val="auto"/>
        </w:rPr>
        <w:t>Other Terms</w:t>
      </w:r>
      <w:r>
        <w:rPr>
          <w:rFonts w:ascii="Arial" w:cs="Arial" w:eastAsia="Arial" w:hAnsi="Arial"/>
          <w:sz w:val="16"/>
          <w:szCs w:val="16"/>
          <w:color w:val="auto"/>
        </w:rPr>
        <w:t>. The definition of each of the following terms is set forth in the section of the Agreement indicated below:</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364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Section</w:t>
            </w:r>
          </w:p>
        </w:tc>
      </w:tr>
      <w:tr>
        <w:trPr>
          <w:trHeight w:val="185"/>
        </w:trPr>
        <w:tc>
          <w:tcPr>
            <w:tcW w:w="86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w:t>
            </w:r>
          </w:p>
        </w:tc>
        <w:tc>
          <w:tcPr>
            <w:tcW w:w="1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40" w:type="dxa"/>
            <w:vAlign w:val="bottom"/>
            <w:tcBorders>
              <w:top w:val="single" w:sz="8" w:color="auto"/>
            </w:tcBorders>
          </w:tcPr>
          <w:p>
            <w:pPr>
              <w:spacing w:after="0" w:line="185" w:lineRule="exact"/>
              <w:rPr>
                <w:sz w:val="20"/>
                <w:szCs w:val="20"/>
                <w:color w:val="auto"/>
              </w:rPr>
            </w:pPr>
            <w:r>
              <w:rPr>
                <w:rFonts w:ascii="Arial" w:cs="Arial" w:eastAsia="Arial" w:hAnsi="Arial"/>
                <w:sz w:val="18"/>
                <w:szCs w:val="18"/>
                <w:color w:val="auto"/>
              </w:rPr>
              <w:t>6.3(b)(i)</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tc>
        <w:tc>
          <w:tcPr>
            <w:tcW w:w="36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w:t>
            </w:r>
          </w:p>
        </w:tc>
        <w:tc>
          <w:tcPr>
            <w:tcW w:w="4680" w:type="dxa"/>
            <w:vAlign w:val="bottom"/>
            <w:gridSpan w:val="2"/>
          </w:tcPr>
          <w:p>
            <w:pPr>
              <w:ind w:left="3640"/>
              <w:spacing w:after="0"/>
              <w:rPr>
                <w:sz w:val="20"/>
                <w:szCs w:val="20"/>
                <w:color w:val="auto"/>
              </w:rPr>
            </w:pPr>
            <w:r>
              <w:rPr>
                <w:rFonts w:ascii="Arial" w:cs="Arial" w:eastAsia="Arial" w:hAnsi="Arial"/>
                <w:sz w:val="18"/>
                <w:szCs w:val="18"/>
                <w:color w:val="auto"/>
              </w:rPr>
              <w:t>1.6</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CM&amp;C Know-How</w:t>
            </w:r>
            <w:r>
              <w:rPr>
                <w:rFonts w:ascii="Arial" w:cs="Arial" w:eastAsia="Arial" w:hAnsi="Arial"/>
                <w:sz w:val="18"/>
                <w:szCs w:val="18"/>
                <w:color w:val="auto"/>
              </w:rPr>
              <w:t>”</w:t>
            </w:r>
          </w:p>
        </w:tc>
        <w:tc>
          <w:tcPr>
            <w:tcW w:w="4680" w:type="dxa"/>
            <w:vAlign w:val="bottom"/>
            <w:gridSpan w:val="2"/>
          </w:tcPr>
          <w:p>
            <w:pPr>
              <w:ind w:left="3640"/>
              <w:spacing w:after="0"/>
              <w:rPr>
                <w:sz w:val="20"/>
                <w:szCs w:val="20"/>
                <w:color w:val="auto"/>
              </w:rPr>
            </w:pPr>
            <w:r>
              <w:rPr>
                <w:rFonts w:ascii="Arial" w:cs="Arial" w:eastAsia="Arial" w:hAnsi="Arial"/>
                <w:sz w:val="18"/>
                <w:szCs w:val="18"/>
                <w:color w:val="auto"/>
              </w:rPr>
              <w:t>2.4</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36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Indemnitees</w:t>
            </w:r>
            <w:r>
              <w:rPr>
                <w:rFonts w:ascii="Arial" w:cs="Arial" w:eastAsia="Arial" w:hAnsi="Arial"/>
                <w:sz w:val="18"/>
                <w:szCs w:val="18"/>
                <w:color w:val="auto"/>
              </w:rPr>
              <w:t>”</w:t>
            </w:r>
          </w:p>
        </w:tc>
        <w:tc>
          <w:tcPr>
            <w:tcW w:w="4680" w:type="dxa"/>
            <w:vAlign w:val="bottom"/>
            <w:gridSpan w:val="2"/>
          </w:tcPr>
          <w:p>
            <w:pPr>
              <w:ind w:left="3640"/>
              <w:spacing w:after="0"/>
              <w:rPr>
                <w:sz w:val="20"/>
                <w:szCs w:val="20"/>
                <w:color w:val="auto"/>
              </w:rPr>
            </w:pPr>
            <w:r>
              <w:rPr>
                <w:rFonts w:ascii="Arial" w:cs="Arial" w:eastAsia="Arial" w:hAnsi="Arial"/>
                <w:sz w:val="18"/>
                <w:szCs w:val="18"/>
                <w:color w:val="auto"/>
              </w:rPr>
              <w:t>9.2</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IP</w:t>
            </w:r>
            <w:r>
              <w:rPr>
                <w:rFonts w:ascii="Arial" w:cs="Arial" w:eastAsia="Arial" w:hAnsi="Arial"/>
                <w:sz w:val="18"/>
                <w:szCs w:val="18"/>
                <w:color w:val="auto"/>
              </w:rPr>
              <w:t>”</w:t>
            </w:r>
          </w:p>
        </w:tc>
        <w:tc>
          <w:tcPr>
            <w:tcW w:w="36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10.4(b)(ii)(6)</w:t>
            </w:r>
          </w:p>
        </w:tc>
      </w:tr>
      <w:tr>
        <w:trPr>
          <w:trHeight w:val="234"/>
        </w:trPr>
        <w:tc>
          <w:tcPr>
            <w:tcW w:w="280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Patent</w:t>
            </w:r>
            <w:r>
              <w:rPr>
                <w:rFonts w:ascii="Arial" w:cs="Arial" w:eastAsia="Arial" w:hAnsi="Arial"/>
                <w:sz w:val="18"/>
                <w:szCs w:val="18"/>
                <w:color w:val="auto"/>
              </w:rPr>
              <w:t>”</w:t>
            </w:r>
          </w:p>
        </w:tc>
        <w:tc>
          <w:tcPr>
            <w:tcW w:w="36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6.2(d)</w:t>
            </w:r>
          </w:p>
        </w:tc>
      </w:tr>
      <w:tr>
        <w:trPr>
          <w:trHeight w:val="365"/>
        </w:trPr>
        <w:tc>
          <w:tcPr>
            <w:tcW w:w="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40" w:type="dxa"/>
            <w:vAlign w:val="bottom"/>
          </w:tcPr>
          <w:p>
            <w:pPr>
              <w:jc w:val="right"/>
              <w:ind w:right="257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r>
    </w:tbl>
    <w:p>
      <w:pPr>
        <w:sectPr>
          <w:pgSz w:w="11900" w:h="16838" w:orient="portrait"/>
          <w:cols w:equalWidth="0" w:num="1">
            <w:col w:w="11000"/>
          </w:cols>
          <w:pgMar w:left="440" w:top="269" w:right="459" w:bottom="1440" w:gutter="0" w:footer="0" w:header="0"/>
        </w:sectPr>
      </w:pPr>
    </w:p>
    <w:bookmarkStart w:id="477" w:name="page478"/>
    <w:bookmarkEnd w:id="4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Support</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3.2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w w:val="85"/>
              </w:rPr>
              <w:t>Preamble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2.5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10.3.2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w w:val="85"/>
              </w:rPr>
              <w:t>Preamble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 Indemnitees</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9.1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2.4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Technology Transfer Plan</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2.4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w w:val="85"/>
              </w:rPr>
              <w:t>Preamble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3.2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Milestone</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5.3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Suspension IND</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5.2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10.1</w:t>
            </w:r>
          </w:p>
        </w:tc>
      </w:tr>
      <w:tr>
        <w:trPr>
          <w:trHeight w:val="234"/>
        </w:trPr>
        <w:tc>
          <w:tcPr>
            <w:tcW w:w="4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w:t>
            </w:r>
            <w:r>
              <w:rPr>
                <w:rFonts w:ascii="Arial" w:cs="Arial" w:eastAsia="Arial" w:hAnsi="Arial"/>
                <w:sz w:val="18"/>
                <w:szCs w:val="18"/>
                <w:color w:val="auto"/>
              </w:rPr>
              <w:t>”</w:t>
            </w:r>
          </w:p>
        </w:tc>
        <w:tc>
          <w:tcPr>
            <w:tcW w:w="2220" w:type="dxa"/>
            <w:vAlign w:val="bottom"/>
          </w:tcPr>
          <w:p>
            <w:pPr>
              <w:ind w:left="1540"/>
              <w:spacing w:after="0"/>
              <w:rPr>
                <w:sz w:val="20"/>
                <w:szCs w:val="20"/>
                <w:color w:val="auto"/>
              </w:rPr>
            </w:pPr>
            <w:r>
              <w:rPr>
                <w:rFonts w:ascii="Arial" w:cs="Arial" w:eastAsia="Arial" w:hAnsi="Arial"/>
                <w:sz w:val="18"/>
                <w:szCs w:val="18"/>
                <w:color w:val="auto"/>
              </w:rPr>
              <w:t>1.46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LICENSES AND OTHER RIGHTS</w:t>
      </w:r>
    </w:p>
    <w:p>
      <w:pPr>
        <w:spacing w:after="0" w:line="234" w:lineRule="exact"/>
        <w:rPr>
          <w:sz w:val="20"/>
          <w:szCs w:val="20"/>
          <w:color w:val="auto"/>
        </w:rPr>
      </w:pPr>
    </w:p>
    <w:p>
      <w:pPr>
        <w:ind w:left="540" w:right="100" w:hanging="539"/>
        <w:spacing w:after="0" w:line="293" w:lineRule="auto"/>
        <w:tabs>
          <w:tab w:leader="none" w:pos="5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Grant of License to Company</w:t>
      </w:r>
      <w:r>
        <w:rPr>
          <w:rFonts w:ascii="Arial" w:cs="Arial" w:eastAsia="Arial" w:hAnsi="Arial"/>
          <w:sz w:val="16"/>
          <w:szCs w:val="16"/>
          <w:color w:val="auto"/>
        </w:rPr>
        <w:t>. Subject to the terms and conditions of this Agreement, Licensor hereby grants to Company and its Affiliates an</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(even as to Licensor), worldwide, royalty-bearing right and license (with the right to sublicense, subject to the provisions of</w:t>
      </w:r>
    </w:p>
    <w:p>
      <w:pPr>
        <w:spacing w:after="0" w:line="1" w:lineRule="exact"/>
        <w:rPr>
          <w:sz w:val="20"/>
          <w:szCs w:val="20"/>
          <w:color w:val="auto"/>
        </w:rPr>
      </w:pPr>
    </w:p>
    <w:p>
      <w:pPr>
        <w:ind w:left="540" w:right="40"/>
        <w:spacing w:after="0" w:line="260" w:lineRule="auto"/>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 under the Licensed Technology to research, Develop, manufacture, have manufactured, use and Commercialize Licensed Product in the Field in the Territory.</w:t>
      </w:r>
    </w:p>
    <w:p>
      <w:pPr>
        <w:spacing w:after="0" w:line="87"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Grant of Sublicense by Company</w:t>
      </w:r>
      <w:r>
        <w:rPr>
          <w:rFonts w:ascii="Arial" w:cs="Arial" w:eastAsia="Arial" w:hAnsi="Arial"/>
          <w:sz w:val="18"/>
          <w:szCs w:val="18"/>
          <w:color w:val="auto"/>
        </w:rPr>
        <w:t>. Company shall have the right, in its sole discretion, to grant sublicenses, in whole or in part,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licenses granted in </w:t>
      </w:r>
      <w:r>
        <w:rPr>
          <w:rFonts w:ascii="Arial" w:cs="Arial" w:eastAsia="Arial" w:hAnsi="Arial"/>
          <w:sz w:val="18"/>
          <w:szCs w:val="18"/>
          <w:u w:val="single" w:color="auto"/>
          <w:color w:val="auto"/>
        </w:rPr>
        <w:t>Section 2.1</w:t>
      </w:r>
      <w:r>
        <w:rPr>
          <w:rFonts w:ascii="Arial" w:cs="Arial" w:eastAsia="Arial" w:hAnsi="Arial"/>
          <w:sz w:val="18"/>
          <w:szCs w:val="18"/>
          <w:color w:val="auto"/>
        </w:rPr>
        <w:t>; provided, however, that (a) the terms and conditions of each sublicense shall be consistent with the terms and conditions of this Agreement and the UNC Agreement and (b) the granting by Company of a sublicense shall not relieve Company of any of its obligations hereunder.</w:t>
      </w:r>
    </w:p>
    <w:p>
      <w:pPr>
        <w:spacing w:after="0" w:line="85" w:lineRule="exact"/>
        <w:rPr>
          <w:sz w:val="20"/>
          <w:szCs w:val="20"/>
          <w:color w:val="auto"/>
        </w:rPr>
      </w:pPr>
    </w:p>
    <w:p>
      <w:pPr>
        <w:ind w:left="540" w:hanging="539"/>
        <w:spacing w:after="0" w:line="258" w:lineRule="auto"/>
        <w:tabs>
          <w:tab w:leader="none" w:pos="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color w:val="auto"/>
        </w:rPr>
        <w:t>Technology Transfer</w:t>
      </w:r>
      <w:r>
        <w:rPr>
          <w:rFonts w:ascii="Arial" w:cs="Arial" w:eastAsia="Arial" w:hAnsi="Arial"/>
          <w:sz w:val="18"/>
          <w:szCs w:val="18"/>
          <w:color w:val="auto"/>
        </w:rPr>
        <w:t>. As soon as reasonably practicable after the Effective Date, but in no event later than [***] following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that Company shall have the right to reasonably extend such time period of time to the extent reasonably necessary to enable Company to receive the foregoing transfer), Licensor will transfer to Company, at Licensor’s cost and expense, the Licensed Know-How set forth on </w:t>
      </w:r>
      <w:r>
        <w:rPr>
          <w:rFonts w:ascii="Arial" w:cs="Arial" w:eastAsia="Arial" w:hAnsi="Arial"/>
          <w:sz w:val="18"/>
          <w:szCs w:val="18"/>
          <w:u w:val="single" w:color="auto"/>
          <w:color w:val="auto"/>
        </w:rPr>
        <w:t>Schedule 1.24</w:t>
      </w:r>
      <w:r>
        <w:rPr>
          <w:rFonts w:ascii="Arial" w:cs="Arial" w:eastAsia="Arial" w:hAnsi="Arial"/>
          <w:sz w:val="18"/>
          <w:szCs w:val="18"/>
          <w:color w:val="auto"/>
        </w:rPr>
        <w:t xml:space="preserve"> and Licensed Materials (except for Licensed Know-How and Licensed Materials relating to the manufacture of Licensed Product, which are the subject of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89" w:lineRule="exact"/>
        <w:rPr>
          <w:sz w:val="20"/>
          <w:szCs w:val="20"/>
          <w:color w:val="auto"/>
        </w:rPr>
      </w:pPr>
    </w:p>
    <w:p>
      <w:pPr>
        <w:ind w:left="540" w:right="80" w:hanging="539"/>
        <w:spacing w:after="0" w:line="271" w:lineRule="auto"/>
        <w:tabs>
          <w:tab w:leader="none" w:pos="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color w:val="auto"/>
        </w:rPr>
        <w:t>Manufacturing Technology Transfer</w:t>
      </w:r>
      <w:r>
        <w:rPr>
          <w:rFonts w:ascii="Arial" w:cs="Arial" w:eastAsia="Arial" w:hAnsi="Arial"/>
          <w:sz w:val="17"/>
          <w:szCs w:val="17"/>
          <w:color w:val="auto"/>
        </w:rPr>
        <w:t>. The technology transfer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referred to as the “</w:t>
      </w:r>
      <w:r>
        <w:rPr>
          <w:rFonts w:ascii="Arial" w:cs="Arial" w:eastAsia="Arial" w:hAnsi="Arial"/>
          <w:sz w:val="17"/>
          <w:szCs w:val="17"/>
          <w:b w:val="1"/>
          <w:bCs w:val="1"/>
          <w:color w:val="auto"/>
        </w:rPr>
        <w:t>Manufacturing Technology Transfer</w:t>
      </w:r>
      <w:r>
        <w:rPr>
          <w:rFonts w:ascii="Arial" w:cs="Arial" w:eastAsia="Arial" w:hAnsi="Arial"/>
          <w:sz w:val="17"/>
          <w:szCs w:val="17"/>
          <w:color w:val="auto"/>
        </w:rPr>
        <w:t>” and shall be conducted in accordance with a manufacturing technology transfer plan to be mutually agreed upon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the Parties within [***] after the Effective Date (the “</w:t>
      </w:r>
      <w:r>
        <w:rPr>
          <w:rFonts w:ascii="Arial" w:cs="Arial" w:eastAsia="Arial" w:hAnsi="Arial"/>
          <w:sz w:val="17"/>
          <w:szCs w:val="17"/>
          <w:b w:val="1"/>
          <w:bCs w:val="1"/>
          <w:color w:val="auto"/>
        </w:rPr>
        <w:t>Manufacturing Technology Transfer Plan</w:t>
      </w:r>
      <w:r>
        <w:rPr>
          <w:rFonts w:ascii="Arial" w:cs="Arial" w:eastAsia="Arial" w:hAnsi="Arial"/>
          <w:sz w:val="17"/>
          <w:szCs w:val="17"/>
          <w:color w:val="auto"/>
        </w:rPr>
        <w:t>”). The Manufacturing Technology Transfer Plan will: (a) specify goals and estimated time lines for the achievement of the Manufacturing Technology Transfer; (b) identify certain of the technology to be transferred; (c) specify the activities related to implementation of such technology in Company’s facilities; and (d) set forth those obligations assigned to each Party with respect to such technology transfer. Manufacturing Technology Transfer Plan shall also include an obligation for Licensor to transfer to Company a copy of all Licensed Know-How and all Licensed Materials, including such Know-How as is specifically identified in the Manufacturing Technology Transfer Plan, including, without limitation, toxicity data related to Licensed Product, as is reasonably necessary to complete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69" w:right="459" w:bottom="1440" w:gutter="0" w:footer="0" w:header="0"/>
        </w:sectPr>
      </w:pPr>
    </w:p>
    <w:bookmarkStart w:id="478" w:name="page479"/>
    <w:bookmarkEnd w:id="478"/>
    <w:p>
      <w:pPr>
        <w:ind w:left="54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of the Chemistry, Manufacturing and Controls section of a regulatory submission document included in a BLA (collectively, “</w:t>
      </w:r>
      <w:r>
        <w:rPr>
          <w:rFonts w:ascii="Arial" w:cs="Arial" w:eastAsia="Arial" w:hAnsi="Arial"/>
          <w:sz w:val="16"/>
          <w:szCs w:val="16"/>
          <w:b w:val="1"/>
          <w:bCs w:val="1"/>
          <w:color w:val="auto"/>
        </w:rPr>
        <w:t>CM&amp;C</w:t>
      </w:r>
      <w:r>
        <w:rPr>
          <w:rFonts w:ascii="Arial" w:cs="Arial" w:eastAsia="Arial" w:hAnsi="Arial"/>
          <w:sz w:val="16"/>
          <w:szCs w:val="16"/>
          <w:color w:val="auto"/>
        </w:rPr>
        <w:t xml:space="preserve"> </w:t>
      </w:r>
      <w:r>
        <w:rPr>
          <w:rFonts w:ascii="Arial" w:cs="Arial" w:eastAsia="Arial" w:hAnsi="Arial"/>
          <w:sz w:val="16"/>
          <w:szCs w:val="16"/>
          <w:b w:val="1"/>
          <w:bCs w:val="1"/>
          <w:color w:val="auto"/>
        </w:rPr>
        <w:t>Know-How</w:t>
      </w:r>
      <w:r>
        <w:rPr>
          <w:rFonts w:ascii="Arial" w:cs="Arial" w:eastAsia="Arial" w:hAnsi="Arial"/>
          <w:sz w:val="16"/>
          <w:szCs w:val="16"/>
          <w:color w:val="auto"/>
        </w:rPr>
        <w:t>”). Each Party will bear its costs and expenses associated with performing the Manufacturing Technology Transfer. In conjunction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of this Agreement, Licensor and Company are entering into a Purchase and Reimbursement Agreement, dated on or about the Effective Date (the form of which is attached hereto as Schedule 2.4), pursuant to which (i) Licensor shall sell, and Company shall purchase, the cGMP Inventory as set forth therein for a total consideration of [***] as set forth in the Purchase and Reimbursement Agreement.</w:t>
      </w:r>
    </w:p>
    <w:p>
      <w:pPr>
        <w:spacing w:after="0" w:line="59" w:lineRule="exact"/>
        <w:rPr>
          <w:sz w:val="20"/>
          <w:szCs w:val="20"/>
          <w:color w:val="auto"/>
        </w:rPr>
      </w:pPr>
    </w:p>
    <w:p>
      <w:pPr>
        <w:ind w:left="540" w:right="60" w:hanging="539"/>
        <w:spacing w:after="0" w:line="289" w:lineRule="auto"/>
        <w:tabs>
          <w:tab w:leader="none" w:pos="5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Regulatory Technology Transfer</w:t>
      </w:r>
      <w:r>
        <w:rPr>
          <w:rFonts w:ascii="Arial" w:cs="Arial" w:eastAsia="Arial" w:hAnsi="Arial"/>
          <w:sz w:val="16"/>
          <w:szCs w:val="16"/>
          <w:color w:val="auto"/>
        </w:rPr>
        <w:t>. Upon Company’s written request, Licensor shall, at Licensor’s cost and expense, assign to Company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and filings made by or on behalf of Licensor with any Regulatory Authority with respect to Licensed Product, including any IND (including the IND existing as of the Effective Date (the “</w:t>
      </w:r>
      <w:r>
        <w:rPr>
          <w:rFonts w:ascii="Arial" w:cs="Arial" w:eastAsia="Arial" w:hAnsi="Arial"/>
          <w:sz w:val="16"/>
          <w:szCs w:val="16"/>
          <w:b w:val="1"/>
          <w:bCs w:val="1"/>
          <w:color w:val="auto"/>
        </w:rPr>
        <w:t>Existing IND</w:t>
      </w:r>
      <w:r>
        <w:rPr>
          <w:rFonts w:ascii="Arial" w:cs="Arial" w:eastAsia="Arial" w:hAnsi="Arial"/>
          <w:sz w:val="16"/>
          <w:szCs w:val="16"/>
          <w:color w:val="auto"/>
        </w:rPr>
        <w:t xml:space="preserve">”)), BLA or orphan drug designations or any other application for regulatory consultations or consideration, including sponsorship thereof, as more fully detailed in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Notwithstanding the foregoing, the Parties acknowledge the assignment and transfer of all regulatory materials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is subject to the acceptance of the applicable Regulatory Authority. Accordingly, until such acceptance by each applicable Regulatory Authority, Licensor shall remain responsible for performing any tasks required by a Regulatory Authority, including, but not limited to, responding to any requests or communications with a Regulatory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Licensor shall consult with Company regarding such obligations prior to taking any actions and Company shall have the final decision-making authority with respect to any such actions to be taken by Licensor.</w:t>
      </w:r>
    </w:p>
    <w:p>
      <w:pPr>
        <w:spacing w:after="0" w:line="72" w:lineRule="exact"/>
        <w:rPr>
          <w:sz w:val="20"/>
          <w:szCs w:val="20"/>
          <w:color w:val="auto"/>
        </w:rPr>
      </w:pPr>
    </w:p>
    <w:p>
      <w:pPr>
        <w:ind w:left="540" w:right="80" w:hanging="539"/>
        <w:spacing w:after="0" w:line="255" w:lineRule="auto"/>
        <w:tabs>
          <w:tab w:leader="none" w:pos="5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Procedures for Technology Transfer</w:t>
      </w:r>
      <w:r>
        <w:rPr>
          <w:rFonts w:ascii="Arial" w:cs="Arial" w:eastAsia="Arial" w:hAnsi="Arial"/>
          <w:sz w:val="18"/>
          <w:szCs w:val="18"/>
          <w:color w:val="auto"/>
        </w:rPr>
        <w:t>. The technology transfers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b w:val="1"/>
          <w:bCs w:val="1"/>
          <w:color w:val="auto"/>
        </w:rPr>
        <w:t xml:space="preserve"> </w:t>
      </w:r>
      <w:r>
        <w:rPr>
          <w:rFonts w:ascii="Arial" w:cs="Arial" w:eastAsia="Arial" w:hAnsi="Arial"/>
          <w:sz w:val="18"/>
          <w:szCs w:val="18"/>
          <w:color w:val="auto"/>
        </w:rPr>
        <w:t>shall occur in an orderly fashion and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such that the value, usefulness and confidentiality of the transferred Licensed Know-How, Licensed Materials and regulatory documentation are preserved in all material respects. During the Term, Licensor shall, upon Company’s written request, provide full and prompt disclosure of, and shall license, and hereby does license, to Company as a part of Licensed Know-How, any Know-How (including CM&amp;C Know-How) that becomes Controlled by Licensor or any of its Affiliates after the Effective Date that is reasonably necessary for Company to manufacture Licensed Product or complete the Chemistry, Manufacturing and Controls section of a regulatory submission document included in a BLA.</w:t>
      </w:r>
    </w:p>
    <w:p>
      <w:pPr>
        <w:spacing w:after="0" w:line="9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UNC Agreement</w:t>
      </w:r>
      <w:r>
        <w:rPr>
          <w:rFonts w:ascii="Arial" w:cs="Arial" w:eastAsia="Arial" w:hAnsi="Arial"/>
          <w:sz w:val="16"/>
          <w:szCs w:val="16"/>
          <w:color w:val="auto"/>
        </w:rPr>
        <w:t>. Company hereby (a) acknowledges the [***].</w:t>
      </w:r>
    </w:p>
    <w:p>
      <w:pPr>
        <w:spacing w:after="0" w:line="131" w:lineRule="exact"/>
        <w:rPr>
          <w:sz w:val="20"/>
          <w:szCs w:val="20"/>
          <w:color w:val="auto"/>
        </w:rPr>
      </w:pPr>
    </w:p>
    <w:p>
      <w:pPr>
        <w:ind w:left="540" w:right="120" w:hanging="539"/>
        <w:spacing w:after="0" w:line="289" w:lineRule="auto"/>
        <w:tabs>
          <w:tab w:leader="none" w:pos="5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b w:val="1"/>
          <w:bCs w:val="1"/>
          <w:color w:val="auto"/>
        </w:rPr>
        <w:t>No Implied Licenses</w:t>
      </w:r>
      <w:r>
        <w:rPr>
          <w:rFonts w:ascii="Arial" w:cs="Arial" w:eastAsia="Arial" w:hAnsi="Arial"/>
          <w:sz w:val="17"/>
          <w:szCs w:val="17"/>
          <w:color w:val="auto"/>
        </w:rPr>
        <w:t>. Except as explicitly set forth in this Agreement, neither Party shall be deemed by estoppel or implication to have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any license or other right to any intellectual property of such Party. For clarity, notwithstanding anything contained in this Agreement to the contrary, Licensor retains all rights under the Licensed Technology for any and all uses outside of the Field.</w:t>
      </w:r>
    </w:p>
    <w:p>
      <w:pPr>
        <w:spacing w:after="0" w:line="63"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b w:val="1"/>
          <w:bCs w:val="1"/>
          <w:color w:val="auto"/>
        </w:rPr>
        <w:t>Negative Covenant</w:t>
      </w:r>
      <w:r>
        <w:rPr>
          <w:rFonts w:ascii="Arial" w:cs="Arial" w:eastAsia="Arial" w:hAnsi="Arial"/>
          <w:sz w:val="18"/>
          <w:szCs w:val="18"/>
          <w:color w:val="auto"/>
        </w:rPr>
        <w:t>. Company covenants that it will not, and will not permit any of its Affiliates or Sublicensees to, use or practice any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Technology outside the scope of the license granted to it under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MANUFACTURE AND COMMERCIALIZATION OF PRODUCT</w:t>
      </w:r>
    </w:p>
    <w:p>
      <w:pPr>
        <w:spacing w:after="0" w:line="234"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Development of the Licensed Product by Company</w:t>
      </w:r>
      <w:r>
        <w:rPr>
          <w:rFonts w:ascii="Arial" w:cs="Arial" w:eastAsia="Arial" w:hAnsi="Arial"/>
          <w:sz w:val="18"/>
          <w:szCs w:val="18"/>
          <w:color w:val="auto"/>
        </w:rPr>
        <w:t>. Company shall have the exclusive right, and sole responsibility and decision-making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research and Develop Licensed Product and to conduct (either itself or through its Affiliates, agents, subcontractors and/or Sublicensees) all Clinical Trials and non-clinical studies Company believes appropriate to obtain Regulatory Approval for Licensed Product in the Field.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9" w:right="459" w:bottom="1440" w:gutter="0" w:footer="0" w:header="0"/>
        </w:sectPr>
      </w:pPr>
    </w:p>
    <w:bookmarkStart w:id="479" w:name="page480"/>
    <w:bookmarkEnd w:id="479"/>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6"/>
          <w:szCs w:val="16"/>
          <w:b w:val="1"/>
          <w:bCs w:val="1"/>
          <w:color w:val="auto"/>
        </w:rPr>
        <w:t>Licensor Support in Development</w:t>
      </w:r>
      <w:r>
        <w:rPr>
          <w:rFonts w:ascii="Arial" w:cs="Arial" w:eastAsia="Arial" w:hAnsi="Arial"/>
          <w:sz w:val="16"/>
          <w:szCs w:val="16"/>
          <w:color w:val="auto"/>
        </w:rPr>
        <w:t>. Until the [***], Licensor shall make its employees, consultants, contractors, advisors and agents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that are knowledgeable regarding the Licensed Technology or Licensed Product (including the properties and functions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thereof), available to Company for scientific and technical explanations, and advice that may reasonably be required by Company relating to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Development of Licensed Products (the “</w:t>
      </w:r>
      <w:r>
        <w:rPr>
          <w:rFonts w:ascii="Arial" w:cs="Arial" w:eastAsia="Arial" w:hAnsi="Arial"/>
          <w:sz w:val="16"/>
          <w:szCs w:val="16"/>
          <w:b w:val="1"/>
          <w:bCs w:val="1"/>
          <w:color w:val="auto"/>
        </w:rPr>
        <w:t>Development Support</w:t>
      </w:r>
      <w:r>
        <w:rPr>
          <w:rFonts w:ascii="Arial" w:cs="Arial" w:eastAsia="Arial" w:hAnsi="Arial"/>
          <w:sz w:val="16"/>
          <w:szCs w:val="16"/>
          <w:color w:val="auto"/>
        </w:rPr>
        <w:t>”). The Development Support shall be provided by Licensor free-of-charge up to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Thereafter, any Development Support will be reimbursed by Company at a mutually agreed upon (in writing) hourly rate.</w:t>
      </w:r>
    </w:p>
    <w:p>
      <w:pPr>
        <w:spacing w:after="0" w:line="112" w:lineRule="exact"/>
        <w:rPr>
          <w:sz w:val="20"/>
          <w:szCs w:val="20"/>
          <w:color w:val="auto"/>
        </w:rPr>
      </w:pPr>
    </w:p>
    <w:p>
      <w:pPr>
        <w:ind w:left="540" w:right="60" w:hanging="539"/>
        <w:spacing w:after="0" w:line="289" w:lineRule="auto"/>
        <w:tabs>
          <w:tab w:leader="none" w:pos="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Commercialization</w:t>
      </w:r>
      <w:r>
        <w:rPr>
          <w:rFonts w:ascii="Arial" w:cs="Arial" w:eastAsia="Arial" w:hAnsi="Arial"/>
          <w:sz w:val="17"/>
          <w:szCs w:val="17"/>
          <w:color w:val="auto"/>
        </w:rPr>
        <w:t>. Company shall have the exclusive right, and sole responsibility and decision-making authority, to Commercialize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itself or through one or more Affiliates or Sublicensees or other Third Parties selected by Company and shall have the sole decision-making authority and responsibility in all matters relating to the Commercialization of the Licensed Product.</w:t>
      </w:r>
    </w:p>
    <w:p>
      <w:pPr>
        <w:spacing w:after="0" w:line="63"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Clinical and Commercial Manufacturing</w:t>
      </w:r>
      <w:r>
        <w:rPr>
          <w:rFonts w:ascii="Arial" w:cs="Arial" w:eastAsia="Arial" w:hAnsi="Arial"/>
          <w:sz w:val="18"/>
          <w:szCs w:val="18"/>
          <w:color w:val="auto"/>
        </w:rPr>
        <w:t>. Company shall have the exclusive right to manufacture Licensed Product itself or through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Affiliates or Sublicensees or other Third Parties selected by Company.</w:t>
      </w:r>
    </w:p>
    <w:p>
      <w:pPr>
        <w:spacing w:after="0" w:line="67" w:lineRule="exact"/>
        <w:rPr>
          <w:sz w:val="20"/>
          <w:szCs w:val="20"/>
          <w:color w:val="auto"/>
        </w:rPr>
      </w:pPr>
    </w:p>
    <w:p>
      <w:pPr>
        <w:ind w:left="540" w:right="20" w:hanging="539"/>
        <w:spacing w:after="0" w:line="281" w:lineRule="auto"/>
        <w:tabs>
          <w:tab w:leader="none" w:pos="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color w:val="auto"/>
        </w:rPr>
        <w:t>Diligence by Company</w:t>
      </w:r>
      <w:r>
        <w:rPr>
          <w:rFonts w:ascii="Arial" w:cs="Arial" w:eastAsia="Arial" w:hAnsi="Arial"/>
          <w:sz w:val="17"/>
          <w:szCs w:val="17"/>
          <w:color w:val="auto"/>
        </w:rPr>
        <w:t>. Subject to Licensor’s fulfillment of its obligations under this Agreement, Company shall use Commercially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to (a) Develop at least one Licensed Product and (b) Commercialize at least one (1) Licensed Product in the United States. Activities by Company’s Affiliates and Sublicensees will be considered as Company’s activities under this Agreement for purposes of determining whether Company has complied with its obligation to use Commercially Reasonably Efforts.</w:t>
      </w:r>
    </w:p>
    <w:p>
      <w:pPr>
        <w:spacing w:after="0" w:line="70"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color w:val="auto"/>
        </w:rPr>
        <w:t>Trademarks</w:t>
      </w:r>
      <w:r>
        <w:rPr>
          <w:rFonts w:ascii="Arial" w:cs="Arial" w:eastAsia="Arial" w:hAnsi="Arial"/>
          <w:sz w:val="18"/>
          <w:szCs w:val="18"/>
          <w:color w:val="auto"/>
        </w:rPr>
        <w:t>. As between Licensor and Company, Company shall have the sole authority to select trademarks for the Licensed Product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own all such trademarks.</w:t>
      </w:r>
    </w:p>
    <w:p>
      <w:pPr>
        <w:spacing w:after="0" w:line="67"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b w:val="1"/>
          <w:bCs w:val="1"/>
          <w:color w:val="auto"/>
        </w:rPr>
        <w:t>Reporting</w:t>
      </w:r>
      <w:r>
        <w:rPr>
          <w:rFonts w:ascii="Arial" w:cs="Arial" w:eastAsia="Arial" w:hAnsi="Arial"/>
          <w:sz w:val="17"/>
          <w:szCs w:val="17"/>
          <w:color w:val="auto"/>
        </w:rPr>
        <w:t>. Company shall, within plus or minus [***] of each anniversary of the Effective Date, provide Licensor with a written report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summarizing in reasonable detail its major Development and, as applicable, Commercialization activities conducted during the prior Calendar Year. All information and reports provided to Licensor pursuant to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shall be without any commitment from Company and shall be treated as Confidential Information of Company hereunder. Notwithstanding the foregoing, Company’s obligation to provide reports under this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shall expire upon First Commercial Sale in the United States.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MATTERS</w:t>
      </w:r>
    </w:p>
    <w:p>
      <w:pPr>
        <w:spacing w:after="0" w:line="234"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Regulatory Filings</w:t>
      </w:r>
      <w:r>
        <w:rPr>
          <w:rFonts w:ascii="Arial" w:cs="Arial" w:eastAsia="Arial" w:hAnsi="Arial"/>
          <w:sz w:val="18"/>
          <w:szCs w:val="18"/>
          <w:color w:val="auto"/>
        </w:rPr>
        <w:t>. As between Company and Licensor, Company shall own and maintain all regulatory filings and Regulatory Approvals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Licensed Product, including all INDs and BLAs.</w:t>
      </w:r>
    </w:p>
    <w:p>
      <w:pPr>
        <w:spacing w:after="0" w:line="67"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Communications with Authorities</w:t>
      </w:r>
      <w:r>
        <w:rPr>
          <w:rFonts w:ascii="Arial" w:cs="Arial" w:eastAsia="Arial" w:hAnsi="Arial"/>
          <w:sz w:val="18"/>
          <w:szCs w:val="18"/>
          <w:color w:val="auto"/>
        </w:rPr>
        <w:t>. Company (or one of its Affiliates or Sublicensees) shall be responsible, and act as the sole point of contact,</w:t>
      </w:r>
      <w:r>
        <w:rPr>
          <w:rFonts w:ascii="Arial" w:cs="Arial" w:eastAsia="Arial" w:hAnsi="Arial"/>
          <w:sz w:val="18"/>
          <w:szCs w:val="18"/>
          <w:b w:val="1"/>
          <w:bCs w:val="1"/>
          <w:color w:val="auto"/>
        </w:rPr>
        <w:t xml:space="preserve"> </w:t>
      </w:r>
      <w:r>
        <w:rPr>
          <w:rFonts w:ascii="Arial" w:cs="Arial" w:eastAsia="Arial" w:hAnsi="Arial"/>
          <w:sz w:val="18"/>
          <w:szCs w:val="18"/>
          <w:color w:val="auto"/>
        </w:rPr>
        <w:t>for communications with Regulatory Authorities in connection with the Development, Commercialization, and manufacturing of Licensed Product.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480" w:name="page481"/>
    <w:bookmarkEnd w:id="480"/>
    <w:p>
      <w:pPr>
        <w:ind w:left="540"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the Effective Date, Licensor shall not initiate, with respect to Licensed Product, any meetings or contact with Regulatory Authorities without Company’s prior written consent. To the extent Licensor receives any written or oral communication from any Regulatory Authority relating to Licensed Product, Licensor shall (a) refer such Regulatory Authority to Company, and (b) as soon as reasonably practicable (but in any event within [***] after becoming aware of such communication), notify Company and provide Company with a copy of any written communication received by Licensor or, if applicable, complete and accurate minutes of such oral communication.</w:t>
      </w:r>
    </w:p>
    <w:p>
      <w:pPr>
        <w:spacing w:after="0" w:line="63" w:lineRule="exact"/>
        <w:rPr>
          <w:sz w:val="20"/>
          <w:szCs w:val="20"/>
          <w:color w:val="auto"/>
        </w:rPr>
      </w:pPr>
    </w:p>
    <w:p>
      <w:pPr>
        <w:ind w:left="540" w:right="400" w:hanging="539"/>
        <w:spacing w:after="0" w:line="282" w:lineRule="auto"/>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Recalls</w:t>
      </w:r>
      <w:r>
        <w:rPr>
          <w:rFonts w:ascii="Arial" w:cs="Arial" w:eastAsia="Arial" w:hAnsi="Arial"/>
          <w:sz w:val="18"/>
          <w:szCs w:val="18"/>
          <w:color w:val="auto"/>
        </w:rPr>
        <w:t>. Company shall have the sole right to determine whether and how to implement a recall or other market withdrawal of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PROVISIONS</w:t>
      </w:r>
    </w:p>
    <w:p>
      <w:pPr>
        <w:spacing w:after="0" w:line="234" w:lineRule="exact"/>
        <w:rPr>
          <w:sz w:val="20"/>
          <w:szCs w:val="20"/>
          <w:color w:val="auto"/>
        </w:rPr>
      </w:pPr>
    </w:p>
    <w:p>
      <w:pPr>
        <w:ind w:left="540" w:right="540" w:hanging="539"/>
        <w:spacing w:after="0" w:line="312"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Initial Fee</w:t>
      </w:r>
      <w:r>
        <w:rPr>
          <w:rFonts w:ascii="Arial" w:cs="Arial" w:eastAsia="Arial" w:hAnsi="Arial"/>
          <w:sz w:val="17"/>
          <w:szCs w:val="17"/>
          <w:color w:val="auto"/>
        </w:rPr>
        <w:t>. Company shall pay, or cause to be paid, to Licensor a fee of Three Million USD (USD 3,000,000), within [***]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 Date. Payment of the initial fee shall be subject to any withholding tax obligations set forth in </w:t>
      </w:r>
      <w:r>
        <w:rPr>
          <w:rFonts w:ascii="Arial" w:cs="Arial" w:eastAsia="Arial" w:hAnsi="Arial"/>
          <w:sz w:val="17"/>
          <w:szCs w:val="17"/>
          <w:u w:val="single" w:color="auto"/>
          <w:color w:val="auto"/>
        </w:rPr>
        <w:t>Section 5.11</w:t>
      </w:r>
      <w:r>
        <w:rPr>
          <w:rFonts w:ascii="Arial" w:cs="Arial" w:eastAsia="Arial" w:hAnsi="Arial"/>
          <w:sz w:val="17"/>
          <w:szCs w:val="17"/>
          <w:color w:val="auto"/>
        </w:rPr>
        <w:t>.</w:t>
      </w:r>
    </w:p>
    <w:p>
      <w:pPr>
        <w:spacing w:after="0" w:line="45"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Milestone Payments</w:t>
      </w:r>
      <w:r>
        <w:rPr>
          <w:rFonts w:ascii="Arial" w:cs="Arial" w:eastAsia="Arial" w:hAnsi="Arial"/>
          <w:sz w:val="18"/>
          <w:szCs w:val="18"/>
          <w:color w:val="auto"/>
        </w:rPr>
        <w:t>. Company shall pay to Licensor the following milestone payments upon the first achievement of the milestone events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below for each Licensed Product, whether achieved by Company, its Affiliates or their respective Sublicensees. Company shall notify Licensor in writing of the achievement of any such milestone event, within [***] of such achievement, and Licensor shall issue Company an invoice for the amount of the corresponding milestone payment, which invoice Company shall pay within [***] following receipt of such invoice.</w:t>
      </w:r>
    </w:p>
    <w:p>
      <w:pPr>
        <w:spacing w:after="0" w:line="19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 for each Licensed Product</w:t>
            </w:r>
          </w:p>
        </w:tc>
        <w:tc>
          <w:tcPr>
            <w:tcW w:w="36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w w:val="91"/>
              </w:rPr>
              <w:t>Milestone Payment</w:t>
            </w:r>
          </w:p>
        </w:tc>
        <w:tc>
          <w:tcPr>
            <w:tcW w:w="0" w:type="dxa"/>
            <w:vAlign w:val="bottom"/>
          </w:tcPr>
          <w:p>
            <w:pPr>
              <w:spacing w:after="0"/>
              <w:rPr>
                <w:sz w:val="1"/>
                <w:szCs w:val="1"/>
                <w:color w:val="auto"/>
              </w:rPr>
            </w:pPr>
          </w:p>
        </w:tc>
      </w:tr>
      <w:tr>
        <w:trPr>
          <w:trHeight w:val="178"/>
        </w:trPr>
        <w:tc>
          <w:tcPr>
            <w:tcW w:w="2620" w:type="dxa"/>
            <w:vAlign w:val="bottom"/>
            <w:tcBorders>
              <w:bottom w:val="single" w:sz="8" w:color="auto"/>
            </w:tcBorders>
            <w:vMerge w:val="continue"/>
          </w:tcPr>
          <w:p>
            <w:pPr>
              <w:spacing w:after="0"/>
              <w:rPr>
                <w:sz w:val="15"/>
                <w:szCs w:val="15"/>
                <w:color w:val="auto"/>
              </w:rPr>
            </w:pPr>
          </w:p>
        </w:tc>
        <w:tc>
          <w:tcPr>
            <w:tcW w:w="3680" w:type="dxa"/>
            <w:vAlign w:val="bottom"/>
          </w:tcPr>
          <w:p>
            <w:pPr>
              <w:spacing w:after="0"/>
              <w:rPr>
                <w:sz w:val="15"/>
                <w:szCs w:val="15"/>
                <w:color w:val="auto"/>
              </w:rPr>
            </w:pPr>
          </w:p>
        </w:tc>
        <w:tc>
          <w:tcPr>
            <w:tcW w:w="118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6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6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avoidance of doubt, the total foregoing milestones shall be payable once per Licensed Product.</w:t>
      </w:r>
    </w:p>
    <w:p>
      <w:pPr>
        <w:spacing w:after="0" w:line="117" w:lineRule="exact"/>
        <w:rPr>
          <w:sz w:val="20"/>
          <w:szCs w:val="20"/>
          <w:color w:val="auto"/>
        </w:rPr>
      </w:pPr>
    </w:p>
    <w:p>
      <w:pPr>
        <w:ind w:left="760"/>
        <w:spacing w:after="0" w:line="272" w:lineRule="auto"/>
        <w:rPr>
          <w:sz w:val="20"/>
          <w:szCs w:val="20"/>
          <w:color w:val="auto"/>
        </w:rPr>
      </w:pPr>
      <w:r>
        <w:rPr>
          <w:rFonts w:ascii="Arial" w:cs="Arial" w:eastAsia="Arial" w:hAnsi="Arial"/>
          <w:sz w:val="17"/>
          <w:szCs w:val="17"/>
          <w:color w:val="auto"/>
        </w:rPr>
        <w:t>With respect to the IND Milestone set forth in the table above, the Parties acknowledge and agree that (a) as of the Effective Date, Licensor is transferring the Existing IND to Company, and (b) Company shall elect to either Develop and Commercialize Licensed Product under the Existing IND or submit its own IND for a Licensed Product based on a suspension re-formulation of such Licensed Product (the “</w:t>
      </w:r>
      <w:r>
        <w:rPr>
          <w:rFonts w:ascii="Arial" w:cs="Arial" w:eastAsia="Arial" w:hAnsi="Arial"/>
          <w:sz w:val="17"/>
          <w:szCs w:val="17"/>
          <w:b w:val="1"/>
          <w:bCs w:val="1"/>
          <w:color w:val="auto"/>
        </w:rPr>
        <w:t>Suspension</w:t>
      </w:r>
      <w:r>
        <w:rPr>
          <w:rFonts w:ascii="Arial" w:cs="Arial" w:eastAsia="Arial" w:hAnsi="Arial"/>
          <w:sz w:val="17"/>
          <w:szCs w:val="17"/>
          <w:color w:val="auto"/>
        </w:rPr>
        <w:t xml:space="preserve"> </w:t>
      </w:r>
      <w:r>
        <w:rPr>
          <w:rFonts w:ascii="Arial" w:cs="Arial" w:eastAsia="Arial" w:hAnsi="Arial"/>
          <w:sz w:val="17"/>
          <w:szCs w:val="17"/>
          <w:b w:val="1"/>
          <w:bCs w:val="1"/>
          <w:color w:val="auto"/>
        </w:rPr>
        <w:t>IND</w:t>
      </w:r>
      <w:r>
        <w:rPr>
          <w:rFonts w:ascii="Arial" w:cs="Arial" w:eastAsia="Arial" w:hAnsi="Arial"/>
          <w:sz w:val="17"/>
          <w:szCs w:val="17"/>
          <w:color w:val="auto"/>
        </w:rPr>
        <w:t>”). In the event that Company elects to Develop and Commercialize Licensed Product under the Existing IND by providing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Licensor of such election, the process for payment of the milestone payment for the IND Milestone shall be triggered as of the date of such notice from Company. In the event that Company elects to file the Suspension IND, the process for the milestone payment for the IND Milestone shall be triggered upon the date of filing of the Suspension IND.</w:t>
      </w:r>
    </w:p>
    <w:p>
      <w:pPr>
        <w:spacing w:after="0" w:line="79"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Commercial Event Payments</w:t>
      </w:r>
      <w:r>
        <w:rPr>
          <w:rFonts w:ascii="Arial" w:cs="Arial" w:eastAsia="Arial" w:hAnsi="Arial"/>
          <w:sz w:val="18"/>
          <w:szCs w:val="18"/>
          <w:color w:val="auto"/>
        </w:rPr>
        <w:t>. Company shall pay Licensor the following amounts for the first and only the first achievement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sales event milestones (each, a “</w:t>
      </w:r>
      <w:r>
        <w:rPr>
          <w:rFonts w:ascii="Arial" w:cs="Arial" w:eastAsia="Arial" w:hAnsi="Arial"/>
          <w:sz w:val="18"/>
          <w:szCs w:val="18"/>
          <w:b w:val="1"/>
          <w:bCs w:val="1"/>
          <w:color w:val="auto"/>
        </w:rPr>
        <w:t>Sales Milestone</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481" w:name="page482"/>
    <w:bookmarkEnd w:id="481"/>
    <w:tbl>
      <w:tblPr>
        <w:tblLayout w:type="fixed"/>
        <w:tblInd w:w="1760" w:type="dxa"/>
        <w:tblCellMar>
          <w:top w:w="0" w:type="dxa"/>
          <w:left w:w="0" w:type="dxa"/>
          <w:bottom w:w="0" w:type="dxa"/>
          <w:right w:w="0" w:type="dxa"/>
        </w:tblCellMar>
      </w:tblPr>
      <w:tr>
        <w:trPr>
          <w:trHeight w:val="19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Sales Milestones for each Licensed Product</w:t>
            </w:r>
          </w:p>
        </w:tc>
        <w:tc>
          <w:tcPr>
            <w:tcW w:w="33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2"/>
              </w:rPr>
              <w:t>Milestone Payment USD</w:t>
            </w:r>
          </w:p>
        </w:tc>
      </w:tr>
      <w:tr>
        <w:trPr>
          <w:trHeight w:val="203"/>
        </w:trPr>
        <w:tc>
          <w:tcPr>
            <w:tcW w:w="2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1039"/>
              <w:spacing w:after="0" w:line="203" w:lineRule="exact"/>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w:t>
            </w:r>
          </w:p>
        </w:tc>
        <w:tc>
          <w:tcPr>
            <w:tcW w:w="4820" w:type="dxa"/>
            <w:vAlign w:val="bottom"/>
            <w:gridSpan w:val="2"/>
          </w:tcPr>
          <w:p>
            <w:pPr>
              <w:jc w:val="right"/>
              <w:ind w:right="1039"/>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760"/>
        <w:spacing w:after="0" w:line="263" w:lineRule="auto"/>
        <w:rPr>
          <w:sz w:val="20"/>
          <w:szCs w:val="20"/>
          <w:color w:val="auto"/>
        </w:rPr>
      </w:pPr>
      <w:r>
        <w:rPr>
          <w:rFonts w:ascii="Arial" w:cs="Arial" w:eastAsia="Arial" w:hAnsi="Arial"/>
          <w:sz w:val="18"/>
          <w:szCs w:val="18"/>
          <w:color w:val="auto"/>
        </w:rPr>
        <w:t>Company shall deliver written notice to Licensor within [***] of the end of the Calendar Year in which a Sales Milestone occurs and Licensor shall issue Company an invoice for the amount of the corresponding Sales Milestone payment, which invoice Company shall pay within [***] following receipt of such invoice.</w:t>
      </w:r>
    </w:p>
    <w:p>
      <w:pPr>
        <w:spacing w:after="0" w:line="76"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For the avoidance of doubt, each aforementioned Sales Milestone payment shall be made only once for each Licensed Product that achieves such Sales Milestone.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Royalty Payments for Licensed Product</w:t>
      </w:r>
      <w:r>
        <w:rPr>
          <w:rFonts w:ascii="Arial" w:cs="Arial" w:eastAsia="Arial" w:hAnsi="Arial"/>
          <w:sz w:val="16"/>
          <w:szCs w:val="16"/>
          <w:color w:val="auto"/>
        </w:rPr>
        <w:t>.</w:t>
      </w:r>
    </w:p>
    <w:p>
      <w:pPr>
        <w:spacing w:after="0" w:line="117" w:lineRule="exact"/>
        <w:rPr>
          <w:sz w:val="20"/>
          <w:szCs w:val="20"/>
          <w:color w:val="auto"/>
        </w:rPr>
      </w:pPr>
    </w:p>
    <w:p>
      <w:pPr>
        <w:ind w:left="980" w:right="180" w:firstLine="7"/>
        <w:spacing w:after="0" w:line="282" w:lineRule="auto"/>
        <w:tabs>
          <w:tab w:leader="none" w:pos="1224"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Royalty Rate</w:t>
      </w:r>
      <w:r>
        <w:rPr>
          <w:rFonts w:ascii="Arial" w:cs="Arial" w:eastAsia="Arial" w:hAnsi="Arial"/>
          <w:sz w:val="18"/>
          <w:szCs w:val="18"/>
          <w:color w:val="auto"/>
        </w:rPr>
        <w:t>. During the Royalty Term, Company shall pay to Licensor a [***] royalty on worldwide aggregate annual Net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Product for each Calendar Year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below):</w:t>
      </w:r>
    </w:p>
    <w:p>
      <w:pPr>
        <w:spacing w:after="0" w:line="53" w:lineRule="exact"/>
        <w:rPr>
          <w:rFonts w:ascii="Arial" w:cs="Arial" w:eastAsia="Arial" w:hAnsi="Arial"/>
          <w:sz w:val="18"/>
          <w:szCs w:val="18"/>
          <w:color w:val="auto"/>
        </w:rPr>
      </w:pPr>
    </w:p>
    <w:p>
      <w:pPr>
        <w:ind w:left="980" w:right="20" w:firstLine="7"/>
        <w:spacing w:after="0" w:line="303" w:lineRule="auto"/>
        <w:tabs>
          <w:tab w:leader="none" w:pos="1235"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Net Sales Subject to Royalty Payments</w:t>
      </w:r>
      <w:r>
        <w:rPr>
          <w:rFonts w:ascii="Arial" w:cs="Arial" w:eastAsia="Arial" w:hAnsi="Arial"/>
          <w:sz w:val="16"/>
          <w:szCs w:val="16"/>
          <w:color w:val="auto"/>
        </w:rPr>
        <w:t>. For purposes of determining whether a royalty threshold or a Sales Milestone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attained, only Net Sales that are subject to a royalty payment shall be included in the total amount of Net Sales and any Net Sales that are not subject to a royalty payment shall be excluded. For clarity, Company’s obligation to pay royalties to Licensor under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is imposed only once with respect to the same unit of Licensed Product regardless of the number of Licensed Patents pertaining thereto.</w:t>
      </w:r>
    </w:p>
    <w:p>
      <w:pPr>
        <w:spacing w:after="0" w:line="56" w:lineRule="exact"/>
        <w:rPr>
          <w:sz w:val="20"/>
          <w:szCs w:val="20"/>
          <w:color w:val="auto"/>
        </w:rPr>
      </w:pPr>
    </w:p>
    <w:p>
      <w:pPr>
        <w:ind w:left="540" w:right="60" w:hanging="539"/>
        <w:spacing w:after="0" w:line="258" w:lineRule="auto"/>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color w:val="auto"/>
        </w:rPr>
        <w:t>Existing Third-Party Agreements</w:t>
      </w:r>
      <w:r>
        <w:rPr>
          <w:rFonts w:ascii="Arial" w:cs="Arial" w:eastAsia="Arial" w:hAnsi="Arial"/>
          <w:sz w:val="18"/>
          <w:szCs w:val="18"/>
          <w:color w:val="auto"/>
        </w:rPr>
        <w:t>. Licensor shall be responsible for the timely payment of any amounts due under any Existing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the event that Licensor shall fail to make any payment when due under such Existing Third-Party Agreement, Company shall have the right to make such payment on behalf of Licensor. In such event, Licensor shall promptly reimburse Company any such amounts paid by Company or, at Company’s election, Company may offset such amounts paid by Company against any amounts payable to Licensor hereunder.</w:t>
      </w:r>
    </w:p>
    <w:p>
      <w:pPr>
        <w:spacing w:after="0" w:line="89" w:lineRule="exact"/>
        <w:rPr>
          <w:sz w:val="20"/>
          <w:szCs w:val="20"/>
          <w:color w:val="auto"/>
        </w:rPr>
      </w:pPr>
    </w:p>
    <w:p>
      <w:pPr>
        <w:ind w:left="540" w:right="100" w:hanging="539"/>
        <w:spacing w:after="0" w:line="289" w:lineRule="auto"/>
        <w:tabs>
          <w:tab w:leader="none" w:pos="5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color w:val="auto"/>
        </w:rPr>
        <w:t>Timing of Payment</w:t>
      </w:r>
      <w:r>
        <w:rPr>
          <w:rFonts w:ascii="Arial" w:cs="Arial" w:eastAsia="Arial" w:hAnsi="Arial"/>
          <w:sz w:val="17"/>
          <w:szCs w:val="17"/>
          <w:color w:val="auto"/>
        </w:rPr>
        <w:t>. Royalties payable under Section 5.4(a) shall be payable on actual Net Sales and shall accrue at the time the invoice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Licensed Product is delivered. Royalty obligations that have accrued during a particular Calendar Quarter shall be paid, on a Calendar Quarter basis, within [***] after the end of each Calendar Quarter during which the royalty obligation accrued.</w:t>
      </w:r>
    </w:p>
    <w:p>
      <w:pPr>
        <w:spacing w:after="0" w:line="6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Mode of Payment and Currency; Invoices</w:t>
      </w:r>
      <w:r>
        <w:rPr>
          <w:rFonts w:ascii="Arial" w:cs="Arial" w:eastAsia="Arial" w:hAnsi="Arial"/>
          <w:sz w:val="16"/>
          <w:szCs w:val="16"/>
          <w:color w:val="auto"/>
        </w:rPr>
        <w:t>.</w:t>
      </w:r>
    </w:p>
    <w:p>
      <w:pPr>
        <w:spacing w:after="0" w:line="117" w:lineRule="exact"/>
        <w:rPr>
          <w:sz w:val="20"/>
          <w:szCs w:val="20"/>
          <w:color w:val="auto"/>
        </w:rPr>
      </w:pPr>
    </w:p>
    <w:p>
      <w:pPr>
        <w:ind w:left="1240" w:hanging="253"/>
        <w:spacing w:after="0"/>
        <w:tabs>
          <w:tab w:leader="none" w:pos="1240"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Currency</w:t>
      </w:r>
      <w:r>
        <w:rPr>
          <w:rFonts w:ascii="Arial" w:cs="Arial" w:eastAsia="Arial" w:hAnsi="Arial"/>
          <w:sz w:val="17"/>
          <w:szCs w:val="17"/>
          <w:color w:val="auto"/>
        </w:rPr>
        <w:t>. All payments to Licensor hereunder shall be made by deposit of USD in the requisite amount to such bank account as</w:t>
      </w:r>
    </w:p>
    <w:p>
      <w:pPr>
        <w:spacing w:after="0" w:line="38" w:lineRule="exact"/>
        <w:rPr>
          <w:rFonts w:ascii="Arial" w:cs="Arial" w:eastAsia="Arial" w:hAnsi="Arial"/>
          <w:sz w:val="17"/>
          <w:szCs w:val="17"/>
          <w:color w:val="auto"/>
        </w:rPr>
      </w:pPr>
    </w:p>
    <w:p>
      <w:pPr>
        <w:ind w:left="980" w:right="100"/>
        <w:spacing w:after="0" w:line="253" w:lineRule="auto"/>
        <w:rPr>
          <w:rFonts w:ascii="Arial" w:cs="Arial" w:eastAsia="Arial" w:hAnsi="Arial"/>
          <w:sz w:val="17"/>
          <w:szCs w:val="17"/>
          <w:color w:val="auto"/>
        </w:rPr>
      </w:pPr>
      <w:r>
        <w:rPr>
          <w:rFonts w:ascii="Arial" w:cs="Arial" w:eastAsia="Arial" w:hAnsi="Arial"/>
          <w:sz w:val="18"/>
          <w:szCs w:val="18"/>
          <w:color w:val="auto"/>
        </w:rPr>
        <w:t>Licensor may from time to time designate by written notice to Company. With respect to sales not denominated in USD, Company shall convert applicable sales in foreign currency into USD by using the then current and reasonable standard exchange rate methodology applied to its external reporting. Based on the resulting sales in USD, the then applicable royalties shall be calculated. The Parties may vary the method of payment set forth herein at any time upon mutual written agreement, and any change shall be consistent with the local Law at the place of payment or remittance.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5" w:right="459" w:bottom="1440" w:gutter="0" w:footer="0" w:header="0"/>
        </w:sectPr>
      </w:pPr>
    </w:p>
    <w:bookmarkStart w:id="482" w:name="page483"/>
    <w:bookmarkEnd w:id="482"/>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w:t>
      </w:r>
      <w:r>
        <w:rPr>
          <w:rFonts w:ascii="Arial" w:cs="Arial" w:eastAsia="Arial" w:hAnsi="Arial"/>
          <w:sz w:val="18"/>
          <w:szCs w:val="18"/>
          <w:b w:val="1"/>
          <w:bCs w:val="1"/>
          <w:color w:val="auto"/>
        </w:rPr>
        <w:t>Invoices</w:t>
      </w:r>
      <w:r>
        <w:rPr>
          <w:rFonts w:ascii="Arial" w:cs="Arial" w:eastAsia="Arial" w:hAnsi="Arial"/>
          <w:sz w:val="18"/>
          <w:szCs w:val="18"/>
          <w:color w:val="auto"/>
        </w:rPr>
        <w:t xml:space="preserve">. Licensor shall submit its invoices to </w:t>
      </w:r>
      <w:r>
        <w:rPr>
          <w:rFonts w:ascii="Arial" w:cs="Arial" w:eastAsia="Arial" w:hAnsi="Arial"/>
          <w:sz w:val="18"/>
          <w:szCs w:val="18"/>
          <w:u w:val="single" w:color="auto"/>
          <w:color w:val="auto"/>
        </w:rPr>
        <w:t>accountspayable@pbmcap.com</w:t>
      </w:r>
      <w:r>
        <w:rPr>
          <w:rFonts w:ascii="Arial" w:cs="Arial" w:eastAsia="Arial" w:hAnsi="Arial"/>
          <w:sz w:val="18"/>
          <w:szCs w:val="18"/>
          <w:color w:val="auto"/>
        </w:rPr>
        <w:t>.</w:t>
      </w:r>
    </w:p>
    <w:p>
      <w:pPr>
        <w:spacing w:after="0" w:line="131" w:lineRule="exact"/>
        <w:rPr>
          <w:sz w:val="20"/>
          <w:szCs w:val="20"/>
          <w:color w:val="auto"/>
        </w:rPr>
      </w:pPr>
    </w:p>
    <w:p>
      <w:pPr>
        <w:ind w:left="540" w:right="180" w:hanging="539"/>
        <w:spacing w:after="0" w:line="261" w:lineRule="auto"/>
        <w:tabs>
          <w:tab w:leader="none" w:pos="5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color w:val="auto"/>
        </w:rPr>
        <w:t>Royalty Reports</w:t>
      </w:r>
      <w:r>
        <w:rPr>
          <w:rFonts w:ascii="Arial" w:cs="Arial" w:eastAsia="Arial" w:hAnsi="Arial"/>
          <w:sz w:val="18"/>
          <w:szCs w:val="18"/>
          <w:color w:val="auto"/>
        </w:rPr>
        <w:t>. Within [***] after the end of each Calendar Quarter during which Licensed Product has been sold, Company shall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Licensor, together with the applicable royalty payment due for such Calendar Quarter, a written report, on a Licensed Product-by-Licensed Product basis, of Net Sales subject to royalty payments for such Calendar Quarter. Such report shall be deemed “Confidential Information” of Company subject to the obligations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Agreement.</w:t>
      </w:r>
    </w:p>
    <w:p>
      <w:pPr>
        <w:spacing w:after="0" w:line="85" w:lineRule="exact"/>
        <w:rPr>
          <w:sz w:val="20"/>
          <w:szCs w:val="20"/>
          <w:color w:val="auto"/>
        </w:rPr>
      </w:pPr>
    </w:p>
    <w:p>
      <w:pPr>
        <w:ind w:left="540" w:right="180" w:hanging="539"/>
        <w:spacing w:after="0" w:line="266" w:lineRule="auto"/>
        <w:tabs>
          <w:tab w:leader="none" w:pos="5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b w:val="1"/>
          <w:bCs w:val="1"/>
          <w:color w:val="auto"/>
        </w:rPr>
        <w:t>Late Payments</w:t>
      </w:r>
      <w:r>
        <w:rPr>
          <w:rFonts w:ascii="Arial" w:cs="Arial" w:eastAsia="Arial" w:hAnsi="Arial"/>
          <w:sz w:val="18"/>
          <w:szCs w:val="18"/>
          <w:color w:val="auto"/>
        </w:rPr>
        <w:t>. Any failure by Company to make a payment within [***] after the date when due shall obligate Company to pay computed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the interest period commencing on the due date and ending on the actual payment date, to Licensor at a rate of [***] per month, or the highest rate allowed by Law, whichever is lower.</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b w:val="1"/>
          <w:bCs w:val="1"/>
          <w:color w:val="auto"/>
        </w:rPr>
        <w:t>Audits</w:t>
      </w:r>
      <w:r>
        <w:rPr>
          <w:rFonts w:ascii="Arial" w:cs="Arial" w:eastAsia="Arial" w:hAnsi="Arial"/>
          <w:sz w:val="16"/>
          <w:szCs w:val="16"/>
          <w:color w:val="auto"/>
        </w:rPr>
        <w:t>.</w:t>
      </w:r>
    </w:p>
    <w:p>
      <w:pPr>
        <w:spacing w:after="0" w:line="117" w:lineRule="exact"/>
        <w:rPr>
          <w:sz w:val="20"/>
          <w:szCs w:val="20"/>
          <w:color w:val="auto"/>
        </w:rPr>
      </w:pPr>
    </w:p>
    <w:p>
      <w:pPr>
        <w:ind w:left="980" w:right="40" w:firstLine="7"/>
        <w:spacing w:after="0" w:line="272" w:lineRule="auto"/>
        <w:tabs>
          <w:tab w:leader="none" w:pos="1224"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Audits Generally</w:t>
      </w:r>
      <w:r>
        <w:rPr>
          <w:rFonts w:ascii="Arial" w:cs="Arial" w:eastAsia="Arial" w:hAnsi="Arial"/>
          <w:sz w:val="17"/>
          <w:szCs w:val="17"/>
          <w:color w:val="auto"/>
        </w:rPr>
        <w:t>. During the Royalty Term and for [***] thereafter, and not more than once in each Calendar Year,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 and shall cause its Affiliates or Sublicensees to permit, an independent certified public accounting firm of nationally recognized standing selected by Licensor, and reasonably acceptable to Company or such Affiliate or Sublicensee, to have access to and to review, during normal business hours upon reasonable prior written notice, the applicable records of Company and its Affiliates or Sublicensees to verify the accuracy of the royalty reports and payments under this </w:t>
      </w:r>
      <w:r>
        <w:rPr>
          <w:rFonts w:ascii="Arial" w:cs="Arial" w:eastAsia="Arial" w:hAnsi="Arial"/>
          <w:sz w:val="17"/>
          <w:szCs w:val="17"/>
          <w:u w:val="single" w:color="auto"/>
          <w:color w:val="auto"/>
        </w:rPr>
        <w:t>ARTICLE 5</w:t>
      </w:r>
      <w:r>
        <w:rPr>
          <w:rFonts w:ascii="Arial" w:cs="Arial" w:eastAsia="Arial" w:hAnsi="Arial"/>
          <w:sz w:val="17"/>
          <w:szCs w:val="17"/>
          <w:color w:val="auto"/>
        </w:rPr>
        <w:t>. Such review may cover the records for sales made in any Calendar Year ending not more than [***] prior to the date of such request. The accounting firm shall disclose to Licensor and Company only whether the royalty reports are correct or incorrect and the specific details concerning any discrepancies. No other information shall be provided to Licensor.</w:t>
      </w:r>
    </w:p>
    <w:p>
      <w:pPr>
        <w:spacing w:after="0" w:line="63" w:lineRule="exact"/>
        <w:rPr>
          <w:rFonts w:ascii="Arial" w:cs="Arial" w:eastAsia="Arial" w:hAnsi="Arial"/>
          <w:sz w:val="17"/>
          <w:szCs w:val="17"/>
          <w:color w:val="auto"/>
        </w:rPr>
      </w:pPr>
    </w:p>
    <w:p>
      <w:pPr>
        <w:ind w:left="980" w:firstLine="7"/>
        <w:spacing w:after="0" w:line="270" w:lineRule="auto"/>
        <w:tabs>
          <w:tab w:leader="none" w:pos="1235"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Audit-Based Reconciliation</w:t>
      </w:r>
      <w:r>
        <w:rPr>
          <w:rFonts w:ascii="Arial" w:cs="Arial" w:eastAsia="Arial" w:hAnsi="Arial"/>
          <w:sz w:val="17"/>
          <w:szCs w:val="17"/>
          <w:color w:val="auto"/>
        </w:rPr>
        <w:t>. If such accounting firm concludes that additional royalties were owed during such period, and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agrees with such calculation, Company shall pay the additional undisputed royalties within [***] after the date Licensor delivers to Company such accounting firm’s written report, together with any interest payable under </w:t>
      </w:r>
      <w:r>
        <w:rPr>
          <w:rFonts w:ascii="Arial" w:cs="Arial" w:eastAsia="Arial" w:hAnsi="Arial"/>
          <w:sz w:val="17"/>
          <w:szCs w:val="17"/>
          <w:u w:val="single" w:color="auto"/>
          <w:color w:val="auto"/>
        </w:rPr>
        <w:t>Section 5.9</w:t>
      </w:r>
      <w:r>
        <w:rPr>
          <w:rFonts w:ascii="Arial" w:cs="Arial" w:eastAsia="Arial" w:hAnsi="Arial"/>
          <w:sz w:val="17"/>
          <w:szCs w:val="17"/>
          <w:color w:val="auto"/>
        </w:rPr>
        <w:t>. If such accounting firm concludes that an overpayment was made, such overpayment shall be fully creditable against amounts payable in subsequent payment periods or, at Company’s request, shall be promptly reimbursed to Company. If Company disagrees with such calculation, it may retain its own independent certified public accounting firm of recognized standing and reasonably acceptable to Licensor, to conduct a review, and if such firm concurs with the other accounting firm, Company shall make the required payment within [***] after the date Company receives the report of its accounting firm. If Company’s accounting firm does not concur, Company and Licensor shall meet and negotiate in good faith a resolution of the discrepancies between the two firms. Licensor shall pay for the cost of any audit, unless Company has underpaid Licensor by more than [***], in which case Company shall pay for the costs of audit.</w:t>
      </w:r>
    </w:p>
    <w:p>
      <w:pPr>
        <w:spacing w:after="0" w:line="68" w:lineRule="exact"/>
        <w:rPr>
          <w:rFonts w:ascii="Arial" w:cs="Arial" w:eastAsia="Arial" w:hAnsi="Arial"/>
          <w:sz w:val="17"/>
          <w:szCs w:val="17"/>
          <w:color w:val="auto"/>
        </w:rPr>
      </w:pPr>
    </w:p>
    <w:p>
      <w:pPr>
        <w:ind w:left="980" w:right="100" w:firstLine="7"/>
        <w:spacing w:after="0" w:line="256" w:lineRule="auto"/>
        <w:tabs>
          <w:tab w:leader="none" w:pos="1224"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Audit Confidentiality</w:t>
      </w:r>
      <w:r>
        <w:rPr>
          <w:rFonts w:ascii="Arial" w:cs="Arial" w:eastAsia="Arial" w:hAnsi="Arial"/>
          <w:sz w:val="18"/>
          <w:szCs w:val="18"/>
          <w:color w:val="auto"/>
        </w:rPr>
        <w:t>. Each Party shall treat all information that it receives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confidentiality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of this Agreement, and shall cause its accounting firm to enter into an acceptable confidentiality agreement with the other Party obligating such firm to retain all such financial information in confidence pursuant to such confidentiality agreement, except to the extent necessary for such Party to enforce its rights under this Agreement. The terms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Company’s right to audit Licensor’s records related to those Out-of-Pocket Expenses for which Licensor seeks reimbursement 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69" w:right="459" w:bottom="1440" w:gutter="0" w:footer="0" w:header="0"/>
        </w:sectPr>
      </w:pPr>
    </w:p>
    <w:bookmarkStart w:id="483" w:name="page484"/>
    <w:bookmarkEnd w:id="483"/>
    <w:p>
      <w:pPr>
        <w:ind w:left="540" w:right="40" w:hanging="539"/>
        <w:spacing w:after="0" w:line="254"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5.11</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 Licensor shall be responsible for the payment of any and all Taxes levied on account of the royalties and other payments paid to 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by Company or its Affiliates or Sublicensees under this Agreement. If Law requires that Taxes be deducted and withheld from royalties or other payments paid under this Agreement, Company shall (a) deduct those Taxes and interests and penalties assessed thereon from the payment or from any other payment owed by Company hereunder; (b) pay the Taxes to the proper Governmental Body; (c) send evidence of the obligation together with proof of Tax payment to Licensor within [***] following such payment; (d) remit the net amount, after deductions or withholding made under this Section 5.11; and (e) cooperate with Licensor in any way reasonably requested by Licensor, to obtain available reductions, credits or refunds of such Taxes; provided, however, that Licensor shall reimburse Company for Company’s Out-of-Pocket Expenses incurred in providing such assistance.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INVENTIONS AND PATENTS</w:t>
      </w:r>
    </w:p>
    <w:p>
      <w:pPr>
        <w:spacing w:after="0" w:line="234"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Further Assurances</w:t>
      </w:r>
      <w:r>
        <w:rPr>
          <w:rFonts w:ascii="Arial" w:cs="Arial" w:eastAsia="Arial" w:hAnsi="Arial"/>
          <w:sz w:val="18"/>
          <w:szCs w:val="18"/>
          <w:color w:val="auto"/>
        </w:rPr>
        <w:t>. Licensor shall require all of its employees, and use its best efforts to require its contractors and agents, and any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Third Parties working on its behalf under this Agreement (and their respective employees, contractors and agents), to assign to Licensor any Licensed Technology.</w:t>
      </w:r>
    </w:p>
    <w:p>
      <w:pPr>
        <w:spacing w:after="0" w:line="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Patent Prosecution and Maintenance</w:t>
      </w:r>
      <w:r>
        <w:rPr>
          <w:rFonts w:ascii="Arial" w:cs="Arial" w:eastAsia="Arial" w:hAnsi="Arial"/>
          <w:sz w:val="16"/>
          <w:szCs w:val="16"/>
          <w:color w:val="auto"/>
        </w:rPr>
        <w:t>.</w:t>
      </w:r>
    </w:p>
    <w:p>
      <w:pPr>
        <w:spacing w:after="0" w:line="117" w:lineRule="exact"/>
        <w:rPr>
          <w:sz w:val="20"/>
          <w:szCs w:val="20"/>
          <w:color w:val="auto"/>
        </w:rPr>
      </w:pPr>
    </w:p>
    <w:p>
      <w:pPr>
        <w:ind w:left="980" w:firstLine="7"/>
        <w:spacing w:after="0" w:line="281" w:lineRule="auto"/>
        <w:tabs>
          <w:tab w:leader="none" w:pos="1224"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Licensed Patents</w:t>
      </w:r>
      <w:r>
        <w:rPr>
          <w:rFonts w:ascii="Arial" w:cs="Arial" w:eastAsia="Arial" w:hAnsi="Arial"/>
          <w:sz w:val="17"/>
          <w:szCs w:val="17"/>
          <w:color w:val="auto"/>
        </w:rPr>
        <w:t>. As between the Parties, and subject to the UNC Agreement, Licensor shall have the first right, and the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file, prosecute and maintain Licensed Patents in Licensor’s name. Licensor shall keep Company informed of the status of the filing and prosecution of Licensed Patents or related proceedings (e.g., interferences, oppositions, reexaminations, reissues, revocations or nullifications) in a timely manner, and will take into consideration the advice and recommendations of Company.</w:t>
      </w:r>
    </w:p>
    <w:p>
      <w:pPr>
        <w:spacing w:after="0" w:line="56" w:lineRule="exact"/>
        <w:rPr>
          <w:rFonts w:ascii="Arial" w:cs="Arial" w:eastAsia="Arial" w:hAnsi="Arial"/>
          <w:sz w:val="17"/>
          <w:szCs w:val="17"/>
          <w:color w:val="auto"/>
        </w:rPr>
      </w:pPr>
    </w:p>
    <w:p>
      <w:pPr>
        <w:ind w:left="980" w:right="20" w:firstLine="7"/>
        <w:spacing w:after="0" w:line="289" w:lineRule="auto"/>
        <w:tabs>
          <w:tab w:leader="none" w:pos="1235"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Election Not to file and Prosecute Licensed Patents</w:t>
      </w:r>
      <w:r>
        <w:rPr>
          <w:rFonts w:ascii="Arial" w:cs="Arial" w:eastAsia="Arial" w:hAnsi="Arial"/>
          <w:sz w:val="16"/>
          <w:szCs w:val="16"/>
          <w:color w:val="auto"/>
        </w:rPr>
        <w:t>. As between the Parties, and subject to the UNC Agreement, if Licensor elects</w:t>
      </w:r>
      <w:r>
        <w:rPr>
          <w:rFonts w:ascii="Arial" w:cs="Arial" w:eastAsia="Arial" w:hAnsi="Arial"/>
          <w:sz w:val="16"/>
          <w:szCs w:val="16"/>
          <w:b w:val="1"/>
          <w:bCs w:val="1"/>
          <w:color w:val="auto"/>
        </w:rPr>
        <w:t xml:space="preserve"> </w:t>
      </w:r>
      <w:r>
        <w:rPr>
          <w:rFonts w:ascii="Arial" w:cs="Arial" w:eastAsia="Arial" w:hAnsi="Arial"/>
          <w:sz w:val="16"/>
          <w:szCs w:val="16"/>
          <w:color w:val="auto"/>
        </w:rPr>
        <w:t>not to file or to continue to prosecute or maintain a Licensed Patent in Licensor’s name, then it shall notify Company in writing at least [***] before any deadline applicable to the filing, prosecution or maintenance of such Licensed Patent, as the case may be, or any other date by which an action must be taken to establish or preserve such Licensed Patent in such country or possession. In such case, Company shall have the right to pursue the filing or support the continued prosecution or maintenance of such Licensed Patent. If Company elects to continue prosecution or maintenance of any of the Licensed Patents, Licensor shall provide Company with all relevant information, documentation and assistance in this respect as may reasonably be requested by Company. If Company fails to continue prosecution or maintenance of any of the Licensed Patents, then such abandoned Licensed Patents shall not extend the Royalty Term (i.e., no royalty payments shall be due under this Agreement on account of such abandoned Licensed Patents).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69" w:right="479" w:bottom="1440" w:gutter="0" w:footer="0" w:header="0"/>
        </w:sectPr>
      </w:pPr>
    </w:p>
    <w:bookmarkStart w:id="484" w:name="page485"/>
    <w:bookmarkEnd w:id="484"/>
    <w:p>
      <w:pPr>
        <w:ind w:left="980" w:right="80" w:firstLine="7"/>
        <w:spacing w:after="0" w:line="256" w:lineRule="auto"/>
        <w:tabs>
          <w:tab w:leader="none" w:pos="1224"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Patent Term Extension</w:t>
      </w:r>
      <w:r>
        <w:rPr>
          <w:rFonts w:ascii="Arial" w:cs="Arial" w:eastAsia="Arial" w:hAnsi="Arial"/>
          <w:sz w:val="18"/>
          <w:szCs w:val="18"/>
          <w:color w:val="auto"/>
        </w:rPr>
        <w:t>. As between the Parties, and subject to the UNC Agreement, Company shall be responsible for obtaining</w:t>
      </w:r>
      <w:r>
        <w:rPr>
          <w:rFonts w:ascii="Arial" w:cs="Arial" w:eastAsia="Arial" w:hAnsi="Arial"/>
          <w:sz w:val="18"/>
          <w:szCs w:val="18"/>
          <w:b w:val="1"/>
          <w:bCs w:val="1"/>
          <w:color w:val="auto"/>
        </w:rPr>
        <w:t xml:space="preserve"> </w:t>
      </w:r>
      <w:r>
        <w:rPr>
          <w:rFonts w:ascii="Arial" w:cs="Arial" w:eastAsia="Arial" w:hAnsi="Arial"/>
          <w:sz w:val="18"/>
          <w:szCs w:val="18"/>
          <w:color w:val="auto"/>
        </w:rPr>
        <w:t>patent term extensions wherever available for Licensed Patents, but Company has no obligation to seek any patent term extension. Licensor shall provide Company with all relevant information, documentation and assistance in this respect as may reasonably be requested by Company. Any such assistance, supply of information and consultation shall be provided promptly and in a manner that will ensure that all patent term extensions for Licensed Patents are obtained wherever legally permissible, and to the maximum extent available.</w:t>
      </w:r>
    </w:p>
    <w:p>
      <w:pPr>
        <w:spacing w:after="0" w:line="79" w:lineRule="exact"/>
        <w:rPr>
          <w:rFonts w:ascii="Arial" w:cs="Arial" w:eastAsia="Arial" w:hAnsi="Arial"/>
          <w:sz w:val="18"/>
          <w:szCs w:val="18"/>
          <w:color w:val="auto"/>
        </w:rPr>
      </w:pPr>
    </w:p>
    <w:p>
      <w:pPr>
        <w:ind w:left="980" w:right="140" w:firstLine="7"/>
        <w:spacing w:after="0" w:line="258" w:lineRule="auto"/>
        <w:tabs>
          <w:tab w:leader="none" w:pos="1235"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Company Patents</w:t>
      </w:r>
      <w:r>
        <w:rPr>
          <w:rFonts w:ascii="Arial" w:cs="Arial" w:eastAsia="Arial" w:hAnsi="Arial"/>
          <w:sz w:val="18"/>
          <w:szCs w:val="18"/>
          <w:color w:val="auto"/>
        </w:rPr>
        <w:t>. Company shall own any inventions, discoveries, Know-How and intellectual property rights developed by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Affiliates or a Third Party on behalf of Company and shall have the right, but not the obligation, to file, prosecute and maintain Patent Rights covering or claiming any such inventions, discoveries, Know-How or intellectual property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Patent</w:t>
      </w:r>
      <w:r>
        <w:rPr>
          <w:rFonts w:ascii="Arial" w:cs="Arial" w:eastAsia="Arial" w:hAnsi="Arial"/>
          <w:sz w:val="18"/>
          <w:szCs w:val="18"/>
          <w:color w:val="auto"/>
        </w:rPr>
        <w:t>”). Company shall bear all costs and expenses of filing, prosecuting and maintaining Company Patents and Licensor shall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rights with respect thereto.</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Enforcement and Defense</w:t>
      </w:r>
      <w:r>
        <w:rPr>
          <w:rFonts w:ascii="Arial" w:cs="Arial" w:eastAsia="Arial" w:hAnsi="Arial"/>
          <w:sz w:val="16"/>
          <w:szCs w:val="16"/>
          <w:color w:val="auto"/>
        </w:rPr>
        <w:t>.</w:t>
      </w:r>
    </w:p>
    <w:p>
      <w:pPr>
        <w:spacing w:after="0" w:line="131" w:lineRule="exact"/>
        <w:rPr>
          <w:sz w:val="20"/>
          <w:szCs w:val="20"/>
          <w:color w:val="auto"/>
        </w:rPr>
      </w:pPr>
    </w:p>
    <w:p>
      <w:pPr>
        <w:ind w:left="1180" w:hanging="644"/>
        <w:spacing w:after="0"/>
        <w:tabs>
          <w:tab w:leader="none" w:pos="118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540" w:right="20" w:firstLine="425"/>
        <w:spacing w:after="0" w:line="259" w:lineRule="auto"/>
        <w:tabs>
          <w:tab w:leader="none" w:pos="117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either Party believes that an infringement, unauthorized use, misappropriation or ownership claim or threatened infringement or other such activity by a Third Party with respect to any Licensed Technology, or if a Third Party claims that any Licensed Patent is invalid or unenforceable, the Party possessing such knowledge or belief shall notify the other Party and provide it with details of such infringement or claim that are known by such Party.</w:t>
      </w:r>
    </w:p>
    <w:p>
      <w:pPr>
        <w:spacing w:after="0" w:line="78" w:lineRule="exact"/>
        <w:rPr>
          <w:rFonts w:ascii="Arial" w:cs="Arial" w:eastAsia="Arial" w:hAnsi="Arial"/>
          <w:sz w:val="18"/>
          <w:szCs w:val="18"/>
          <w:color w:val="auto"/>
        </w:rPr>
      </w:pPr>
    </w:p>
    <w:p>
      <w:pPr>
        <w:ind w:left="540" w:right="40" w:firstLine="425"/>
        <w:spacing w:after="0" w:line="308" w:lineRule="auto"/>
        <w:tabs>
          <w:tab w:leader="none" w:pos="1223" w:val="left"/>
        </w:tabs>
        <w:numPr>
          <w:ilvl w:val="1"/>
          <w:numId w:val="212"/>
        </w:numPr>
        <w:rPr>
          <w:rFonts w:ascii="Arial" w:cs="Arial" w:eastAsia="Arial" w:hAnsi="Arial"/>
          <w:sz w:val="17"/>
          <w:szCs w:val="17"/>
          <w:color w:val="auto"/>
        </w:rPr>
      </w:pPr>
      <w:r>
        <w:rPr>
          <w:rFonts w:ascii="Arial" w:cs="Arial" w:eastAsia="Arial" w:hAnsi="Arial"/>
          <w:sz w:val="17"/>
          <w:szCs w:val="17"/>
          <w:color w:val="auto"/>
        </w:rPr>
        <w:t>In the event that Licensor believes that a Company Patent, if any, is being infringed by a Third Party or if a Third Party claims that any Company Patent is invalid or unenforceable, Licensor shall notify Company and provide it with details of such infringement or claim.</w:t>
      </w:r>
    </w:p>
    <w:p>
      <w:pPr>
        <w:spacing w:after="0" w:line="47" w:lineRule="exact"/>
        <w:rPr>
          <w:rFonts w:ascii="Arial" w:cs="Arial" w:eastAsia="Arial" w:hAnsi="Arial"/>
          <w:sz w:val="17"/>
          <w:szCs w:val="17"/>
          <w:color w:val="auto"/>
        </w:rPr>
      </w:pPr>
    </w:p>
    <w:p>
      <w:pPr>
        <w:ind w:left="1180" w:hanging="644"/>
        <w:spacing w:after="0"/>
        <w:tabs>
          <w:tab w:leader="none" w:pos="118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Actions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540" w:right="60" w:firstLine="425"/>
        <w:spacing w:after="0" w:line="254" w:lineRule="auto"/>
        <w:tabs>
          <w:tab w:leader="none" w:pos="117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As between the Parties, and subject to the UNC Agreement, Licensor shall have the first right to attempt to resolve any infringement or claim, including by filing an infringement suit, defending against such claim or taking other similar action, with respect to a Licensed Patent (each, an “</w:t>
      </w:r>
      <w:r>
        <w:rPr>
          <w:rFonts w:ascii="Arial" w:cs="Arial" w:eastAsia="Arial" w:hAnsi="Arial"/>
          <w:sz w:val="18"/>
          <w:szCs w:val="18"/>
          <w:b w:val="1"/>
          <w:bCs w:val="1"/>
          <w:color w:val="auto"/>
        </w:rPr>
        <w:t>Action</w:t>
      </w:r>
      <w:r>
        <w:rPr>
          <w:rFonts w:ascii="Arial" w:cs="Arial" w:eastAsia="Arial" w:hAnsi="Arial"/>
          <w:sz w:val="18"/>
          <w:szCs w:val="18"/>
          <w:color w:val="auto"/>
        </w:rPr>
        <w:t xml:space="preserve">”) and to compromise or settle any such infringement or claim subject to </w:t>
      </w:r>
      <w:r>
        <w:rPr>
          <w:rFonts w:ascii="Arial" w:cs="Arial" w:eastAsia="Arial" w:hAnsi="Arial"/>
          <w:sz w:val="18"/>
          <w:szCs w:val="18"/>
          <w:u w:val="single" w:color="auto"/>
          <w:color w:val="auto"/>
        </w:rPr>
        <w:t>Section 6.3(c)</w:t>
      </w:r>
      <w:r>
        <w:rPr>
          <w:rFonts w:ascii="Arial" w:cs="Arial" w:eastAsia="Arial" w:hAnsi="Arial"/>
          <w:sz w:val="18"/>
          <w:szCs w:val="18"/>
          <w:color w:val="auto"/>
        </w:rPr>
        <w:t>. Company shall provide reasonable assistance to Licensor at Licensor’s cost and expense, including by providing access to relevant documents and other evidence and making its employees reasonably available. All amounts recovered by Licensor shall be allocated, first, to the costs and expenses of the Parties incurred to enforce the Licensed Patents and, second, to Company (provided that such remaining amounts shall be deemed Net Sales for royalty and Sales Milestone calculation purposes).</w:t>
      </w:r>
    </w:p>
    <w:p>
      <w:pPr>
        <w:spacing w:after="0" w:line="86" w:lineRule="exact"/>
        <w:rPr>
          <w:rFonts w:ascii="Arial" w:cs="Arial" w:eastAsia="Arial" w:hAnsi="Arial"/>
          <w:sz w:val="18"/>
          <w:szCs w:val="18"/>
          <w:color w:val="auto"/>
        </w:rPr>
      </w:pPr>
    </w:p>
    <w:p>
      <w:pPr>
        <w:ind w:left="540" w:firstLine="425"/>
        <w:spacing w:after="0" w:line="293" w:lineRule="auto"/>
        <w:tabs>
          <w:tab w:leader="none" w:pos="1223"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As between the Parties, and subject to the UNC Agreement, if Licensor elects not to exercise its first right with respect to an Action as set forth in </w:t>
      </w:r>
      <w:r>
        <w:rPr>
          <w:rFonts w:ascii="Arial" w:cs="Arial" w:eastAsia="Arial" w:hAnsi="Arial"/>
          <w:sz w:val="16"/>
          <w:szCs w:val="16"/>
          <w:u w:val="single" w:color="auto"/>
          <w:color w:val="auto"/>
        </w:rPr>
        <w:t>Section 6.3(b)(i)</w:t>
      </w:r>
      <w:r>
        <w:rPr>
          <w:rFonts w:ascii="Arial" w:cs="Arial" w:eastAsia="Arial" w:hAnsi="Arial"/>
          <w:sz w:val="16"/>
          <w:szCs w:val="16"/>
          <w:color w:val="auto"/>
        </w:rPr>
        <w:t>, then it shall promptly notify Company in writing (but in any event with at least [***] before any deadline applicable to such Action or any other date by which an action must be taken to establish or preserve such right bring or defend such Action). In such case, Company shall have the right to pursue the Action to enforce or defend such Licensed Patent. Licensor shall provide Company with all relevant information, documentation and assistance in this respect as may reasonably be requested by Company. Licensor shall join Company in such Action upon Company’s written request. All amounts recovered by Company shall be retained by Company.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69" w:right="479" w:bottom="1440" w:gutter="0" w:footer="0" w:header="0"/>
        </w:sectPr>
      </w:pPr>
    </w:p>
    <w:bookmarkStart w:id="485" w:name="page486"/>
    <w:bookmarkEnd w:id="485"/>
    <w:p>
      <w:pPr>
        <w:ind w:left="420" w:right="420" w:hanging="4"/>
        <w:spacing w:after="0" w:line="266" w:lineRule="auto"/>
        <w:tabs>
          <w:tab w:leader="none" w:pos="665"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Settlement without Consent</w:t>
      </w:r>
      <w:r>
        <w:rPr>
          <w:rFonts w:ascii="Arial" w:cs="Arial" w:eastAsia="Arial" w:hAnsi="Arial"/>
          <w:sz w:val="18"/>
          <w:szCs w:val="18"/>
          <w:color w:val="auto"/>
        </w:rPr>
        <w:t>. Neither Party shall settle or otherwise compromise any Action by admitting that any Licensed Patent is</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without the other Party’s prior written consent, and, in the case of Licensor, Licensor may not settle or otherwise compromise an Action without Company’s prior written consent.</w:t>
      </w:r>
    </w:p>
    <w:p>
      <w:pPr>
        <w:spacing w:after="0" w:line="67" w:lineRule="exact"/>
        <w:rPr>
          <w:rFonts w:ascii="Arial" w:cs="Arial" w:eastAsia="Arial" w:hAnsi="Arial"/>
          <w:sz w:val="18"/>
          <w:szCs w:val="18"/>
          <w:color w:val="auto"/>
        </w:rPr>
      </w:pPr>
    </w:p>
    <w:p>
      <w:pPr>
        <w:ind w:left="420" w:right="20" w:hanging="4"/>
        <w:spacing w:after="0" w:line="281" w:lineRule="auto"/>
        <w:tabs>
          <w:tab w:leader="none" w:pos="675"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Company Patents</w:t>
      </w:r>
      <w:r>
        <w:rPr>
          <w:rFonts w:ascii="Arial" w:cs="Arial" w:eastAsia="Arial" w:hAnsi="Arial"/>
          <w:sz w:val="17"/>
          <w:szCs w:val="17"/>
          <w:color w:val="auto"/>
        </w:rPr>
        <w:t>. Company shall have the sole right and authority, but not the obligation, to enforce Company Patents against any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infringer and defend Company Patents against any Third Party; provided, that Licensor shall provide reasonable assistance to Company with respect thereto, including providing access to relevant documents and other evidence and making its employees available, subject to Company’s reimbursement of any Out-of-Pocket Expenses incurred on an on-going basis in providing such assistance.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4" w:lineRule="exact"/>
        <w:rPr>
          <w:sz w:val="20"/>
          <w:szCs w:val="20"/>
          <w:color w:val="auto"/>
        </w:rPr>
      </w:pPr>
    </w:p>
    <w:p>
      <w:pPr>
        <w:ind w:left="520" w:right="580" w:hanging="539"/>
        <w:spacing w:after="0" w:line="266" w:lineRule="auto"/>
        <w:tabs>
          <w:tab w:leader="none" w:pos="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color w:val="auto"/>
        </w:rPr>
        <w:t>Confidentiality Obligations</w:t>
      </w:r>
      <w:r>
        <w:rPr>
          <w:rFonts w:ascii="Arial" w:cs="Arial" w:eastAsia="Arial" w:hAnsi="Arial"/>
          <w:sz w:val="18"/>
          <w:szCs w:val="18"/>
          <w:color w:val="auto"/>
        </w:rPr>
        <w:t>. Each Party agrees that, for the Term and for [***] thereafter, such Party shall, and shall ensure that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hold in confidence all Confidential Information disclosed to it by the other Party pursuant to this Agreement, unless such information, as demonstrated by competent evidence of the recipient:</w:t>
      </w:r>
    </w:p>
    <w:p>
      <w:pPr>
        <w:spacing w:after="0" w:line="72" w:lineRule="exact"/>
        <w:rPr>
          <w:sz w:val="20"/>
          <w:szCs w:val="20"/>
          <w:color w:val="auto"/>
        </w:rPr>
      </w:pPr>
    </w:p>
    <w:p>
      <w:pPr>
        <w:ind w:left="1580" w:hanging="212"/>
        <w:spacing w:after="0"/>
        <w:tabs>
          <w:tab w:leader="none" w:pos="15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by the recipient;</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already known by or in the possession of the recipient at the time of disclosure by the disclosing Party;</w:t>
      </w:r>
    </w:p>
    <w:p>
      <w:pPr>
        <w:spacing w:after="0" w:line="117" w:lineRule="exact"/>
        <w:rPr>
          <w:rFonts w:ascii="Arial" w:cs="Arial" w:eastAsia="Arial" w:hAnsi="Arial"/>
          <w:sz w:val="18"/>
          <w:szCs w:val="18"/>
          <w:color w:val="auto"/>
        </w:rPr>
      </w:pPr>
    </w:p>
    <w:p>
      <w:pPr>
        <w:ind w:left="1680" w:hanging="312"/>
        <w:spacing w:after="0"/>
        <w:tabs>
          <w:tab w:leader="none" w:pos="16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is independently developed by recipient without use of or reference to the disclosing Party’s Confidential Information; or</w:t>
      </w:r>
    </w:p>
    <w:p>
      <w:pPr>
        <w:spacing w:after="0" w:line="128" w:lineRule="exact"/>
        <w:rPr>
          <w:rFonts w:ascii="Arial" w:cs="Arial" w:eastAsia="Arial" w:hAnsi="Arial"/>
          <w:sz w:val="17"/>
          <w:szCs w:val="17"/>
          <w:color w:val="auto"/>
        </w:rPr>
      </w:pPr>
    </w:p>
    <w:p>
      <w:pPr>
        <w:ind w:left="1680" w:hanging="312"/>
        <w:spacing w:after="0"/>
        <w:tabs>
          <w:tab w:leader="none" w:pos="16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 obtained by recipient from a Third Party that has not breached any obligations of confidentiality.</w:t>
      </w:r>
    </w:p>
    <w:p>
      <w:pPr>
        <w:spacing w:after="0" w:line="117" w:lineRule="exact"/>
        <w:rPr>
          <w:sz w:val="20"/>
          <w:szCs w:val="20"/>
          <w:color w:val="auto"/>
        </w:rPr>
      </w:pPr>
    </w:p>
    <w:p>
      <w:pPr>
        <w:ind w:left="960"/>
        <w:spacing w:after="0" w:line="290" w:lineRule="auto"/>
        <w:rPr>
          <w:sz w:val="20"/>
          <w:szCs w:val="20"/>
          <w:color w:val="auto"/>
        </w:rPr>
      </w:pPr>
      <w:r>
        <w:rPr>
          <w:rFonts w:ascii="Arial" w:cs="Arial" w:eastAsia="Arial" w:hAnsi="Arial"/>
          <w:sz w:val="16"/>
          <w:szCs w:val="16"/>
          <w:color w:val="auto"/>
        </w:rPr>
        <w:t>The recipient shall not disclose any of the Confidential Information, except to Representatives of the recipient who need to know the Confidential Information for the purpose of performing the recipient’s obligations, or exercising its rights, under this Agreement and who are bound by obligations of non-use and non-disclosure substantially similar to those set forth herein. The recipient shall be responsible for any disclosure or use of the Confidential Information by such Representatives. The recipient shall protect Confidential Information using not less than the same care with which it treats its own confidential information, but at all times shall use at least reasonable care. Each Party shall: (a) implement and maintain appropriate security measures to prevent unauthorized access to, or disclosure of, the other Party’s Confidential Information; (b) promptly notify the other Party of any unauthorized access or disclosure of such other Party’s Confidential Information; and (c) cooperate with such other Party in the investigation and remediation of any such unauthorized access or disclosure.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69" w:right="459" w:bottom="1440" w:gutter="0" w:footer="0" w:header="0"/>
        </w:sectPr>
      </w:pPr>
    </w:p>
    <w:bookmarkStart w:id="486" w:name="page487"/>
    <w:bookmarkEnd w:id="486"/>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Arial" w:cs="Arial" w:eastAsia="Arial" w:hAnsi="Arial"/>
          <w:sz w:val="18"/>
          <w:szCs w:val="18"/>
          <w:b w:val="1"/>
          <w:bCs w:val="1"/>
          <w:color w:val="auto"/>
        </w:rPr>
        <w:t>Use</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 a Party may use the Confidential Information of the other Party for the purpose of performing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exercising its rights, under this Agreement, including for purposes of:</w:t>
      </w:r>
    </w:p>
    <w:p>
      <w:pPr>
        <w:spacing w:after="0" w:line="58" w:lineRule="exact"/>
        <w:rPr>
          <w:sz w:val="20"/>
          <w:szCs w:val="20"/>
          <w:color w:val="auto"/>
        </w:rPr>
      </w:pPr>
    </w:p>
    <w:p>
      <w:pPr>
        <w:ind w:left="2100" w:hanging="210"/>
        <w:spacing w:after="0"/>
        <w:tabs>
          <w:tab w:leader="none" w:pos="21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filing or prosecuting patent applications, subject to the terms of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60" w:hanging="270"/>
        <w:spacing w:after="0"/>
        <w:tabs>
          <w:tab w:leader="none" w:pos="2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117" w:lineRule="exact"/>
        <w:rPr>
          <w:rFonts w:ascii="Arial" w:cs="Arial" w:eastAsia="Arial" w:hAnsi="Arial"/>
          <w:sz w:val="18"/>
          <w:szCs w:val="18"/>
          <w:color w:val="auto"/>
        </w:rPr>
      </w:pPr>
    </w:p>
    <w:p>
      <w:pPr>
        <w:ind w:left="2200" w:hanging="310"/>
        <w:spacing w:after="0"/>
        <w:tabs>
          <w:tab w:leader="none" w:pos="2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conducting pre-clinical studies or Clinical Trials pursuant to this Agreement;</w:t>
      </w:r>
    </w:p>
    <w:p>
      <w:pPr>
        <w:spacing w:after="0" w:line="117" w:lineRule="exact"/>
        <w:rPr>
          <w:rFonts w:ascii="Arial" w:cs="Arial" w:eastAsia="Arial" w:hAnsi="Arial"/>
          <w:sz w:val="18"/>
          <w:szCs w:val="18"/>
          <w:color w:val="auto"/>
        </w:rPr>
      </w:pPr>
    </w:p>
    <w:p>
      <w:pPr>
        <w:ind w:left="2200" w:hanging="310"/>
        <w:spacing w:after="0"/>
        <w:tabs>
          <w:tab w:leader="none" w:pos="2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seeking or maintaining Regulatory Approval of the Licensed Product; or</w:t>
      </w:r>
    </w:p>
    <w:p>
      <w:pPr>
        <w:spacing w:after="0" w:line="117" w:lineRule="exact"/>
        <w:rPr>
          <w:rFonts w:ascii="Arial" w:cs="Arial" w:eastAsia="Arial" w:hAnsi="Arial"/>
          <w:sz w:val="18"/>
          <w:szCs w:val="18"/>
          <w:color w:val="auto"/>
        </w:rPr>
      </w:pPr>
    </w:p>
    <w:p>
      <w:pPr>
        <w:ind w:left="980" w:right="480" w:firstLine="910"/>
        <w:spacing w:after="0" w:line="277" w:lineRule="auto"/>
        <w:tabs>
          <w:tab w:leader="none" w:pos="213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complying with Law, including securities Law and the rules of any securities exchange or market on which a Party’s securities are listed or traded.</w:t>
      </w:r>
    </w:p>
    <w:p>
      <w:pPr>
        <w:spacing w:after="0" w:line="62" w:lineRule="exact"/>
        <w:rPr>
          <w:sz w:val="20"/>
          <w:szCs w:val="20"/>
          <w:color w:val="auto"/>
        </w:rPr>
      </w:pPr>
    </w:p>
    <w:p>
      <w:pPr>
        <w:ind w:left="980" w:right="480"/>
        <w:spacing w:after="0" w:line="263" w:lineRule="auto"/>
        <w:rPr>
          <w:sz w:val="20"/>
          <w:szCs w:val="20"/>
          <w:color w:val="auto"/>
        </w:rPr>
      </w:pPr>
      <w:r>
        <w:rPr>
          <w:rFonts w:ascii="Arial" w:cs="Arial" w:eastAsia="Arial" w:hAnsi="Arial"/>
          <w:sz w:val="18"/>
          <w:szCs w:val="18"/>
          <w:color w:val="auto"/>
        </w:rPr>
        <w:t>In addition to the foregoing, Company may, in furtherance of its rights under this Agreement, disclose Confidential Information of Licensor to any Third Party, provided that such Third Party is bound by obligations of confidentiality at least as stringent as the ones herein.</w:t>
      </w:r>
    </w:p>
    <w:p>
      <w:pPr>
        <w:spacing w:after="0" w:line="76" w:lineRule="exact"/>
        <w:rPr>
          <w:sz w:val="20"/>
          <w:szCs w:val="20"/>
          <w:color w:val="auto"/>
        </w:rPr>
      </w:pPr>
    </w:p>
    <w:p>
      <w:pPr>
        <w:ind w:left="980"/>
        <w:spacing w:after="0" w:line="291" w:lineRule="auto"/>
        <w:rPr>
          <w:sz w:val="20"/>
          <w:szCs w:val="20"/>
          <w:color w:val="auto"/>
        </w:rPr>
      </w:pPr>
      <w:r>
        <w:rPr>
          <w:rFonts w:ascii="Arial" w:cs="Arial" w:eastAsia="Arial" w:hAnsi="Arial"/>
          <w:sz w:val="16"/>
          <w:szCs w:val="16"/>
          <w:color w:val="auto"/>
        </w:rPr>
        <w:t>In making any disclosures set forth in clauses (i) through (v) above, the disclosing Party shall, where reasonably practicable, give such advance notice to the other Party of such disclosure requirement as is reasonable under the circumstances and will use its reasonable efforts to cooperate with the other Party in order to secure confidential treatment of such Confidential Information required to be disclosed. In addition, in connection with any permitted filing by either Party of this Agreement with any Governmental Body the filing Party shall endeavor to obtain confidential treatment of economic, trade secret information and such other information as may be requested by the other Party, and shall provide the other Party with the proposed confidential treatment request with reasonable time for such other Party to provide comments, and shall include in such confidential treatment request all reasonable comments of the other Party.</w:t>
      </w:r>
    </w:p>
    <w:p>
      <w:pPr>
        <w:spacing w:after="0" w:line="68" w:lineRule="exact"/>
        <w:rPr>
          <w:sz w:val="20"/>
          <w:szCs w:val="20"/>
          <w:color w:val="auto"/>
        </w:rPr>
      </w:pPr>
    </w:p>
    <w:p>
      <w:pPr>
        <w:jc w:val="both"/>
        <w:ind w:left="540" w:right="80" w:hanging="539"/>
        <w:spacing w:after="0" w:line="314"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Required Disclosure</w:t>
      </w:r>
      <w:r>
        <w:rPr>
          <w:rFonts w:ascii="Arial" w:cs="Arial" w:eastAsia="Arial" w:hAnsi="Arial"/>
          <w:sz w:val="16"/>
          <w:szCs w:val="16"/>
          <w:color w:val="auto"/>
        </w:rPr>
        <w:t>. The recipient may disclose the Confidential Information to the extent required by Law or court order; 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recipient promptly provides to the disclosing party, to the extent legally permissible, prior written notice of such disclosure and provides reasonable assistance in obtaining an order or other remedy protecting the Confidential Information from public disclosure.</w:t>
      </w:r>
    </w:p>
    <w:p>
      <w:pPr>
        <w:spacing w:after="0" w:line="47" w:lineRule="exact"/>
        <w:rPr>
          <w:sz w:val="20"/>
          <w:szCs w:val="20"/>
          <w:color w:val="auto"/>
        </w:rPr>
      </w:pPr>
    </w:p>
    <w:p>
      <w:pPr>
        <w:ind w:left="540" w:right="100" w:hanging="539"/>
        <w:spacing w:after="0" w:line="273"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b w:val="1"/>
          <w:bCs w:val="1"/>
          <w:color w:val="auto"/>
        </w:rPr>
        <w:t>Publications</w:t>
      </w:r>
      <w:r>
        <w:rPr>
          <w:rFonts w:ascii="Arial" w:cs="Arial" w:eastAsia="Arial" w:hAnsi="Arial"/>
          <w:sz w:val="17"/>
          <w:szCs w:val="17"/>
          <w:color w:val="auto"/>
        </w:rPr>
        <w:t>. Licensor shall not publish any information relating to Licensed Product without the prior written consent of Company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may be withheld or given in Company’s sole discretion), unless such information has already been publicly disclosed either prior to the Effective Date or after the Effective Date through no fault of Licensor or otherwise not in violation of this Agreement. Company shall have the right to make such publications as it chooses, in its sole discretion, without the approval of Licensor. Licensor shall submit to Company for Company’s written approval (which approval be granted or denied in Company’s sole discretion) any publication or presentation (including in any seminars, symposia or otherwise) of information related directly or indirectly to the Licensed Product for review and approval at least [***] prior to submission for the proposed date of publication or presentation.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487" w:name="page488"/>
    <w:bookmarkEnd w:id="48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7.5</w:t>
      </w:r>
      <w:r>
        <w:rPr>
          <w:sz w:val="20"/>
          <w:szCs w:val="20"/>
          <w:color w:val="auto"/>
        </w:rPr>
        <w:tab/>
      </w:r>
      <w:r>
        <w:rPr>
          <w:rFonts w:ascii="Arial" w:cs="Arial" w:eastAsia="Arial" w:hAnsi="Arial"/>
          <w:sz w:val="15"/>
          <w:szCs w:val="15"/>
          <w:b w:val="1"/>
          <w:bCs w:val="1"/>
          <w:color w:val="auto"/>
        </w:rPr>
        <w:t>Press Releases and Disclosure</w:t>
      </w:r>
      <w:r>
        <w:rPr>
          <w:rFonts w:ascii="Arial" w:cs="Arial" w:eastAsia="Arial" w:hAnsi="Arial"/>
          <w:sz w:val="15"/>
          <w:szCs w:val="15"/>
          <w:color w:val="auto"/>
        </w:rPr>
        <w:t>.</w:t>
      </w:r>
    </w:p>
    <w:p>
      <w:pPr>
        <w:spacing w:after="0" w:line="117" w:lineRule="exact"/>
        <w:rPr>
          <w:sz w:val="20"/>
          <w:szCs w:val="20"/>
          <w:color w:val="auto"/>
        </w:rPr>
      </w:pPr>
    </w:p>
    <w:p>
      <w:pPr>
        <w:ind w:left="980" w:right="460" w:firstLine="7"/>
        <w:spacing w:after="0" w:line="282" w:lineRule="auto"/>
        <w:tabs>
          <w:tab w:leader="none" w:pos="122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Initial Press Release</w:t>
      </w:r>
      <w:r>
        <w:rPr>
          <w:rFonts w:ascii="Arial" w:cs="Arial" w:eastAsia="Arial" w:hAnsi="Arial"/>
          <w:sz w:val="18"/>
          <w:szCs w:val="18"/>
          <w:color w:val="auto"/>
        </w:rPr>
        <w:t>. Following the Effective Date, the Parties shall work in good faith to issue a mutually agreeable joint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of the execution of this Agreement.</w:t>
      </w:r>
    </w:p>
    <w:p>
      <w:pPr>
        <w:spacing w:after="0" w:line="53" w:lineRule="exact"/>
        <w:rPr>
          <w:rFonts w:ascii="Arial" w:cs="Arial" w:eastAsia="Arial" w:hAnsi="Arial"/>
          <w:sz w:val="18"/>
          <w:szCs w:val="18"/>
          <w:color w:val="auto"/>
        </w:rPr>
      </w:pPr>
    </w:p>
    <w:p>
      <w:pPr>
        <w:ind w:left="980" w:right="100" w:firstLine="7"/>
        <w:spacing w:after="0" w:line="266" w:lineRule="auto"/>
        <w:tabs>
          <w:tab w:leader="none" w:pos="1235"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Public Disclosures By Licensor</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7.5(d)</w:t>
      </w:r>
      <w:r>
        <w:rPr>
          <w:rFonts w:ascii="Arial" w:cs="Arial" w:eastAsia="Arial" w:hAnsi="Arial"/>
          <w:sz w:val="18"/>
          <w:szCs w:val="18"/>
          <w:color w:val="auto"/>
        </w:rPr>
        <w:t>, Licensor may not make any subsequent press release or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regarding the terms of this Agreement or any matter covered by this Agreement, including the Development or Commercialization of Licensed Products, without the prior written consent of Company.</w:t>
      </w:r>
    </w:p>
    <w:p>
      <w:pPr>
        <w:spacing w:after="0" w:line="71" w:lineRule="exact"/>
        <w:rPr>
          <w:rFonts w:ascii="Arial" w:cs="Arial" w:eastAsia="Arial" w:hAnsi="Arial"/>
          <w:sz w:val="18"/>
          <w:szCs w:val="18"/>
          <w:color w:val="auto"/>
        </w:rPr>
      </w:pPr>
    </w:p>
    <w:p>
      <w:pPr>
        <w:ind w:left="980" w:firstLine="7"/>
        <w:spacing w:after="0" w:line="259" w:lineRule="auto"/>
        <w:tabs>
          <w:tab w:leader="none" w:pos="12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Public Disclosures by Company. Except as provided in </w:t>
      </w:r>
      <w:r>
        <w:rPr>
          <w:rFonts w:ascii="Arial" w:cs="Arial" w:eastAsia="Arial" w:hAnsi="Arial"/>
          <w:sz w:val="18"/>
          <w:szCs w:val="18"/>
          <w:u w:val="single" w:color="auto"/>
          <w:color w:val="auto"/>
        </w:rPr>
        <w:t>Section 7.5(d)</w:t>
      </w:r>
      <w:r>
        <w:rPr>
          <w:rFonts w:ascii="Arial" w:cs="Arial" w:eastAsia="Arial" w:hAnsi="Arial"/>
          <w:sz w:val="18"/>
          <w:szCs w:val="18"/>
          <w:color w:val="auto"/>
        </w:rPr>
        <w:t xml:space="preserve">, Company may not make any subsequent press release or public announcement regarding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Company shall have the right to make such press releases as it chooses, in its sole discretion, regarding the status of its Development or Commercialization of Licensed Products without the approval of Licensor.</w:t>
      </w:r>
    </w:p>
    <w:p>
      <w:pPr>
        <w:spacing w:after="0" w:line="78" w:lineRule="exact"/>
        <w:rPr>
          <w:rFonts w:ascii="Arial" w:cs="Arial" w:eastAsia="Arial" w:hAnsi="Arial"/>
          <w:sz w:val="18"/>
          <w:szCs w:val="18"/>
          <w:color w:val="auto"/>
        </w:rPr>
      </w:pPr>
    </w:p>
    <w:p>
      <w:pPr>
        <w:ind w:left="980" w:right="140" w:firstLine="7"/>
        <w:spacing w:after="0" w:line="254" w:lineRule="auto"/>
        <w:tabs>
          <w:tab w:leader="none" w:pos="12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Securities Filings and Regulatory Communications. Notwithstanding anything in this Agreement, either Party shall have the right without the approval of the other Party to make disclosures related to this Agreement or the Licensed Product, including (i) securities filings that such Party determines are required under applicable securities laws and regulations (provided, that it provides the text of such planned disclosure to the non-disclosing Party no less than [***] prior to disclosure, and has used reasonable efforts to incorporate all reasonable comments of the non-disclosing Party regarding such disclosure) and (ii) regulatory communications to the extent such Party determines that such disclosures are necessary or useful in connection with such regulatory communication (including, but not limited to, regulatory filings).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Each Party represents and warrants to the other Party that, as of the Effective Date:</w:t>
      </w:r>
    </w:p>
    <w:p>
      <w:pPr>
        <w:spacing w:after="0" w:line="121" w:lineRule="exact"/>
        <w:rPr>
          <w:sz w:val="20"/>
          <w:szCs w:val="20"/>
          <w:color w:val="auto"/>
        </w:rPr>
      </w:pPr>
    </w:p>
    <w:p>
      <w:pPr>
        <w:ind w:left="2100" w:hanging="210"/>
        <w:spacing w:after="0"/>
        <w:tabs>
          <w:tab w:leader="none" w:pos="21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such Party is duly organized and validly existing under the Laws of the jurisdiction of its incorporation or organization;</w:t>
      </w:r>
    </w:p>
    <w:p>
      <w:pPr>
        <w:spacing w:after="0" w:line="128" w:lineRule="exact"/>
        <w:rPr>
          <w:rFonts w:ascii="Arial" w:cs="Arial" w:eastAsia="Arial" w:hAnsi="Arial"/>
          <w:sz w:val="17"/>
          <w:szCs w:val="17"/>
          <w:color w:val="auto"/>
        </w:rPr>
      </w:pPr>
    </w:p>
    <w:p>
      <w:pPr>
        <w:ind w:left="980" w:right="20" w:firstLine="910"/>
        <w:spacing w:after="0" w:line="277" w:lineRule="auto"/>
        <w:tabs>
          <w:tab w:leader="none" w:pos="2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such Party has taken all action necessary to authorize the execution and delivery of this Agreement and the performance of its obligations under this Agreement;</w:t>
      </w:r>
    </w:p>
    <w:p>
      <w:pPr>
        <w:spacing w:after="0" w:line="62" w:lineRule="exact"/>
        <w:rPr>
          <w:rFonts w:ascii="Arial" w:cs="Arial" w:eastAsia="Arial" w:hAnsi="Arial"/>
          <w:sz w:val="18"/>
          <w:szCs w:val="18"/>
          <w:color w:val="auto"/>
        </w:rPr>
      </w:pPr>
    </w:p>
    <w:p>
      <w:pPr>
        <w:ind w:left="980" w:right="120" w:firstLine="910"/>
        <w:spacing w:after="0" w:line="273" w:lineRule="auto"/>
        <w:tabs>
          <w:tab w:leader="none" w:pos="219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69" w:right="439" w:bottom="1440" w:gutter="0" w:footer="0" w:header="0"/>
        </w:sectPr>
      </w:pPr>
    </w:p>
    <w:bookmarkStart w:id="488" w:name="page489"/>
    <w:bookmarkEnd w:id="488"/>
    <w:p>
      <w:pPr>
        <w:ind w:left="980" w:right="560" w:firstLine="910"/>
        <w:spacing w:after="0" w:line="308" w:lineRule="auto"/>
        <w:tabs>
          <w:tab w:leader="none" w:pos="2187" w:val="left"/>
        </w:tabs>
        <w:numPr>
          <w:ilvl w:val="0"/>
          <w:numId w:val="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consent by any Third Party or Governmental Body is required with respect to the execution and delivery of this Agreement by such Party or the consummation by such Party of the transactions contemplated hereby; and</w:t>
      </w:r>
    </w:p>
    <w:p>
      <w:pPr>
        <w:spacing w:after="0" w:line="38" w:lineRule="exact"/>
        <w:rPr>
          <w:rFonts w:ascii="Arial" w:cs="Arial" w:eastAsia="Arial" w:hAnsi="Arial"/>
          <w:sz w:val="17"/>
          <w:szCs w:val="17"/>
          <w:color w:val="auto"/>
        </w:rPr>
      </w:pPr>
    </w:p>
    <w:p>
      <w:pPr>
        <w:ind w:left="2140" w:hanging="250"/>
        <w:spacing w:after="0"/>
        <w:tabs>
          <w:tab w:leader="none" w:pos="21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such Party has all right, power and authority to enter into this Agreement, to perform its obligations under this Agreement.</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Additional Representations and Warranties of Licensor</w:t>
      </w:r>
      <w:r>
        <w:rPr>
          <w:rFonts w:ascii="Arial" w:cs="Arial" w:eastAsia="Arial" w:hAnsi="Arial"/>
          <w:sz w:val="16"/>
          <w:szCs w:val="16"/>
          <w:color w:val="auto"/>
        </w:rPr>
        <w:t>. Licensor represents and warrants to Company that, as of the Effective Date:</w:t>
      </w:r>
    </w:p>
    <w:p>
      <w:pPr>
        <w:spacing w:after="0" w:line="121" w:lineRule="exact"/>
        <w:rPr>
          <w:sz w:val="20"/>
          <w:szCs w:val="20"/>
          <w:color w:val="auto"/>
        </w:rPr>
      </w:pPr>
    </w:p>
    <w:p>
      <w:pPr>
        <w:ind w:left="980" w:right="220" w:firstLine="910"/>
        <w:spacing w:after="0" w:line="301" w:lineRule="auto"/>
        <w:tabs>
          <w:tab w:leader="none" w:pos="209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no claims have been asserted, or, to Licensor’s knowledge, threatened by any Person, nor, to Licensor’s knowledge, are there any valid grounds for any claim of any such kind (a) challenging the validity, effectiveness, or ownership of Licensed Technology, and/or (b) to the effect that the use, reproduction, modification, manufacturing, distribution, licensing, sublicensing, sale or any other exercise of rights in any of Licensed Technology infringes or will infringe on any intellectual property right of any Person;</w:t>
      </w:r>
    </w:p>
    <w:p>
      <w:pPr>
        <w:spacing w:after="0" w:line="49" w:lineRule="exact"/>
        <w:rPr>
          <w:rFonts w:ascii="Arial" w:cs="Arial" w:eastAsia="Arial" w:hAnsi="Arial"/>
          <w:sz w:val="16"/>
          <w:szCs w:val="16"/>
          <w:color w:val="auto"/>
        </w:rPr>
      </w:pPr>
    </w:p>
    <w:p>
      <w:pPr>
        <w:ind w:left="980" w:right="760" w:firstLine="910"/>
        <w:spacing w:after="0" w:line="277" w:lineRule="auto"/>
        <w:tabs>
          <w:tab w:leader="none" w:pos="2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the knowledge of Licensor, there is no unauthorized use, infringement or misappropriation of any of Licensed Technology by any employee or former employee of Licensor, or any other Third Party;</w:t>
      </w:r>
    </w:p>
    <w:p>
      <w:pPr>
        <w:spacing w:after="0" w:line="62" w:lineRule="exact"/>
        <w:rPr>
          <w:rFonts w:ascii="Arial" w:cs="Arial" w:eastAsia="Arial" w:hAnsi="Arial"/>
          <w:sz w:val="18"/>
          <w:szCs w:val="18"/>
          <w:color w:val="auto"/>
        </w:rPr>
      </w:pPr>
    </w:p>
    <w:p>
      <w:pPr>
        <w:ind w:left="980" w:right="300" w:firstLine="910"/>
        <w:spacing w:after="0" w:line="277" w:lineRule="auto"/>
        <w:tabs>
          <w:tab w:leader="none" w:pos="219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Licensed Patents are subsisting and are not the subject of any litigation procedure, discovery process, interference, reissue, reexamination, opposition, appeal proceedings or any other legal dispute;</w:t>
      </w:r>
    </w:p>
    <w:p>
      <w:pPr>
        <w:spacing w:after="0" w:line="62" w:lineRule="exact"/>
        <w:rPr>
          <w:rFonts w:ascii="Arial" w:cs="Arial" w:eastAsia="Arial" w:hAnsi="Arial"/>
          <w:sz w:val="18"/>
          <w:szCs w:val="18"/>
          <w:color w:val="auto"/>
        </w:rPr>
      </w:pPr>
    </w:p>
    <w:p>
      <w:pPr>
        <w:ind w:left="980" w:right="200" w:firstLine="910"/>
        <w:spacing w:after="0" w:line="308" w:lineRule="auto"/>
        <w:tabs>
          <w:tab w:leader="none" w:pos="218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Licensed Patents constitute all Patents Controlled by Licensor as of the Effective Date that are directly related to, or are necessary or useful for, the research, Development, manufacture, use or Commercialization of Licensed Product;</w:t>
      </w:r>
    </w:p>
    <w:p>
      <w:pPr>
        <w:spacing w:after="0" w:line="38" w:lineRule="exact"/>
        <w:rPr>
          <w:rFonts w:ascii="Arial" w:cs="Arial" w:eastAsia="Arial" w:hAnsi="Arial"/>
          <w:sz w:val="17"/>
          <w:szCs w:val="17"/>
          <w:color w:val="auto"/>
        </w:rPr>
      </w:pPr>
    </w:p>
    <w:p>
      <w:pPr>
        <w:jc w:val="both"/>
        <w:ind w:left="980" w:right="40" w:firstLine="910"/>
        <w:spacing w:after="0" w:line="259" w:lineRule="auto"/>
        <w:tabs>
          <w:tab w:leader="none" w:pos="21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Licensed Know-How (a) constitutes all Know-How Controlled by Licensor as of the Effective Date that is reasonably necessary for the research, Development, manufacture, use or Commercialization of Licensed Product and (b) constitutes all Know-How that is, to Licensor’s knowledge, reasonably necessary for the research, Development, manufacture, use or Commercialization of Licensed Product;</w:t>
      </w:r>
    </w:p>
    <w:p>
      <w:pPr>
        <w:spacing w:after="0" w:line="78" w:lineRule="exact"/>
        <w:rPr>
          <w:rFonts w:ascii="Arial" w:cs="Arial" w:eastAsia="Arial" w:hAnsi="Arial"/>
          <w:sz w:val="18"/>
          <w:szCs w:val="18"/>
          <w:color w:val="auto"/>
        </w:rPr>
      </w:pPr>
    </w:p>
    <w:p>
      <w:pPr>
        <w:ind w:left="2200" w:hanging="310"/>
        <w:spacing w:after="0"/>
        <w:tabs>
          <w:tab w:leader="none" w:pos="22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it has the full right to provide the Licensed Materials to Company;</w:t>
      </w:r>
    </w:p>
    <w:p>
      <w:pPr>
        <w:spacing w:after="0" w:line="117" w:lineRule="exact"/>
        <w:rPr>
          <w:rFonts w:ascii="Arial" w:cs="Arial" w:eastAsia="Arial" w:hAnsi="Arial"/>
          <w:sz w:val="18"/>
          <w:szCs w:val="18"/>
          <w:color w:val="auto"/>
        </w:rPr>
      </w:pPr>
    </w:p>
    <w:p>
      <w:pPr>
        <w:ind w:left="980" w:right="80" w:firstLine="910"/>
        <w:spacing w:after="0" w:line="286" w:lineRule="auto"/>
        <w:tabs>
          <w:tab w:leader="none" w:pos="223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all Representatives of Licensor who have performed any activities on its behalf in connection with research regarding Licensed Product have assigned to Licensor in all material respects their rights in any intellectual property made, discovered or developed by them as a result of such research, and no Third Party has any rights to any such intellectual property;</w:t>
      </w:r>
    </w:p>
    <w:p>
      <w:pPr>
        <w:spacing w:after="0" w:line="57" w:lineRule="exact"/>
        <w:rPr>
          <w:rFonts w:ascii="Arial" w:cs="Arial" w:eastAsia="Arial" w:hAnsi="Arial"/>
          <w:sz w:val="17"/>
          <w:szCs w:val="17"/>
          <w:color w:val="auto"/>
        </w:rPr>
      </w:pPr>
    </w:p>
    <w:p>
      <w:pPr>
        <w:ind w:left="980" w:firstLine="910"/>
        <w:spacing w:after="0" w:line="301" w:lineRule="auto"/>
        <w:tabs>
          <w:tab w:leader="none" w:pos="228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Licensor has the right, power and authority to grant to Company the rights granted to Company hereunder, including, but not limited to, with respect to the Existing Third-Party Agreements. In particular, the grant of such sublicense requires no consent, waiver or other action by any party to the Existing Third-Party Agreements and the rights and obligations of Company set forth in this Agreement do not contravene nor are they inconsistent with or in conflict with the terms of any Existing Third-Party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489" w:name="page490"/>
    <w:bookmarkEnd w:id="489"/>
    <w:p>
      <w:pPr>
        <w:ind w:left="980" w:right="40" w:firstLine="910"/>
        <w:spacing w:after="0" w:line="272" w:lineRule="auto"/>
        <w:tabs>
          <w:tab w:leader="none" w:pos="2187"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Existing Third-Party Agreements constitute all agreements with Third Parties pursuant to which Licensor has in-licensed, or otherwise obtained rights, with respect to Licensed Product. Licensor has provided to Company an accurate, true and complete copy of each of the Existing Third Party Agreements, as amended to-date and each of the Existing Third Party Agreements is in full force and effect and Licensor is not in breach or default in the performance of its obligations under any of the Existing Third Party Agreements. Licensor has not received any notice from any Third Party of any breach, default or non-compliance of Licensor under the terms of any of the Existing Third-Party Agreements. There have been no amendments or other modification to any Existing Third-Party Agreements, except as have been disclosed to Company in writing;</w:t>
      </w:r>
    </w:p>
    <w:p>
      <w:pPr>
        <w:spacing w:after="0" w:line="69" w:lineRule="exact"/>
        <w:rPr>
          <w:rFonts w:ascii="Arial" w:cs="Arial" w:eastAsia="Arial" w:hAnsi="Arial"/>
          <w:sz w:val="17"/>
          <w:szCs w:val="17"/>
          <w:color w:val="auto"/>
        </w:rPr>
      </w:pPr>
    </w:p>
    <w:p>
      <w:pPr>
        <w:ind w:left="980" w:right="40" w:firstLine="910"/>
        <w:spacing w:after="0" w:line="308" w:lineRule="auto"/>
        <w:tabs>
          <w:tab w:leader="none" w:pos="213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Licensor has not received any communication from University regarding any failure to achieve any milestone set forth on Appendix B of the UNC Agreement, including any failure to achieve any milestone within the time period set forth therein;</w:t>
      </w:r>
    </w:p>
    <w:p>
      <w:pPr>
        <w:spacing w:after="0" w:line="38" w:lineRule="exact"/>
        <w:rPr>
          <w:rFonts w:ascii="Arial" w:cs="Arial" w:eastAsia="Arial" w:hAnsi="Arial"/>
          <w:sz w:val="17"/>
          <w:szCs w:val="17"/>
          <w:color w:val="auto"/>
        </w:rPr>
      </w:pPr>
    </w:p>
    <w:p>
      <w:pPr>
        <w:ind w:left="980" w:firstLine="910"/>
        <w:spacing w:after="0" w:line="259" w:lineRule="auto"/>
        <w:tabs>
          <w:tab w:leader="none" w:pos="21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tangible information and data provided by or on behalf of Licensor to Company on or before the Effective Date in contemplation of this Agreement was and is true, accurate and complete in all material respects, and Licensor has not failed to disclose, or cause to be disclosed, any information or data that would cause the information and data that has been disclosed to be misleading in any material respect;</w:t>
      </w:r>
    </w:p>
    <w:p>
      <w:pPr>
        <w:spacing w:after="0" w:line="78" w:lineRule="exact"/>
        <w:rPr>
          <w:rFonts w:ascii="Arial" w:cs="Arial" w:eastAsia="Arial" w:hAnsi="Arial"/>
          <w:sz w:val="18"/>
          <w:szCs w:val="18"/>
          <w:color w:val="auto"/>
        </w:rPr>
      </w:pPr>
    </w:p>
    <w:p>
      <w:pPr>
        <w:ind w:left="980" w:right="340" w:firstLine="910"/>
        <w:spacing w:after="0" w:line="342" w:lineRule="auto"/>
        <w:tabs>
          <w:tab w:leader="none" w:pos="223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Licensor (and its Affiliates) has not employed or otherwise used in any capacity the services of any Person debarred under United States law, including under 21 USC §335a or any foreign equivalent thereof, with respect to Licensed Product;</w:t>
      </w:r>
    </w:p>
    <w:p>
      <w:pPr>
        <w:spacing w:after="0" w:line="15" w:lineRule="exact"/>
        <w:rPr>
          <w:rFonts w:ascii="Arial" w:cs="Arial" w:eastAsia="Arial" w:hAnsi="Arial"/>
          <w:sz w:val="16"/>
          <w:szCs w:val="16"/>
          <w:color w:val="auto"/>
        </w:rPr>
      </w:pPr>
    </w:p>
    <w:p>
      <w:pPr>
        <w:ind w:left="980" w:right="20" w:firstLine="910"/>
        <w:spacing w:after="0" w:line="277" w:lineRule="auto"/>
        <w:tabs>
          <w:tab w:leader="none" w:pos="22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research and development (including non-clinical studies and Clinical Trials) related to Licensed Product prior to the Effective Date has been conducted in accordance with all Laws; and</w:t>
      </w:r>
    </w:p>
    <w:p>
      <w:pPr>
        <w:spacing w:after="0" w:line="62" w:lineRule="exact"/>
        <w:rPr>
          <w:rFonts w:ascii="Arial" w:cs="Arial" w:eastAsia="Arial" w:hAnsi="Arial"/>
          <w:sz w:val="18"/>
          <w:szCs w:val="18"/>
          <w:color w:val="auto"/>
        </w:rPr>
      </w:pPr>
    </w:p>
    <w:p>
      <w:pPr>
        <w:ind w:left="980" w:right="140" w:firstLine="910"/>
        <w:spacing w:after="0" w:line="254" w:lineRule="auto"/>
        <w:tabs>
          <w:tab w:leader="none" w:pos="22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cGMP Inventory to be provided to Company in connection herewith was (and at all times up until delivery of such materials hereunder shall remain) stored and handled in accordance with cGMP and all Laws and specifications (including, to the extent applicable, release specifications as provided by Licensor to Company in writing prior to the Effective Date) during the period in which such cGMP Inventory was in the possession or control of Licensor. Such cGMP Inventory is not adulterated or misbranded within the meaning of any Law and is not articles that could not, under the provisions of Law, be introduced into interstate commerce. All such cGMP Inventory is free and clear of all encumbrances (including through lien, charge, security interest, mortgage, encumbrance or otherwise).</w:t>
      </w:r>
    </w:p>
    <w:p>
      <w:pPr>
        <w:spacing w:after="0" w:line="9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Licensor Covenants</w:t>
      </w:r>
      <w:r>
        <w:rPr>
          <w:rFonts w:ascii="Arial" w:cs="Arial" w:eastAsia="Arial" w:hAnsi="Arial"/>
          <w:sz w:val="16"/>
          <w:szCs w:val="16"/>
          <w:color w:val="auto"/>
        </w:rPr>
        <w:t>. Licensor covenants to Company that:</w:t>
      </w:r>
    </w:p>
    <w:p>
      <w:pPr>
        <w:spacing w:after="0" w:line="121" w:lineRule="exact"/>
        <w:rPr>
          <w:sz w:val="20"/>
          <w:szCs w:val="20"/>
          <w:color w:val="auto"/>
        </w:rPr>
      </w:pPr>
    </w:p>
    <w:p>
      <w:pPr>
        <w:ind w:left="980" w:right="140" w:firstLine="910"/>
        <w:spacing w:after="0" w:line="263" w:lineRule="auto"/>
        <w:tabs>
          <w:tab w:leader="none" w:pos="209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Licensor shall fulfill all of its obligations, (other than any obligations that Licensor cannot fulfill itself without breaching its obligations, or infringing the license and rights granted, to Company pursuant to this Agreement), including but not limited to its payment obligations, under any Existing Third-Party Agreement or any Third-Party License Agreement;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3" w:right="519" w:bottom="1440" w:gutter="0" w:footer="0" w:header="0"/>
        </w:sectPr>
      </w:pPr>
    </w:p>
    <w:bookmarkStart w:id="490" w:name="page491"/>
    <w:bookmarkEnd w:id="490"/>
    <w:p>
      <w:pPr>
        <w:ind w:left="980" w:right="40" w:firstLine="910"/>
        <w:spacing w:after="0" w:line="301" w:lineRule="auto"/>
        <w:tabs>
          <w:tab w:leader="none" w:pos="21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Licensor shall not amend or waive, or take any action or omit to taking any action that would alter, any of Licensor’s rights under any Existing Third-Party Agreement or any Third-Party License Agreement in any manner that adversely affects, or would reasonably be expected to adversely affect, Company’s rights and benefits under this Agreement. Licensor shall promptly notify Company of any default under, termination or amendment of, any Existing Third-Party Agreement or Third-Party License Agreement; and</w:t>
      </w:r>
    </w:p>
    <w:p>
      <w:pPr>
        <w:spacing w:after="0" w:line="49" w:lineRule="exact"/>
        <w:rPr>
          <w:rFonts w:ascii="Arial" w:cs="Arial" w:eastAsia="Arial" w:hAnsi="Arial"/>
          <w:sz w:val="16"/>
          <w:szCs w:val="16"/>
          <w:color w:val="auto"/>
        </w:rPr>
      </w:pPr>
    </w:p>
    <w:p>
      <w:pPr>
        <w:ind w:left="2200" w:hanging="310"/>
        <w:spacing w:after="0"/>
        <w:tabs>
          <w:tab w:leader="none" w:pos="22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INSURANCE</w:t>
      </w:r>
    </w:p>
    <w:p>
      <w:pPr>
        <w:spacing w:after="0" w:line="234"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Indemnification by Company</w:t>
      </w:r>
      <w:r>
        <w:rPr>
          <w:rFonts w:ascii="Arial" w:cs="Arial" w:eastAsia="Arial" w:hAnsi="Arial"/>
          <w:sz w:val="18"/>
          <w:szCs w:val="18"/>
          <w:color w:val="auto"/>
        </w:rPr>
        <w:t>. Company shall indemnify, defend and hold harmless Licensor and its Affiliates and each of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agents, employees, officers and directors (the “</w:t>
      </w:r>
      <w:r>
        <w:rPr>
          <w:rFonts w:ascii="Arial" w:cs="Arial" w:eastAsia="Arial" w:hAnsi="Arial"/>
          <w:sz w:val="18"/>
          <w:szCs w:val="18"/>
          <w:b w:val="1"/>
          <w:bCs w:val="1"/>
          <w:color w:val="auto"/>
        </w:rPr>
        <w:t>Licensor Indemnitees</w:t>
      </w:r>
      <w:r>
        <w:rPr>
          <w:rFonts w:ascii="Arial" w:cs="Arial" w:eastAsia="Arial" w:hAnsi="Arial"/>
          <w:sz w:val="18"/>
          <w:szCs w:val="18"/>
          <w:color w:val="auto"/>
        </w:rPr>
        <w:t xml:space="preserve">”) from and against any and all liability, damage, loss, cost or expense (including reasonable attorneys’ fees) to the extent arising out of Third Party claims or suits related to: (a) Company’s negligence or willful misconduct; (b) Company’s exploitation, including Development or Commercialization, of Licensed Products; or (c) breach by Company of this Agreement; provided, however, that Company’s obligations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not apply (i) to the extent such claims or suits result from the negligence or willful misconduct of any of the Licensor Indemnitees, or (ii) with respect to claims or suits arising out of breach by Licensor of this Agreement.</w:t>
      </w:r>
    </w:p>
    <w:p>
      <w:pPr>
        <w:spacing w:after="0" w:line="94" w:lineRule="exact"/>
        <w:rPr>
          <w:sz w:val="20"/>
          <w:szCs w:val="20"/>
          <w:color w:val="auto"/>
        </w:rPr>
      </w:pPr>
    </w:p>
    <w:p>
      <w:pPr>
        <w:ind w:left="540" w:right="140" w:hanging="539"/>
        <w:spacing w:after="0" w:line="271"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b w:val="1"/>
          <w:bCs w:val="1"/>
          <w:color w:val="auto"/>
        </w:rPr>
        <w:t>Indemnification by Licensor</w:t>
      </w:r>
      <w:r>
        <w:rPr>
          <w:rFonts w:ascii="Arial" w:cs="Arial" w:eastAsia="Arial" w:hAnsi="Arial"/>
          <w:sz w:val="17"/>
          <w:szCs w:val="17"/>
          <w:color w:val="auto"/>
        </w:rPr>
        <w:t>. Licensor shall indemnify, defend and hold harmless Company and its Affiliates and each of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agents, employees, officers and directors (the “</w:t>
      </w:r>
      <w:r>
        <w:rPr>
          <w:rFonts w:ascii="Arial" w:cs="Arial" w:eastAsia="Arial" w:hAnsi="Arial"/>
          <w:sz w:val="17"/>
          <w:szCs w:val="17"/>
          <w:b w:val="1"/>
          <w:bCs w:val="1"/>
          <w:color w:val="auto"/>
        </w:rPr>
        <w:t>Company Indemnitees</w:t>
      </w:r>
      <w:r>
        <w:rPr>
          <w:rFonts w:ascii="Arial" w:cs="Arial" w:eastAsia="Arial" w:hAnsi="Arial"/>
          <w:sz w:val="17"/>
          <w:szCs w:val="17"/>
          <w:color w:val="auto"/>
        </w:rPr>
        <w:t xml:space="preserve">”) from and against any and all liability, damage, loss, cost or expense (including reasonable attorney’s fees) to the extent arising out of Third Party claims or suits (including Actions) related to: (a) Licensor’s negligence or willful misconduct; (b) Licensor’s provision of the cGMP Inventory (provided, that Licensor’s indemnification obligations with respect to the manufacture of such cGMP Inventory by the Third Party manufacturer shall be limited to such recoveries that Licensor is entitled to obtain from the Third Party manufacturer that manufactured such cGMP Inventory); or (c) breach by Licensor of this Agreement; provided, however, that Licensor’s obligations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shall not apply (i) to the extent that such claims or suits result from the negligence or willful misconduct of any of Company Indemnitees or (ii) with respect to claims or suits arising out of a breach by Company of this Agreement.</w:t>
      </w:r>
    </w:p>
    <w:p>
      <w:pPr>
        <w:spacing w:after="0" w:line="79"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color w:val="auto"/>
        </w:rPr>
        <w:t>No Consequential Damages</w:t>
      </w:r>
      <w:r>
        <w:rPr>
          <w:rFonts w:ascii="Arial" w:cs="Arial" w:eastAsia="Arial" w:hAnsi="Arial"/>
          <w:sz w:val="18"/>
          <w:szCs w:val="18"/>
          <w:color w:val="auto"/>
        </w:rPr>
        <w:t>. EXCEPT WITH RESPECT TO A PARTY’S GROSS NEGLIGENCE OR WILLFUL MISCONDUCT OR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PARTY’S INDEMNIFICATION OBLIGATIONS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AS APPLICABLE, IN NO EVENT SHALL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LAW FOR ANY BREACH OF BY THE OTHER PARTY OF ITS CONFIDENTIALITY AND NON-USE OBLIGATIONS UNDER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3" w:right="459" w:bottom="1440" w:gutter="0" w:footer="0" w:header="0"/>
        </w:sectPr>
      </w:pPr>
    </w:p>
    <w:bookmarkStart w:id="491" w:name="page492"/>
    <w:bookmarkEnd w:id="491"/>
    <w:p>
      <w:pPr>
        <w:ind w:left="540" w:hanging="539"/>
        <w:spacing w:after="0" w:line="270"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9.4</w:t>
      </w:r>
      <w:r>
        <w:rPr>
          <w:sz w:val="20"/>
          <w:szCs w:val="20"/>
          <w:color w:val="auto"/>
        </w:rPr>
        <w:tab/>
      </w:r>
      <w:r>
        <w:rPr>
          <w:rFonts w:ascii="Arial" w:cs="Arial" w:eastAsia="Arial" w:hAnsi="Arial"/>
          <w:sz w:val="17"/>
          <w:szCs w:val="17"/>
          <w:b w:val="1"/>
          <w:bCs w:val="1"/>
          <w:color w:val="auto"/>
        </w:rPr>
        <w:t>Notification of Claims; Conditions to Indemnification Obligations</w:t>
      </w:r>
      <w:r>
        <w:rPr>
          <w:rFonts w:ascii="Arial" w:cs="Arial" w:eastAsia="Arial" w:hAnsi="Arial"/>
          <w:sz w:val="17"/>
          <w:szCs w:val="17"/>
          <w:color w:val="auto"/>
        </w:rPr>
        <w:t>. As a condition to a Party’s right to receive indemnification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of the indemnified Party. Each Party shall reasonably cooperate with the other Party and its counsel in the course of the defense of any such suit, claim or demand, such cooperation to include without limitation using reasonable efforts to provide or make available documents, information and witnesses. The indemnifying Party shall have no liability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with respect to claims or suits settled or compromised without its prior written consent.</w:t>
      </w:r>
    </w:p>
    <w:p>
      <w:pPr>
        <w:spacing w:after="0" w:line="82"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b w:val="1"/>
          <w:bCs w:val="1"/>
          <w:color w:val="auto"/>
        </w:rPr>
        <w:t>Insurance</w:t>
      </w:r>
      <w:r>
        <w:rPr>
          <w:rFonts w:ascii="Arial" w:cs="Arial" w:eastAsia="Arial" w:hAnsi="Arial"/>
          <w:sz w:val="17"/>
          <w:szCs w:val="17"/>
          <w:color w:val="auto"/>
        </w:rPr>
        <w:t>. During the Term, each Party shall obtain and maintain, at its sole cost and expense, insurance (including any self-insured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arrangements) in types and amounts, that are reasonable and customary in the United States pharmaceutical and biotechnology industry for companies engaged in comparable activities.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w:t>
      </w:r>
      <w:r>
        <w:rPr>
          <w:rFonts w:ascii="Arial" w:cs="Arial" w:eastAsia="Arial" w:hAnsi="Arial"/>
          <w:sz w:val="17"/>
          <w:szCs w:val="17"/>
          <w:u w:val="single" w:color="auto"/>
          <w:color w:val="auto"/>
        </w:rPr>
        <w:t>Section 9.5</w:t>
      </w:r>
      <w:r>
        <w:rPr>
          <w:rFonts w:ascii="Arial" w:cs="Arial" w:eastAsia="Arial" w:hAnsi="Arial"/>
          <w:sz w:val="17"/>
          <w:szCs w:val="17"/>
          <w:color w:val="auto"/>
        </w:rPr>
        <w:t>.</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540" w:right="100" w:hanging="539"/>
        <w:spacing w:after="0" w:line="303" w:lineRule="auto"/>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Term and Expiration</w:t>
      </w:r>
      <w:r>
        <w:rPr>
          <w:rFonts w:ascii="Arial" w:cs="Arial" w:eastAsia="Arial" w:hAnsi="Arial"/>
          <w:sz w:val="16"/>
          <w:szCs w:val="16"/>
          <w:color w:val="auto"/>
        </w:rPr>
        <w: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and, unless earlier terminated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continue in full force and effect, on a country-by-country and Licensed Product-by-Licensed Product basis until the date on which the Royalty Term in such country with respect to such Licensed Product expires, at which time this Agreement shall expire in its entirety with respect to such Licensed Product in such country and the terms of </w:t>
      </w:r>
      <w:r>
        <w:rPr>
          <w:rFonts w:ascii="Arial" w:cs="Arial" w:eastAsia="Arial" w:hAnsi="Arial"/>
          <w:sz w:val="16"/>
          <w:szCs w:val="16"/>
          <w:u w:val="single" w:color="auto"/>
          <w:color w:val="auto"/>
        </w:rPr>
        <w:t>Section 10.4(b)(i)</w:t>
      </w:r>
      <w:r>
        <w:rPr>
          <w:rFonts w:ascii="Arial" w:cs="Arial" w:eastAsia="Arial" w:hAnsi="Arial"/>
          <w:sz w:val="16"/>
          <w:szCs w:val="16"/>
          <w:color w:val="auto"/>
        </w:rPr>
        <w:t xml:space="preserve"> shall apply.</w:t>
      </w:r>
    </w:p>
    <w:p>
      <w:pPr>
        <w:spacing w:after="0" w:line="56"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color w:val="auto"/>
        </w:rPr>
        <w:t>Termination of the Agreement for Convenience</w:t>
      </w:r>
      <w:r>
        <w:rPr>
          <w:rFonts w:ascii="Arial" w:cs="Arial" w:eastAsia="Arial" w:hAnsi="Arial"/>
          <w:sz w:val="18"/>
          <w:szCs w:val="18"/>
          <w:color w:val="auto"/>
        </w:rPr>
        <w:t>. At any time during the Term, Company may, at its convenience, upon [***]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Licensor, terminate this Agreement in its entirety.</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Termination upon Material Breach</w:t>
      </w:r>
      <w:r>
        <w:rPr>
          <w:rFonts w:ascii="Arial" w:cs="Arial" w:eastAsia="Arial" w:hAnsi="Arial"/>
          <w:sz w:val="16"/>
          <w:szCs w:val="16"/>
          <w:color w:val="auto"/>
        </w:rPr>
        <w:t>.</w:t>
      </w:r>
    </w:p>
    <w:p>
      <w:pPr>
        <w:spacing w:after="0" w:line="135" w:lineRule="exact"/>
        <w:rPr>
          <w:sz w:val="20"/>
          <w:szCs w:val="20"/>
          <w:color w:val="auto"/>
        </w:rPr>
      </w:pPr>
    </w:p>
    <w:p>
      <w:pPr>
        <w:ind w:left="2400" w:right="20" w:hanging="647"/>
        <w:spacing w:after="0" w:line="255" w:lineRule="auto"/>
        <w:tabs>
          <w:tab w:leader="none" w:pos="2380" w:val="left"/>
        </w:tabs>
        <w:rPr>
          <w:sz w:val="20"/>
          <w:szCs w:val="20"/>
          <w:color w:val="auto"/>
        </w:rPr>
      </w:pPr>
      <w:r>
        <w:rPr>
          <w:rFonts w:ascii="Arial" w:cs="Arial" w:eastAsia="Arial" w:hAnsi="Arial"/>
          <w:sz w:val="18"/>
          <w:szCs w:val="18"/>
          <w:color w:val="auto"/>
        </w:rPr>
        <w:t>10.3.1</w:t>
        <w:tab/>
        <w:t xml:space="preserve">If a Party breaches any of its material obligations under this Agreement, the Party not in default may give to the breaching Party written notice specifying the nature of the default, requiring it to cure such breach, and stating its intention to terminate this Agreement if such breach is not cured within [***]. If such breach is not cured within [***] after the receipt of such notice, the Party not in default shall be entitled to terminate this Agreement immediately by written notice to the other Party. Any dispute regarding an alleged material breach of this Agreement shall be resolved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hereof.</w:t>
      </w:r>
    </w:p>
    <w:p>
      <w:pPr>
        <w:spacing w:after="0" w:line="98" w:lineRule="exact"/>
        <w:rPr>
          <w:sz w:val="20"/>
          <w:szCs w:val="20"/>
          <w:color w:val="auto"/>
        </w:rPr>
      </w:pPr>
    </w:p>
    <w:p>
      <w:pPr>
        <w:jc w:val="both"/>
        <w:ind w:left="2400" w:right="140" w:hanging="647"/>
        <w:spacing w:after="0" w:line="263" w:lineRule="auto"/>
        <w:tabs>
          <w:tab w:leader="none" w:pos="2380" w:val="left"/>
        </w:tabs>
        <w:rPr>
          <w:sz w:val="20"/>
          <w:szCs w:val="20"/>
          <w:color w:val="auto"/>
        </w:rPr>
      </w:pPr>
      <w:r>
        <w:rPr>
          <w:rFonts w:ascii="Arial" w:cs="Arial" w:eastAsia="Arial" w:hAnsi="Arial"/>
          <w:sz w:val="18"/>
          <w:szCs w:val="18"/>
          <w:color w:val="auto"/>
        </w:rPr>
        <w:t>10.3.2</w:t>
        <w:tab/>
        <w:t>Either Party may terminate this Agreement if, at any time, (a) voluntary or involuntary proceedings by or against the other Party are instituted in bankruptcy under any insolvency Law, which proceedings, if involuntary, shall not have been dismissed within [***] after the date of</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69" w:right="539" w:bottom="1440" w:gutter="0" w:footer="0" w:header="0"/>
        </w:sectPr>
      </w:pPr>
    </w:p>
    <w:bookmarkStart w:id="492" w:name="page493"/>
    <w:bookmarkEnd w:id="492"/>
    <w:p>
      <w:pPr>
        <w:ind w:left="2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filing; (b) a receiver or custodian is appointed for the other Party; (c) proceedings are instituted by or against the other Party for corporate reorganization, dissolution, liquidation or winding-up of the other Party, which proceedings, if involuntary, shall not have been dismissed within [***] after the date of filing; or (d) substantially all of the assets of the other Party are seized or attached and not released within [***] thereafter (each individual event set forth in clauses (a) through (d), an “</w:t>
      </w:r>
      <w:r>
        <w:rPr>
          <w:rFonts w:ascii="Arial" w:cs="Arial" w:eastAsia="Arial" w:hAnsi="Arial"/>
          <w:sz w:val="18"/>
          <w:szCs w:val="18"/>
          <w:b w:val="1"/>
          <w:bCs w:val="1"/>
          <w:color w:val="auto"/>
        </w:rPr>
        <w:t>Insolvency Event</w:t>
      </w:r>
      <w:r>
        <w:rPr>
          <w:rFonts w:ascii="Arial" w:cs="Arial" w:eastAsia="Arial" w:hAnsi="Arial"/>
          <w:sz w:val="18"/>
          <w:szCs w:val="18"/>
          <w:color w:val="auto"/>
        </w:rPr>
        <w:t>”).</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Effects of Terminatio</w:t>
      </w:r>
      <w:r>
        <w:rPr>
          <w:rFonts w:ascii="Arial" w:cs="Arial" w:eastAsia="Arial" w:hAnsi="Arial"/>
          <w:sz w:val="16"/>
          <w:szCs w:val="16"/>
          <w:color w:val="auto"/>
        </w:rPr>
        <w:t>n.</w:t>
      </w:r>
    </w:p>
    <w:p>
      <w:pPr>
        <w:spacing w:after="0" w:line="131" w:lineRule="exact"/>
        <w:rPr>
          <w:sz w:val="20"/>
          <w:szCs w:val="20"/>
          <w:color w:val="auto"/>
        </w:rPr>
      </w:pPr>
    </w:p>
    <w:p>
      <w:pPr>
        <w:ind w:left="1740" w:hanging="543"/>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320" w:right="160" w:firstLine="385"/>
        <w:spacing w:after="0" w:line="277" w:lineRule="auto"/>
        <w:tabs>
          <w:tab w:leader="none" w:pos="192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Notwithstanding the expiration or termination of this Agreement, the following provisions shall survive: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2.7(a)-(c)</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6.3(d)</w:t>
      </w:r>
      <w:r>
        <w:rPr>
          <w:rFonts w:ascii="Arial" w:cs="Arial" w:eastAsia="Arial" w:hAnsi="Arial"/>
          <w:sz w:val="18"/>
          <w:szCs w:val="18"/>
          <w:color w:val="auto"/>
        </w:rPr>
        <w:t xml:space="preserve">, </w:t>
      </w:r>
      <w:r>
        <w:rPr>
          <w:rFonts w:ascii="Arial" w:cs="Arial" w:eastAsia="Arial" w:hAnsi="Arial"/>
          <w:sz w:val="18"/>
          <w:szCs w:val="18"/>
          <w:u w:val="single" w:color="auto"/>
          <w:color w:val="auto"/>
        </w:rPr>
        <w:t>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20" w:right="240" w:firstLine="385"/>
        <w:spacing w:after="0" w:line="279" w:lineRule="auto"/>
        <w:tabs>
          <w:tab w:leader="none" w:pos="1972"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Expiration or termination of this Agreement shall not relieve the Parties of any liability that accrued hereunder prior to the effective date of such termination. In addition, except for the termination events addressed in </w:t>
      </w:r>
      <w:r>
        <w:rPr>
          <w:rFonts w:ascii="Arial" w:cs="Arial" w:eastAsia="Arial" w:hAnsi="Arial"/>
          <w:sz w:val="17"/>
          <w:szCs w:val="17"/>
          <w:u w:val="single" w:color="auto"/>
          <w:color w:val="auto"/>
        </w:rPr>
        <w:t>Section 10.3</w:t>
      </w:r>
      <w:r>
        <w:rPr>
          <w:rFonts w:ascii="Arial" w:cs="Arial" w:eastAsia="Arial" w:hAnsi="Arial"/>
          <w:sz w:val="17"/>
          <w:szCs w:val="17"/>
          <w:color w:val="auto"/>
        </w:rPr>
        <w:t>,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94" w:lineRule="exact"/>
        <w:rPr>
          <w:rFonts w:ascii="Arial" w:cs="Arial" w:eastAsia="Arial" w:hAnsi="Arial"/>
          <w:sz w:val="17"/>
          <w:szCs w:val="17"/>
          <w:color w:val="auto"/>
        </w:rPr>
      </w:pPr>
    </w:p>
    <w:p>
      <w:pPr>
        <w:ind w:left="1740" w:hanging="543"/>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Licenses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320" w:right="100" w:firstLine="385"/>
        <w:spacing w:after="0" w:line="259" w:lineRule="auto"/>
        <w:tabs>
          <w:tab w:leader="none" w:pos="192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As of the effective date of expiration of the Royalty Term with respect to a given Licensed Product and country, the license from Licensor to Company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convert to a fully paid, royalty free, irrevocable, perpetual, exclusive, and sublicensable license under the Licensed Technology to research, Develop, manufacture, have manufactured, use and Commercialize such Licensed Product in the Field in such country.</w:t>
      </w:r>
    </w:p>
    <w:p>
      <w:pPr>
        <w:spacing w:after="0" w:line="78" w:lineRule="exact"/>
        <w:rPr>
          <w:rFonts w:ascii="Arial" w:cs="Arial" w:eastAsia="Arial" w:hAnsi="Arial"/>
          <w:sz w:val="18"/>
          <w:szCs w:val="18"/>
          <w:color w:val="auto"/>
        </w:rPr>
      </w:pPr>
    </w:p>
    <w:p>
      <w:pPr>
        <w:ind w:left="1320" w:right="440" w:firstLine="385"/>
        <w:spacing w:after="0" w:line="277" w:lineRule="auto"/>
        <w:tabs>
          <w:tab w:leader="none" w:pos="19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Company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by Licensor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the following terms and conditions shall apply:</w:t>
      </w:r>
    </w:p>
    <w:p>
      <w:pPr>
        <w:spacing w:after="0" w:line="62" w:lineRule="exact"/>
        <w:rPr>
          <w:rFonts w:ascii="Arial" w:cs="Arial" w:eastAsia="Arial" w:hAnsi="Arial"/>
          <w:sz w:val="18"/>
          <w:szCs w:val="18"/>
          <w:color w:val="auto"/>
        </w:rPr>
      </w:pPr>
    </w:p>
    <w:p>
      <w:pPr>
        <w:ind w:left="2240" w:hanging="261"/>
        <w:spacing w:after="0"/>
        <w:tabs>
          <w:tab w:leader="none" w:pos="2240" w:val="left"/>
        </w:tabs>
        <w:numPr>
          <w:ilvl w:val="2"/>
          <w:numId w:val="223"/>
        </w:numPr>
        <w:rPr>
          <w:rFonts w:ascii="Arial" w:cs="Arial" w:eastAsia="Arial" w:hAnsi="Arial"/>
          <w:sz w:val="18"/>
          <w:szCs w:val="18"/>
          <w:color w:val="auto"/>
        </w:rPr>
      </w:pPr>
      <w:r>
        <w:rPr>
          <w:rFonts w:ascii="Arial" w:cs="Arial" w:eastAsia="Arial" w:hAnsi="Arial"/>
          <w:sz w:val="18"/>
          <w:szCs w:val="18"/>
          <w:color w:val="auto"/>
        </w:rPr>
        <w:t xml:space="preserve">all licenses granted to Company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terminate;</w:t>
      </w:r>
    </w:p>
    <w:p>
      <w:pPr>
        <w:spacing w:after="0" w:line="117" w:lineRule="exact"/>
        <w:rPr>
          <w:rFonts w:ascii="Arial" w:cs="Arial" w:eastAsia="Arial" w:hAnsi="Arial"/>
          <w:sz w:val="18"/>
          <w:szCs w:val="18"/>
          <w:color w:val="auto"/>
        </w:rPr>
      </w:pPr>
    </w:p>
    <w:p>
      <w:pPr>
        <w:ind w:left="1980" w:hanging="1"/>
        <w:spacing w:after="0" w:line="255" w:lineRule="auto"/>
        <w:tabs>
          <w:tab w:leader="none" w:pos="2235" w:val="left"/>
        </w:tabs>
        <w:numPr>
          <w:ilvl w:val="2"/>
          <w:numId w:val="223"/>
        </w:numPr>
        <w:rPr>
          <w:rFonts w:ascii="Arial" w:cs="Arial" w:eastAsia="Arial" w:hAnsi="Arial"/>
          <w:sz w:val="18"/>
          <w:szCs w:val="18"/>
          <w:color w:val="auto"/>
        </w:rPr>
      </w:pPr>
      <w:r>
        <w:rPr>
          <w:rFonts w:ascii="Arial" w:cs="Arial" w:eastAsia="Arial" w:hAnsi="Arial"/>
          <w:sz w:val="18"/>
          <w:szCs w:val="18"/>
          <w:color w:val="auto"/>
        </w:rPr>
        <w:t>Company shall, upon written request by Licensor and subject to Licensor assuming legal responsibility for any Clinical Trials of such Licensed Product(s) then ongoing, transfer to Licensor all regulatory documentation and Regulatory Approvals prepared or obtained by or on behalf of Company prior to the date of such termination, solely to the extent (A) Controlled by Company as of the effective date of termination and (B) related to such Licensed Product(s) and country(ies) and transferable, and Company shall have the right to retain one copy of such transferred documentation and Regulatory Approvals for solely record-keeping purposes;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3" w:right="459" w:bottom="1440" w:gutter="0" w:footer="0" w:header="0"/>
        </w:sectPr>
      </w:pPr>
    </w:p>
    <w:bookmarkStart w:id="493" w:name="page494"/>
    <w:bookmarkEnd w:id="493"/>
    <w:p>
      <w:pPr>
        <w:ind w:left="980" w:right="100" w:hanging="1"/>
        <w:spacing w:after="0" w:line="257" w:lineRule="auto"/>
        <w:tabs>
          <w:tab w:leader="none" w:pos="1235" w:val="left"/>
        </w:tabs>
        <w:numPr>
          <w:ilvl w:val="1"/>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shall, upon written request of Licensor, return to Licensor or, at Licensor’s option, destroy, all relevant records and materials in its possession or control containing or comprising the Licensed Know-How and the Licensed Materials, or such other Confidential Information of Licensor; provided, however, that Company shall have the right to retain one sample of Licensed Materials for regulatory purposes and one copy of such Licensed Know-How and such other Confidential Information of Licensor solely for record-keeping purposes;</w:t>
      </w:r>
    </w:p>
    <w:p>
      <w:pPr>
        <w:spacing w:after="0" w:line="79" w:lineRule="exact"/>
        <w:rPr>
          <w:rFonts w:ascii="Arial" w:cs="Arial" w:eastAsia="Arial" w:hAnsi="Arial"/>
          <w:sz w:val="18"/>
          <w:szCs w:val="18"/>
          <w:color w:val="auto"/>
        </w:rPr>
      </w:pPr>
    </w:p>
    <w:p>
      <w:pPr>
        <w:jc w:val="both"/>
        <w:ind w:left="980" w:right="640" w:hanging="1"/>
        <w:spacing w:after="0" w:line="342" w:lineRule="auto"/>
        <w:tabs>
          <w:tab w:leader="none" w:pos="123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To the extent not prohibited by Law, Company shall wind down any ongoing Clinical Trials with respect to such Licensed Product(s), or at Licensor’s option, transfer such Clinical Trials to Licensor at Licensor’s cost and expense;</w:t>
      </w:r>
    </w:p>
    <w:p>
      <w:pPr>
        <w:spacing w:after="0" w:line="15" w:lineRule="exact"/>
        <w:rPr>
          <w:rFonts w:ascii="Arial" w:cs="Arial" w:eastAsia="Arial" w:hAnsi="Arial"/>
          <w:sz w:val="16"/>
          <w:szCs w:val="16"/>
          <w:color w:val="auto"/>
        </w:rPr>
      </w:pPr>
    </w:p>
    <w:p>
      <w:pPr>
        <w:ind w:left="980" w:right="80" w:hanging="1"/>
        <w:spacing w:after="0" w:line="255" w:lineRule="auto"/>
        <w:tabs>
          <w:tab w:leader="none" w:pos="1235" w:val="left"/>
        </w:tabs>
        <w:numPr>
          <w:ilvl w:val="1"/>
          <w:numId w:val="224"/>
        </w:numPr>
        <w:rPr>
          <w:rFonts w:ascii="Arial" w:cs="Arial" w:eastAsia="Arial" w:hAnsi="Arial"/>
          <w:sz w:val="18"/>
          <w:szCs w:val="18"/>
          <w:color w:val="auto"/>
        </w:rPr>
      </w:pPr>
      <w:r>
        <w:rPr>
          <w:rFonts w:ascii="Arial" w:cs="Arial" w:eastAsia="Arial" w:hAnsi="Arial"/>
          <w:sz w:val="18"/>
          <w:szCs w:val="18"/>
          <w:color w:val="auto"/>
        </w:rPr>
        <w:t>Licensor shall have the right, but not the obligation, to purchase any and all of the inventory of Licensed Product held by Company as of the date of termination, at a price equal to the cost of goods of such inventory, together with any applicable external costs of transportation, storage and insurance, and import and export taxes and fees, plus [***]. If Licensor does not elect to purchase such inventory from Company, Company shall have the right to continue to sell such inventory in the Territory for [***] after the date of termination of this Agreement, subject to Company’s continued payment of royalties on Net Sales of Licensed Product during such period; and</w:t>
      </w:r>
    </w:p>
    <w:p>
      <w:pPr>
        <w:spacing w:after="0" w:line="84" w:lineRule="exact"/>
        <w:rPr>
          <w:rFonts w:ascii="Arial" w:cs="Arial" w:eastAsia="Arial" w:hAnsi="Arial"/>
          <w:sz w:val="18"/>
          <w:szCs w:val="18"/>
          <w:color w:val="auto"/>
        </w:rPr>
      </w:pPr>
    </w:p>
    <w:p>
      <w:pPr>
        <w:ind w:left="1240" w:hanging="261"/>
        <w:spacing w:after="0"/>
        <w:tabs>
          <w:tab w:leader="none" w:pos="124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Upon Licensor’s written request, Company and Licensor may enter into a negotiation for Company to license to Licensor,</w:t>
      </w:r>
    </w:p>
    <w:p>
      <w:pPr>
        <w:spacing w:after="0" w:line="46" w:lineRule="exact"/>
        <w:rPr>
          <w:rFonts w:ascii="Arial" w:cs="Arial" w:eastAsia="Arial" w:hAnsi="Arial"/>
          <w:sz w:val="16"/>
          <w:szCs w:val="16"/>
          <w:color w:val="auto"/>
        </w:rPr>
      </w:pPr>
    </w:p>
    <w:p>
      <w:pPr>
        <w:ind w:left="980" w:right="60"/>
        <w:spacing w:after="0" w:line="252" w:lineRule="auto"/>
        <w:rPr>
          <w:rFonts w:ascii="Arial" w:cs="Arial" w:eastAsia="Arial" w:hAnsi="Arial"/>
          <w:sz w:val="16"/>
          <w:szCs w:val="16"/>
          <w:color w:val="auto"/>
        </w:rPr>
      </w:pPr>
      <w:r>
        <w:rPr>
          <w:rFonts w:ascii="Arial" w:cs="Arial" w:eastAsia="Arial" w:hAnsi="Arial"/>
          <w:sz w:val="18"/>
          <w:szCs w:val="18"/>
          <w:color w:val="auto"/>
        </w:rPr>
        <w:t>(A) Know-How Controlled by Company, its Affiliates, or Sublicensees as of the effective date of termination of this Agreement that has been generated by or on behalf of Company, its Affiliates or Sublicensees that is specific solely to the Licensed Product, (B) any inventions generated by or on behalf of Company, its Affiliates or Sublicensees that is specific to the Licensed Product, and (C) Patents Controlled by Company or its Affiliates that Cover the Licensed Product in the Territory, in each case that are necessary or reasonably useful to enable Licensor to Develop and Commercialize Licensed Product (collectively, the “</w:t>
      </w:r>
      <w:r>
        <w:rPr>
          <w:rFonts w:ascii="Arial" w:cs="Arial" w:eastAsia="Arial" w:hAnsi="Arial"/>
          <w:sz w:val="18"/>
          <w:szCs w:val="18"/>
          <w:b w:val="1"/>
          <w:bCs w:val="1"/>
          <w:color w:val="auto"/>
        </w:rPr>
        <w:t>Company IP</w:t>
      </w:r>
      <w:r>
        <w:rPr>
          <w:rFonts w:ascii="Arial" w:cs="Arial" w:eastAsia="Arial" w:hAnsi="Arial"/>
          <w:sz w:val="18"/>
          <w:szCs w:val="18"/>
          <w:color w:val="auto"/>
        </w:rPr>
        <w:t>”). The Parties shall negotiate the terms of such license in good faith for a period not to exceed [***].</w:t>
      </w:r>
    </w:p>
    <w:p>
      <w:pPr>
        <w:spacing w:after="0" w:line="84" w:lineRule="exact"/>
        <w:rPr>
          <w:rFonts w:ascii="Arial" w:cs="Arial" w:eastAsia="Arial" w:hAnsi="Arial"/>
          <w:sz w:val="16"/>
          <w:szCs w:val="16"/>
          <w:color w:val="auto"/>
        </w:rPr>
      </w:pPr>
    </w:p>
    <w:p>
      <w:pPr>
        <w:ind w:left="-20" w:right="200" w:firstLine="709"/>
        <w:spacing w:after="0" w:line="277" w:lineRule="auto"/>
        <w:tabs>
          <w:tab w:leader="none" w:pos="99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Company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the following terms and conditions shall apply with respect to such Licensed Product(s) and country(ies) as are the subject of such termination:</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all licenses granted to Company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terminate;</w:t>
      </w:r>
    </w:p>
    <w:p>
      <w:pPr>
        <w:spacing w:after="0" w:line="117" w:lineRule="exact"/>
        <w:rPr>
          <w:rFonts w:ascii="Arial" w:cs="Arial" w:eastAsia="Arial" w:hAnsi="Arial"/>
          <w:sz w:val="18"/>
          <w:szCs w:val="18"/>
          <w:color w:val="auto"/>
        </w:rPr>
      </w:pPr>
    </w:p>
    <w:p>
      <w:pPr>
        <w:ind w:left="980" w:right="60" w:hanging="1"/>
        <w:spacing w:after="0" w:line="257" w:lineRule="auto"/>
        <w:tabs>
          <w:tab w:leader="none" w:pos="123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Company shall, upon written request of Licensor, return to Licensor or, at Licensor’s option and cost and expense, destroy, all relevant records and materials in its possession or control containing or comprising the Licensed Know-How and the Licensed Materials, or such other Confidential Information of Licensor; provided, however, that Company shall have the right to retain one copy of such Licensed Know-How and such other Confidential Information of Licensor solely for record-keeping purposes;</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20"/>
          </w:cols>
          <w:pgMar w:left="1440" w:top="273" w:right="439" w:bottom="1440" w:gutter="0" w:footer="0" w:header="0"/>
        </w:sectPr>
      </w:pPr>
    </w:p>
    <w:bookmarkStart w:id="494" w:name="page495"/>
    <w:bookmarkEnd w:id="494"/>
    <w:p>
      <w:pPr>
        <w:ind w:left="1980" w:hanging="1"/>
        <w:spacing w:after="0" w:line="342" w:lineRule="auto"/>
        <w:tabs>
          <w:tab w:leader="none" w:pos="2235" w:val="left"/>
        </w:tabs>
        <w:numPr>
          <w:ilvl w:val="1"/>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not prohibited by Law, Company shall, at Licensor’s sole cost and expense, wind down any ongoing Clinical Trials with respect to such Licensed Product(s), or at Licensor’s option, transfer such Clinical Trials to Licensor; and</w:t>
      </w:r>
    </w:p>
    <w:p>
      <w:pPr>
        <w:spacing w:after="0" w:line="15" w:lineRule="exact"/>
        <w:rPr>
          <w:rFonts w:ascii="Arial" w:cs="Arial" w:eastAsia="Arial" w:hAnsi="Arial"/>
          <w:sz w:val="16"/>
          <w:szCs w:val="16"/>
          <w:color w:val="auto"/>
        </w:rPr>
      </w:pPr>
    </w:p>
    <w:p>
      <w:pPr>
        <w:ind w:left="1980" w:right="100" w:hanging="1"/>
        <w:spacing w:after="0" w:line="279" w:lineRule="auto"/>
        <w:tabs>
          <w:tab w:leader="none" w:pos="2235" w:val="left"/>
        </w:tabs>
        <w:numPr>
          <w:ilvl w:val="1"/>
          <w:numId w:val="226"/>
        </w:numPr>
        <w:rPr>
          <w:rFonts w:ascii="Arial" w:cs="Arial" w:eastAsia="Arial" w:hAnsi="Arial"/>
          <w:sz w:val="17"/>
          <w:szCs w:val="17"/>
          <w:color w:val="auto"/>
        </w:rPr>
      </w:pPr>
      <w:r>
        <w:rPr>
          <w:rFonts w:ascii="Arial" w:cs="Arial" w:eastAsia="Arial" w:hAnsi="Arial"/>
          <w:sz w:val="17"/>
          <w:szCs w:val="17"/>
          <w:color w:val="auto"/>
        </w:rPr>
        <w:t>Company shall have the right to continue to sell in the Territory any inventory of Licensed Products for [***] after the date of termination of this Agreement, without any obligation to continue payment of royalties on Net Sales of Licensed Product during such period (provided, that Company shall be obligated to pay any and all amounts payable to University by Licensor pursuant to Section 3.4 of the UNC Agreement as a result of such sale).</w:t>
      </w:r>
    </w:p>
    <w:p>
      <w:pPr>
        <w:spacing w:after="0" w:line="63" w:lineRule="exact"/>
        <w:rPr>
          <w:rFonts w:ascii="Arial" w:cs="Arial" w:eastAsia="Arial" w:hAnsi="Arial"/>
          <w:sz w:val="17"/>
          <w:szCs w:val="17"/>
          <w:color w:val="auto"/>
        </w:rPr>
      </w:pPr>
    </w:p>
    <w:p>
      <w:pPr>
        <w:ind w:left="980" w:right="260" w:firstLine="709"/>
        <w:spacing w:after="0" w:line="259" w:lineRule="auto"/>
        <w:tabs>
          <w:tab w:leader="none" w:pos="198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Upon any termination of this Agreement and subject, to the extent applicable, to compliance with Section 6.5 of the UNC Agreement, Company, and each of Company’s Sublicensees, shall continue to have the rights set forth in Section 6.5 of the UNC Agreement; provided, however, that such Sublicensee is not then in breach of any of its material obligations under its sublicense agreements.</w:t>
      </w:r>
    </w:p>
    <w:p>
      <w:pPr>
        <w:spacing w:after="0" w:line="78" w:lineRule="exact"/>
        <w:rPr>
          <w:rFonts w:ascii="Arial" w:cs="Arial" w:eastAsia="Arial" w:hAnsi="Arial"/>
          <w:sz w:val="18"/>
          <w:szCs w:val="18"/>
          <w:color w:val="auto"/>
        </w:rPr>
      </w:pPr>
    </w:p>
    <w:p>
      <w:pPr>
        <w:ind w:left="980" w:right="300" w:firstLine="709"/>
        <w:spacing w:after="0" w:line="263" w:lineRule="auto"/>
        <w:tabs>
          <w:tab w:leader="none" w:pos="19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Immediately following Company’s notification of termination to Licensor pursuant to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the diligence obligations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 longer apply and Company shall have the right to wind-down all then on-going Development, manufacturing and/or Commercialization activities.</w:t>
      </w:r>
    </w:p>
    <w:p>
      <w:pPr>
        <w:spacing w:after="0" w:line="85"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b w:val="1"/>
          <w:bCs w:val="1"/>
          <w:color w:val="auto"/>
        </w:rPr>
        <w:t>Termination on Bankruptcy or Insolvency</w:t>
      </w:r>
      <w:r>
        <w:rPr>
          <w:rFonts w:ascii="Arial" w:cs="Arial" w:eastAsia="Arial" w:hAnsi="Arial"/>
          <w:sz w:val="17"/>
          <w:szCs w:val="17"/>
          <w:color w:val="auto"/>
        </w:rPr>
        <w:t>. All rights and licenses granted under or pursuant to this Agreement by Licensor are,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be deemed to be, for purposes of Section 365(n) of the U.S. Bankruptcy Code, if applicable, licenses of right to “intellectual property” as defined under Section 101 of the U.S. Bankruptcy Code. The Parties agree that Company, as licensor of such rights under this Agreement, shall retain and may fully exercise all of its rights and elections under the U.S. Bankruptcy Code. The Parties further agree that, in the event of an Insolvency Event with respect to Licensor, Company shall be entitled to a complete duplicate of (or complete access to, as appropriate) any such intellectual property and all embodiments of such intellectual property, which, if not already in Company’s possession, shall be promptly delivered to it (i) following any such commencement of a bankruptcy proceeding upon Company’s written request therefor, unless Licensor elects to continue to perform all of its obligations under this Agreement or (ii) if not delivered under clause (a), following the rejection of this Agreement by Licensor upon written request therefor by Company.</w:t>
      </w:r>
    </w:p>
    <w:p>
      <w:pPr>
        <w:spacing w:after="0" w:line="79" w:lineRule="exact"/>
        <w:rPr>
          <w:sz w:val="20"/>
          <w:szCs w:val="20"/>
          <w:color w:val="auto"/>
        </w:rPr>
      </w:pPr>
    </w:p>
    <w:p>
      <w:pPr>
        <w:ind w:left="540" w:right="300" w:hanging="539"/>
        <w:spacing w:after="0" w:line="314" w:lineRule="auto"/>
        <w:tabs>
          <w:tab w:leader="none" w:pos="5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Other Remedies</w:t>
      </w:r>
      <w:r>
        <w:rPr>
          <w:rFonts w:ascii="Arial" w:cs="Arial" w:eastAsia="Arial" w:hAnsi="Arial"/>
          <w:sz w:val="16"/>
          <w:szCs w:val="16"/>
          <w:color w:val="auto"/>
        </w:rPr>
        <w:t>. Termination of this Agreement for any reason shall not release either Party from any liability or obligation that already has</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prior to such termination. Termination of this Agreement for any reason shall not constitute a waiver or release of, or otherwise be deemed to prejudice or adversely affect or limit, any rights or remedies that otherwise may be available at Law or in equity.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34" w:lineRule="exact"/>
        <w:rPr>
          <w:sz w:val="20"/>
          <w:szCs w:val="20"/>
          <w:color w:val="auto"/>
        </w:rPr>
      </w:pPr>
    </w:p>
    <w:p>
      <w:pPr>
        <w:ind w:left="540" w:hanging="539"/>
        <w:spacing w:after="0" w:line="281" w:lineRule="auto"/>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color w:val="auto"/>
        </w:rPr>
        <w:t>Escalation to Executive Officers</w:t>
      </w:r>
      <w:r>
        <w:rPr>
          <w:rFonts w:ascii="Arial" w:cs="Arial" w:eastAsia="Arial" w:hAnsi="Arial"/>
          <w:sz w:val="17"/>
          <w:szCs w:val="17"/>
          <w:color w:val="auto"/>
        </w:rPr>
        <w:t>. Either Party may, by written notice to the other Party, request that a dispute arising between the Parties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this Agreement, or a dispute relating to material breach, be resolved by the Executive Officers, within [***] after referral of such dispute to them. If the Executive Officers cannot resolve such dispute within [***] after referral of such dispute to them, then, at any time after such [***] period, either Party may proceed to enforce any and all of its rights with respect to such dispute.</w:t>
      </w:r>
    </w:p>
    <w:p>
      <w:pPr>
        <w:spacing w:after="0" w:line="70"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b w:val="1"/>
          <w:bCs w:val="1"/>
          <w:color w:val="auto"/>
        </w:rPr>
        <w:t>Injunctive Relief</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 no provision herein shall be construed as precluding a Party from bringing an action for injunctive</w:t>
      </w:r>
      <w:r>
        <w:rPr>
          <w:rFonts w:ascii="Arial" w:cs="Arial" w:eastAsia="Arial" w:hAnsi="Arial"/>
          <w:sz w:val="18"/>
          <w:szCs w:val="18"/>
          <w:b w:val="1"/>
          <w:bCs w:val="1"/>
          <w:color w:val="auto"/>
        </w:rPr>
        <w:t xml:space="preserve"> </w:t>
      </w:r>
      <w:r>
        <w:rPr>
          <w:rFonts w:ascii="Arial" w:cs="Arial" w:eastAsia="Arial" w:hAnsi="Arial"/>
          <w:sz w:val="18"/>
          <w:szCs w:val="18"/>
          <w:color w:val="auto"/>
        </w:rPr>
        <w:t>relief or other equitable relief prior to the initiation or completion of the above procedure.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34"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b w:val="1"/>
          <w:bCs w:val="1"/>
          <w:color w:val="auto"/>
        </w:rPr>
        <w:t>Relationship of the Parties</w:t>
      </w:r>
      <w:r>
        <w:rPr>
          <w:rFonts w:ascii="Arial" w:cs="Arial" w:eastAsia="Arial" w:hAnsi="Arial"/>
          <w:sz w:val="18"/>
          <w:szCs w:val="18"/>
          <w:color w:val="auto"/>
        </w:rPr>
        <w:t>. Nothing in this Agreement is intended or shall be deemed, for financial, tax, legal or other purposes, to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agency, joint venture or employer-employee relationship between the Parties.</w:t>
      </w:r>
    </w:p>
    <w:p>
      <w:pPr>
        <w:spacing w:after="0" w:line="67" w:lineRule="exact"/>
        <w:rPr>
          <w:sz w:val="20"/>
          <w:szCs w:val="20"/>
          <w:color w:val="auto"/>
        </w:rPr>
      </w:pPr>
    </w:p>
    <w:p>
      <w:pPr>
        <w:ind w:left="540" w:hanging="539"/>
        <w:spacing w:after="0" w:line="254" w:lineRule="auto"/>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Except as expressly provided herein, neither this Agreement nor any interest hereunder shall be assignable, nor any other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delegable, by a Party without the prior written consent of the other Party, not to be unreasonably withheld or delayed; provided, however, that either Party may assign this Agreement, in whole or in part, without the consent of the other Party to (a) any Affiliate or (b) a Third Party in connection with a merger, acquisition of all or substantially all of the business or assets of such Party to which this Agreement relates, consolidation, change of control or other similar transaction. This Agreement shall be binding upon the successors and permitted assigns of the Parties. Any assignment not in accordance with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shall be void. Licensor shall have the right to assign or transfer all, but not less than all, Licensed Technology to an Affiliate without the prior written consent of Company solely to the extent that Licensor also assigns and transfers this Agreement to such Affiliate.</w:t>
      </w:r>
    </w:p>
    <w:p>
      <w:pPr>
        <w:spacing w:after="0" w:line="97" w:lineRule="exact"/>
        <w:rPr>
          <w:sz w:val="20"/>
          <w:szCs w:val="20"/>
          <w:color w:val="auto"/>
        </w:rPr>
      </w:pPr>
    </w:p>
    <w:p>
      <w:pPr>
        <w:ind w:left="540" w:hanging="539"/>
        <w:spacing w:after="0" w:line="256" w:lineRule="auto"/>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color w:val="auto"/>
        </w:rPr>
        <w:t>Performance and Exercise by Affiliates</w:t>
      </w:r>
      <w:r>
        <w:rPr>
          <w:rFonts w:ascii="Arial" w:cs="Arial" w:eastAsia="Arial" w:hAnsi="Arial"/>
          <w:sz w:val="18"/>
          <w:szCs w:val="18"/>
          <w:color w:val="auto"/>
        </w:rPr>
        <w:t>. Company shall have the right to have any of its obligations hereunder performed, or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exercised, by, any of its Affiliates and the performance of such obligations by any such Affiliate shall be deemed to be performance by Company; provided, however, that Company shall be responsible for ensuring the performance of its obligations under this Agreement and that any failure of any Affiliate performing obligations of Company hereunder shall be deemed to be a failure by Company to perform such obligations. For clarity, the foregoing means that Company may designate an Affiliate to perform its obligations hereunder or to be the recipient of Licensor’s performance obligations hereunder.</w:t>
      </w:r>
    </w:p>
    <w:p>
      <w:pPr>
        <w:spacing w:after="0" w:line="93" w:lineRule="exact"/>
        <w:rPr>
          <w:sz w:val="20"/>
          <w:szCs w:val="20"/>
          <w:color w:val="auto"/>
        </w:rPr>
      </w:pPr>
    </w:p>
    <w:p>
      <w:pPr>
        <w:ind w:left="540" w:right="580" w:hanging="539"/>
        <w:spacing w:after="0" w:line="282" w:lineRule="auto"/>
        <w:tabs>
          <w:tab w:leader="none" w:pos="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67" w:lineRule="exact"/>
        <w:rPr>
          <w:sz w:val="20"/>
          <w:szCs w:val="20"/>
          <w:color w:val="auto"/>
        </w:rPr>
      </w:pPr>
    </w:p>
    <w:p>
      <w:pPr>
        <w:ind w:left="540" w:right="20" w:hanging="539"/>
        <w:spacing w:after="0" w:line="272"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b w:val="1"/>
          <w:bCs w:val="1"/>
          <w:color w:val="auto"/>
        </w:rPr>
        <w:t>Force Majeure</w:t>
      </w:r>
      <w:r>
        <w:rPr>
          <w:rFonts w:ascii="Arial" w:cs="Arial" w:eastAsia="Arial" w:hAnsi="Arial"/>
          <w:sz w:val="17"/>
          <w:szCs w:val="17"/>
          <w:color w:val="auto"/>
        </w:rPr>
        <w:t>. Neither Party shall be liable to the other Party or be deemed to have breached or defaulted under this Agreement for failure or</w:t>
      </w:r>
      <w:r>
        <w:rPr>
          <w:rFonts w:ascii="Arial" w:cs="Arial" w:eastAsia="Arial" w:hAnsi="Arial"/>
          <w:sz w:val="17"/>
          <w:szCs w:val="17"/>
          <w:b w:val="1"/>
          <w:bCs w:val="1"/>
          <w:color w:val="auto"/>
        </w:rPr>
        <w:t xml:space="preserve"> </w:t>
      </w:r>
      <w:r>
        <w:rPr>
          <w:rFonts w:ascii="Arial" w:cs="Arial" w:eastAsia="Arial" w:hAnsi="Arial"/>
          <w:sz w:val="17"/>
          <w:szCs w:val="17"/>
          <w:color w:val="auto"/>
        </w:rPr>
        <w:t>delay in the performance of any of its obligations under this Agreement for the time and to the extent such failure or delay is caused by or results from acts of God, pandemic,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hereunder as soon as practicable.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69" w:right="459" w:bottom="1440" w:gutter="0" w:footer="0" w:header="0"/>
        </w:sectPr>
      </w:pPr>
    </w:p>
    <w:bookmarkStart w:id="496" w:name="page497"/>
    <w:bookmarkEnd w:id="496"/>
    <w:p>
      <w:pPr>
        <w:ind w:left="540" w:right="20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12.6</w:t>
      </w:r>
      <w:r>
        <w:rPr>
          <w:sz w:val="20"/>
          <w:szCs w:val="20"/>
          <w:color w:val="auto"/>
        </w:rPr>
        <w:tab/>
      </w:r>
      <w:r>
        <w:rPr>
          <w:rFonts w:ascii="Arial" w:cs="Arial" w:eastAsia="Arial" w:hAnsi="Arial"/>
          <w:sz w:val="18"/>
          <w:szCs w:val="18"/>
          <w:b w:val="1"/>
          <w:bCs w:val="1"/>
          <w:color w:val="auto"/>
        </w:rPr>
        <w:t>No Trademark Rights</w:t>
      </w:r>
      <w:r>
        <w:rPr>
          <w:rFonts w:ascii="Arial" w:cs="Arial" w:eastAsia="Arial" w:hAnsi="Arial"/>
          <w:sz w:val="18"/>
          <w:szCs w:val="18"/>
          <w:color w:val="auto"/>
        </w:rPr>
        <w:t>. No right, express or implied, is granted by this Agreement to a Party to use in any manner the name or any other trade</w:t>
      </w:r>
      <w:r>
        <w:rPr>
          <w:rFonts w:ascii="Arial" w:cs="Arial" w:eastAsia="Arial" w:hAnsi="Arial"/>
          <w:sz w:val="18"/>
          <w:szCs w:val="18"/>
          <w:b w:val="1"/>
          <w:bCs w:val="1"/>
          <w:color w:val="auto"/>
        </w:rPr>
        <w:t xml:space="preserve"> </w:t>
      </w:r>
      <w:r>
        <w:rPr>
          <w:rFonts w:ascii="Arial" w:cs="Arial" w:eastAsia="Arial" w:hAnsi="Arial"/>
          <w:sz w:val="18"/>
          <w:szCs w:val="18"/>
          <w:color w:val="auto"/>
        </w:rPr>
        <w:t>name or trademark of the other Party in connection with the performance of this Agreement or otherwise.</w:t>
      </w:r>
    </w:p>
    <w:p>
      <w:pPr>
        <w:spacing w:after="0" w:line="67"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b w:val="1"/>
          <w:bCs w:val="1"/>
          <w:color w:val="auto"/>
        </w:rPr>
        <w:t>Entire Agreement of the Parties; Amendments</w:t>
      </w:r>
      <w:r>
        <w:rPr>
          <w:rFonts w:ascii="Arial" w:cs="Arial" w:eastAsia="Arial" w:hAnsi="Arial"/>
          <w:sz w:val="18"/>
          <w:szCs w:val="18"/>
          <w:color w:val="auto"/>
        </w:rPr>
        <w:t>. This Agreement and the Schedules hereto constitute and contain the entire understanding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89"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b w:val="1"/>
          <w:bCs w:val="1"/>
          <w:color w:val="auto"/>
        </w:rPr>
        <w:t>Captions</w:t>
      </w:r>
      <w:r>
        <w:rPr>
          <w:rFonts w:ascii="Arial" w:cs="Arial" w:eastAsia="Arial" w:hAnsi="Arial"/>
          <w:sz w:val="18"/>
          <w:szCs w:val="18"/>
          <w:color w:val="auto"/>
        </w:rPr>
        <w:t>. The captions to this Agreement are for convenience only, and are to be of no force or effect in construing or interpreting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interpreted in accordance with the laws of the State of Delaware,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any conflict of laws principles that would require application of the Law of a jurisdiction outside of the State of Delaware, and will be subject to the exclusive jurisdiction of the courts of competent jurisdiction located in the State of Delaware.</w:t>
      </w:r>
    </w:p>
    <w:p>
      <w:pPr>
        <w:spacing w:after="0" w:line="81" w:lineRule="exact"/>
        <w:rPr>
          <w:sz w:val="20"/>
          <w:szCs w:val="20"/>
          <w:color w:val="auto"/>
        </w:rPr>
      </w:pPr>
    </w:p>
    <w:p>
      <w:pPr>
        <w:ind w:left="540" w:right="40" w:hanging="539"/>
        <w:spacing w:after="0" w:line="261"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Notices and Deliveries</w:t>
      </w:r>
      <w:r>
        <w:rPr>
          <w:rFonts w:ascii="Arial" w:cs="Arial" w:eastAsia="Arial" w:hAnsi="Arial"/>
          <w:sz w:val="18"/>
          <w:szCs w:val="18"/>
          <w:color w:val="auto"/>
        </w:rPr>
        <w:t>. Any notice, request, approval or consent required or permitted to be given under this Agreement shall be in writing and shall be deemed to have been sufficiently given if delivered in person, transmitted by facsimile (receipt verified) or by express courier service (signature required) to the Party to which it is directed at its address or facsimile number shown below or such other address or facsimile number as such Party shall have last given by notice to the other Party.</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Company, addressed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Taysha Gene Therapies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Licensor, addressed to:</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Abeona Therapeutics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69" w:right="459" w:bottom="1440" w:gutter="0" w:footer="0" w:header="0"/>
        </w:sectPr>
      </w:pPr>
    </w:p>
    <w:bookmarkStart w:id="497" w:name="page498"/>
    <w:bookmarkEnd w:id="497"/>
    <w:p>
      <w:pPr>
        <w:ind w:left="540" w:hanging="539"/>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12.12 </w:t>
      </w:r>
      <w:r>
        <w:rPr>
          <w:rFonts w:ascii="Arial" w:cs="Arial" w:eastAsia="Arial" w:hAnsi="Arial"/>
          <w:sz w:val="16"/>
          <w:szCs w:val="16"/>
          <w:b w:val="1"/>
          <w:bCs w:val="1"/>
          <w:color w:val="auto"/>
        </w:rPr>
        <w:t>Severability</w:t>
      </w:r>
      <w:r>
        <w:rPr>
          <w:rFonts w:ascii="Arial" w:cs="Arial" w:eastAsia="Arial" w:hAnsi="Arial"/>
          <w:sz w:val="16"/>
          <w:szCs w:val="16"/>
          <w:color w:val="auto"/>
        </w:rPr>
        <w:t>. When possible, each provision of this Agreement will be interpreted in such manner as to be effective and valid 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56" w:lineRule="exact"/>
        <w:rPr>
          <w:sz w:val="20"/>
          <w:szCs w:val="20"/>
          <w:color w:val="auto"/>
        </w:rPr>
      </w:pPr>
    </w:p>
    <w:p>
      <w:pPr>
        <w:ind w:left="540" w:right="380" w:hanging="539"/>
        <w:spacing w:after="0" w:line="282"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No Implied License</w:t>
      </w:r>
      <w:r>
        <w:rPr>
          <w:rFonts w:ascii="Arial" w:cs="Arial" w:eastAsia="Arial" w:hAnsi="Arial"/>
          <w:sz w:val="18"/>
          <w:szCs w:val="18"/>
          <w:color w:val="auto"/>
        </w:rPr>
        <w:t>. No right or license is granted to Licensor hereunder by implication, estoppel, or otherwise to any know-how, patent or other intellectual property right owned or controlled by Company or its Affiliates.</w:t>
      </w:r>
    </w:p>
    <w:p>
      <w:pPr>
        <w:spacing w:after="0" w:line="67" w:lineRule="exact"/>
        <w:rPr>
          <w:sz w:val="20"/>
          <w:szCs w:val="20"/>
          <w:color w:val="auto"/>
        </w:rPr>
      </w:pPr>
    </w:p>
    <w:p>
      <w:pPr>
        <w:ind w:left="540" w:right="160" w:hanging="539"/>
        <w:spacing w:after="0" w:line="289" w:lineRule="auto"/>
        <w:rPr>
          <w:sz w:val="20"/>
          <w:szCs w:val="20"/>
          <w:color w:val="auto"/>
        </w:rPr>
      </w:pPr>
      <w:r>
        <w:rPr>
          <w:rFonts w:ascii="Arial" w:cs="Arial" w:eastAsia="Arial" w:hAnsi="Arial"/>
          <w:sz w:val="17"/>
          <w:szCs w:val="17"/>
          <w:color w:val="auto"/>
        </w:rPr>
        <w:t xml:space="preserve">12.14 </w:t>
      </w:r>
      <w:r>
        <w:rPr>
          <w:rFonts w:ascii="Arial" w:cs="Arial" w:eastAsia="Arial" w:hAnsi="Arial"/>
          <w:sz w:val="17"/>
          <w:szCs w:val="17"/>
          <w:b w:val="1"/>
          <w:bCs w:val="1"/>
          <w:color w:val="auto"/>
        </w:rPr>
        <w:t>Interpretation</w:t>
      </w:r>
      <w:r>
        <w:rPr>
          <w:rFonts w:ascii="Arial" w:cs="Arial" w:eastAsia="Arial" w:hAnsi="Arial"/>
          <w:sz w:val="17"/>
          <w:szCs w:val="17"/>
          <w:color w:val="auto"/>
        </w:rPr>
        <w:t>. The words “include,” “includes” and “including” shall be deemed to be followed by the phrase “without limitation.” All references herein to Articles, Sections, and Schedules shall be deemed references to Articles and Sections of, and Schedules to, this Agreement unless the context shall otherwise require. Unless the context otherwise requires, countries shall include territories.</w:t>
      </w:r>
    </w:p>
    <w:p>
      <w:pPr>
        <w:spacing w:after="0" w:line="63" w:lineRule="exact"/>
        <w:rPr>
          <w:sz w:val="20"/>
          <w:szCs w:val="20"/>
          <w:color w:val="auto"/>
        </w:rPr>
      </w:pPr>
    </w:p>
    <w:p>
      <w:pPr>
        <w:jc w:val="both"/>
        <w:ind w:left="540" w:right="280" w:hanging="539"/>
        <w:spacing w:after="0" w:line="266"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will be deemed an original, and all of which together will be deemed to be one and the same instrument. A facsimile or a portable document format (PDF) copy of this Agreement, including the signature pages, will be deemed an original.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498" w:name="page499"/>
    <w:bookmarkEnd w:id="49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duly authorized representatives of the Parties have executed this Agreement as of the date first above written.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ABEONA THERAPEUTICS INC.</w:t>
            </w:r>
          </w:p>
        </w:tc>
        <w:tc>
          <w:tcPr>
            <w:tcW w:w="5880" w:type="dxa"/>
            <w:vAlign w:val="bottom"/>
            <w:gridSpan w:val="2"/>
          </w:tcPr>
          <w:p>
            <w:pPr>
              <w:ind w:left="2300"/>
              <w:spacing w:after="0"/>
              <w:rPr>
                <w:sz w:val="20"/>
                <w:szCs w:val="20"/>
                <w:color w:val="auto"/>
              </w:rPr>
            </w:pPr>
            <w:r>
              <w:rPr>
                <w:rFonts w:ascii="Arial" w:cs="Arial" w:eastAsia="Arial" w:hAnsi="Arial"/>
                <w:sz w:val="18"/>
                <w:szCs w:val="18"/>
                <w:b w:val="1"/>
                <w:bCs w:val="1"/>
                <w:color w:val="auto"/>
              </w:rPr>
              <w:t>TAYSHA GENE THERAPIES, INC.</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i w:val="1"/>
                <w:iCs w:val="1"/>
                <w:color w:val="auto"/>
              </w:rPr>
              <w:t>/s/ João Siffert</w:t>
            </w:r>
          </w:p>
        </w:tc>
        <w:tc>
          <w:tcPr>
            <w:tcW w:w="5880" w:type="dxa"/>
            <w:vAlign w:val="bottom"/>
            <w:gridSpan w:val="2"/>
          </w:tcPr>
          <w:p>
            <w:pPr>
              <w:ind w:left="230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i w:val="1"/>
                <w:iCs w:val="1"/>
                <w:color w:val="auto"/>
              </w:rPr>
              <w:t>/s/ RA Session II</w:t>
            </w:r>
          </w:p>
        </w:tc>
      </w:tr>
      <w:tr>
        <w:trPr>
          <w:trHeight w:val="20"/>
        </w:trPr>
        <w:tc>
          <w:tcPr>
            <w:tcW w:w="7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Printed Name: João Siffert, M.D.</w:t>
            </w:r>
          </w:p>
        </w:tc>
        <w:tc>
          <w:tcPr>
            <w:tcW w:w="5880" w:type="dxa"/>
            <w:vAlign w:val="bottom"/>
            <w:gridSpan w:val="2"/>
          </w:tcPr>
          <w:p>
            <w:pPr>
              <w:ind w:left="2300"/>
              <w:spacing w:after="0"/>
              <w:rPr>
                <w:sz w:val="20"/>
                <w:szCs w:val="20"/>
                <w:color w:val="auto"/>
              </w:rPr>
            </w:pPr>
            <w:r>
              <w:rPr>
                <w:rFonts w:ascii="Arial" w:cs="Arial" w:eastAsia="Arial" w:hAnsi="Arial"/>
                <w:sz w:val="18"/>
                <w:szCs w:val="18"/>
                <w:color w:val="auto"/>
              </w:rPr>
              <w:t>Printed Name: RA Session II</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5880" w:type="dxa"/>
            <w:vAlign w:val="bottom"/>
            <w:gridSpan w:val="2"/>
          </w:tcPr>
          <w:p>
            <w:pPr>
              <w:ind w:left="2300"/>
              <w:spacing w:after="0"/>
              <w:rPr>
                <w:sz w:val="20"/>
                <w:szCs w:val="20"/>
                <w:color w:val="auto"/>
              </w:rPr>
            </w:pPr>
            <w:r>
              <w:rPr>
                <w:rFonts w:ascii="Arial" w:cs="Arial" w:eastAsia="Arial" w:hAnsi="Arial"/>
                <w:sz w:val="18"/>
                <w:szCs w:val="18"/>
                <w:color w:val="auto"/>
              </w:rPr>
              <w:t>Title: President &amp; CEO</w:t>
            </w:r>
          </w:p>
        </w:tc>
      </w:tr>
      <w:tr>
        <w:trPr>
          <w:trHeight w:val="661"/>
        </w:trPr>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80" w:type="dxa"/>
            <w:vAlign w:val="bottom"/>
            <w:gridSpan w:val="2"/>
          </w:tcPr>
          <w:p>
            <w:pPr>
              <w:ind w:left="560"/>
              <w:spacing w:after="0"/>
              <w:rPr>
                <w:sz w:val="20"/>
                <w:szCs w:val="20"/>
                <w:color w:val="auto"/>
              </w:rPr>
            </w:pPr>
            <w:r>
              <w:rPr>
                <w:rFonts w:ascii="Arial" w:cs="Arial" w:eastAsia="Arial" w:hAnsi="Arial"/>
                <w:sz w:val="18"/>
                <w:szCs w:val="18"/>
                <w:b w:val="1"/>
                <w:bCs w:val="1"/>
                <w:color w:val="auto"/>
              </w:rPr>
              <w:t>[Signature Page to License Agreement]</w:t>
            </w:r>
          </w:p>
        </w:tc>
      </w:tr>
    </w:tbl>
    <w:p>
      <w:pPr>
        <w:sectPr>
          <w:pgSz w:w="11900" w:h="16838" w:orient="portrait"/>
          <w:cols w:equalWidth="0" w:num="1">
            <w:col w:w="10300"/>
          </w:cols>
          <w:pgMar w:left="440" w:top="273" w:right="115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TAYSHA GENE THERAPIES,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July 1, 2020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July 1,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 DATE: July 1, 2030</w:t>
      </w:r>
    </w:p>
    <w:p>
      <w:pPr>
        <w:spacing w:after="0" w:line="207" w:lineRule="exact"/>
        <w:rPr>
          <w:sz w:val="20"/>
          <w:szCs w:val="20"/>
          <w:color w:val="auto"/>
        </w:rPr>
      </w:pPr>
    </w:p>
    <w:p>
      <w:pPr>
        <w:ind w:left="324" w:hanging="324"/>
        <w:spacing w:after="0"/>
        <w:tabs>
          <w:tab w:leader="none" w:pos="324"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Eligible Stock Award Recipients</w:t>
      </w:r>
      <w:r>
        <w:rPr>
          <w:rFonts w:ascii="Arial" w:cs="Arial" w:eastAsia="Arial" w:hAnsi="Arial"/>
          <w:sz w:val="18"/>
          <w:szCs w:val="18"/>
          <w:color w:val="auto"/>
        </w:rPr>
        <w:t>. Employees, Directors and Consultants are eligible to receive Stock Awards.</w:t>
      </w:r>
    </w:p>
    <w:p>
      <w:pPr>
        <w:spacing w:after="0" w:line="225" w:lineRule="exact"/>
        <w:rPr>
          <w:rFonts w:ascii="Arial" w:cs="Arial" w:eastAsia="Arial" w:hAnsi="Arial"/>
          <w:sz w:val="18"/>
          <w:szCs w:val="18"/>
          <w:b w:val="1"/>
          <w:bCs w:val="1"/>
          <w:color w:val="auto"/>
        </w:rPr>
      </w:pPr>
    </w:p>
    <w:p>
      <w:pPr>
        <w:ind w:left="844" w:hanging="404"/>
        <w:spacing w:after="0"/>
        <w:tabs>
          <w:tab w:leader="none" w:pos="84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Stock Awards</w:t>
      </w:r>
      <w:r>
        <w:rPr>
          <w:rFonts w:ascii="Arial" w:cs="Arial" w:eastAsia="Arial" w:hAnsi="Arial"/>
          <w:sz w:val="18"/>
          <w:szCs w:val="18"/>
          <w:color w:val="auto"/>
        </w:rPr>
        <w:t>. The Plan provides for the grant of the following types of Stock Awards: (i) Incentive Stock Options,</w:t>
      </w:r>
    </w:p>
    <w:p>
      <w:pPr>
        <w:spacing w:after="0" w:line="27" w:lineRule="exact"/>
        <w:rPr>
          <w:sz w:val="20"/>
          <w:szCs w:val="20"/>
          <w:color w:val="auto"/>
        </w:rPr>
      </w:pPr>
    </w:p>
    <w:p>
      <w:pPr>
        <w:ind w:left="4" w:right="260" w:hanging="4"/>
        <w:spacing w:after="0" w:line="260" w:lineRule="auto"/>
        <w:tabs>
          <w:tab w:leader="none" w:pos="26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Nonstatutory Stock Options, (iii) Stock Appreciation Rights, (iv) Restricted Stock Awards, (v) Restricted Stock Unit Awards and (vi) Other Stock Awards.</w:t>
      </w:r>
    </w:p>
    <w:p>
      <w:pPr>
        <w:spacing w:after="0" w:line="181" w:lineRule="exact"/>
        <w:rPr>
          <w:rFonts w:ascii="Arial" w:cs="Arial" w:eastAsia="Arial" w:hAnsi="Arial"/>
          <w:sz w:val="18"/>
          <w:szCs w:val="18"/>
          <w:color w:val="auto"/>
        </w:rPr>
      </w:pPr>
    </w:p>
    <w:p>
      <w:pPr>
        <w:jc w:val="both"/>
        <w:ind w:left="4" w:right="440" w:firstLine="436"/>
        <w:spacing w:after="0" w:line="266" w:lineRule="auto"/>
        <w:tabs>
          <w:tab w:leader="none" w:pos="824"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Plan, through the grant of Stock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284" w:lineRule="exact"/>
        <w:rPr>
          <w:sz w:val="20"/>
          <w:szCs w:val="20"/>
          <w:color w:val="auto"/>
        </w:rPr>
      </w:pPr>
    </w:p>
    <w:p>
      <w:pPr>
        <w:ind w:left="324" w:hanging="324"/>
        <w:spacing w:after="0"/>
        <w:tabs>
          <w:tab w:leader="none" w:pos="32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82" w:lineRule="auto"/>
        <w:tabs>
          <w:tab w:leader="none" w:pos="834"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the Board</w:t>
      </w:r>
      <w:r>
        <w:rPr>
          <w:rFonts w:ascii="Arial" w:cs="Arial" w:eastAsia="Arial" w:hAnsi="Arial"/>
          <w:sz w:val="18"/>
          <w:szCs w:val="18"/>
          <w:color w:val="auto"/>
        </w:rPr>
        <w:t>. 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844" w:hanging="404"/>
        <w:spacing w:after="0"/>
        <w:tabs>
          <w:tab w:leader="none" w:pos="844" w:val="left"/>
        </w:tabs>
        <w:numPr>
          <w:ilvl w:val="1"/>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Powers of the Board</w:t>
      </w:r>
      <w:r>
        <w:rPr>
          <w:rFonts w:ascii="Arial" w:cs="Arial" w:eastAsia="Arial" w:hAnsi="Arial"/>
          <w:sz w:val="17"/>
          <w:szCs w:val="17"/>
          <w:color w:val="auto"/>
        </w:rPr>
        <w:t>. The Board will have the power, subject to, and within the limitations of, the express provisions of the Plan:</w:t>
      </w:r>
    </w:p>
    <w:p>
      <w:pPr>
        <w:spacing w:after="0" w:line="240" w:lineRule="exact"/>
        <w:rPr>
          <w:rFonts w:ascii="Arial" w:cs="Arial" w:eastAsia="Arial" w:hAnsi="Arial"/>
          <w:sz w:val="17"/>
          <w:szCs w:val="17"/>
          <w:b w:val="1"/>
          <w:bCs w:val="1"/>
          <w:color w:val="auto"/>
        </w:rPr>
      </w:pPr>
    </w:p>
    <w:p>
      <w:pPr>
        <w:ind w:left="4" w:right="200" w:firstLine="987"/>
        <w:spacing w:after="0" w:line="259" w:lineRule="auto"/>
        <w:tabs>
          <w:tab w:leader="none" w:pos="1342" w:val="left"/>
        </w:tabs>
        <w:numPr>
          <w:ilvl w:val="2"/>
          <w:numId w:val="230"/>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86" w:lineRule="exact"/>
        <w:rPr>
          <w:rFonts w:ascii="Arial" w:cs="Arial" w:eastAsia="Arial" w:hAnsi="Arial"/>
          <w:sz w:val="18"/>
          <w:szCs w:val="18"/>
          <w:b w:val="1"/>
          <w:bCs w:val="1"/>
          <w:color w:val="auto"/>
        </w:rPr>
      </w:pPr>
    </w:p>
    <w:p>
      <w:pPr>
        <w:ind w:left="4" w:right="140" w:firstLine="987"/>
        <w:spacing w:after="0" w:line="311" w:lineRule="auto"/>
        <w:tabs>
          <w:tab w:leader="none" w:pos="1392" w:val="left"/>
        </w:tabs>
        <w:numPr>
          <w:ilvl w:val="2"/>
          <w:numId w:val="230"/>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48" w:lineRule="exact"/>
        <w:rPr>
          <w:rFonts w:ascii="Arial" w:cs="Arial" w:eastAsia="Arial" w:hAnsi="Arial"/>
          <w:sz w:val="16"/>
          <w:szCs w:val="16"/>
          <w:b w:val="1"/>
          <w:bCs w:val="1"/>
          <w:color w:val="auto"/>
        </w:rPr>
      </w:pPr>
    </w:p>
    <w:p>
      <w:pPr>
        <w:ind w:left="1444" w:hanging="453"/>
        <w:spacing w:after="0"/>
        <w:tabs>
          <w:tab w:leader="none" w:pos="1444" w:val="left"/>
        </w:tabs>
        <w:numPr>
          <w:ilvl w:val="2"/>
          <w:numId w:val="230"/>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Stock Awards granted under it.</w:t>
      </w:r>
    </w:p>
    <w:p>
      <w:pPr>
        <w:spacing w:after="0" w:line="225" w:lineRule="exact"/>
        <w:rPr>
          <w:rFonts w:ascii="Arial" w:cs="Arial" w:eastAsia="Arial" w:hAnsi="Arial"/>
          <w:sz w:val="18"/>
          <w:szCs w:val="18"/>
          <w:b w:val="1"/>
          <w:bCs w:val="1"/>
          <w:color w:val="auto"/>
        </w:rPr>
      </w:pPr>
    </w:p>
    <w:p>
      <w:pPr>
        <w:ind w:left="4" w:right="180" w:firstLine="987"/>
        <w:spacing w:after="0" w:line="277" w:lineRule="auto"/>
        <w:tabs>
          <w:tab w:leader="none" w:pos="1432" w:val="left"/>
        </w:tabs>
        <w:numPr>
          <w:ilvl w:val="2"/>
          <w:numId w:val="230"/>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 Stock Award may be exercised or vest (or the time at which cash or shares of Common Stock may be issued in settlement thereof).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00" w:name="page501"/>
    <w:bookmarkEnd w:id="500"/>
    <w:p>
      <w:pPr>
        <w:ind w:left="4" w:right="180" w:firstLine="987"/>
        <w:spacing w:after="0" w:line="263" w:lineRule="auto"/>
        <w:tabs>
          <w:tab w:leader="none" w:pos="1382"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suspend or terminate the Plan at any time. Except as otherwise provided in the Plan or a Stock Award Agreement, suspension or termination of the Plan will not impair a Participant’s rights under the Participant’s then-outstanding Stock Award without the Participant’s written consent except as provided in subsection (viii) below.</w:t>
      </w:r>
    </w:p>
    <w:p>
      <w:pPr>
        <w:spacing w:after="0" w:line="183" w:lineRule="exact"/>
        <w:rPr>
          <w:rFonts w:ascii="Arial" w:cs="Arial" w:eastAsia="Arial" w:hAnsi="Arial"/>
          <w:sz w:val="18"/>
          <w:szCs w:val="18"/>
          <w:b w:val="1"/>
          <w:bCs w:val="1"/>
          <w:color w:val="auto"/>
        </w:rPr>
      </w:pPr>
    </w:p>
    <w:p>
      <w:pPr>
        <w:ind w:left="4" w:right="40" w:firstLine="987"/>
        <w:spacing w:after="0" w:line="284" w:lineRule="auto"/>
        <w:tabs>
          <w:tab w:leader="none" w:pos="1432" w:val="left"/>
        </w:tabs>
        <w:numPr>
          <w:ilvl w:val="1"/>
          <w:numId w:val="231"/>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w:t>
      </w:r>
    </w:p>
    <w:p>
      <w:pPr>
        <w:ind w:left="4" w:hanging="4"/>
        <w:spacing w:after="0" w:line="255" w:lineRule="auto"/>
        <w:tabs>
          <w:tab w:leader="none" w:pos="27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materially extends the term of the Plan, or (F) materially expands the types of Stock Awards available for issuance under the Plan. Except as otherwise provided in the Plan or a Stock Award Agreement, no amendment of the Plan will materially impair a Participant’s rights under an outstanding Stock Award without the Participant’s written consent.</w:t>
      </w:r>
    </w:p>
    <w:p>
      <w:pPr>
        <w:spacing w:after="0" w:line="189" w:lineRule="exact"/>
        <w:rPr>
          <w:rFonts w:ascii="Arial" w:cs="Arial" w:eastAsia="Arial" w:hAnsi="Arial"/>
          <w:sz w:val="18"/>
          <w:szCs w:val="18"/>
          <w:color w:val="auto"/>
        </w:rPr>
      </w:pPr>
    </w:p>
    <w:p>
      <w:pPr>
        <w:ind w:left="4" w:right="220" w:firstLine="987"/>
        <w:spacing w:after="0" w:line="277" w:lineRule="auto"/>
        <w:tabs>
          <w:tab w:leader="none" w:pos="1482"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70" w:lineRule="exact"/>
        <w:rPr>
          <w:rFonts w:ascii="Arial" w:cs="Arial" w:eastAsia="Arial" w:hAnsi="Arial"/>
          <w:sz w:val="18"/>
          <w:szCs w:val="18"/>
          <w:b w:val="1"/>
          <w:bCs w:val="1"/>
          <w:color w:val="auto"/>
        </w:rPr>
      </w:pPr>
    </w:p>
    <w:p>
      <w:pPr>
        <w:ind w:left="4" w:firstLine="987"/>
        <w:spacing w:after="0" w:line="269" w:lineRule="auto"/>
        <w:tabs>
          <w:tab w:leader="none" w:pos="1532" w:val="left"/>
        </w:tabs>
        <w:numPr>
          <w:ilvl w:val="1"/>
          <w:numId w:val="232"/>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spacing w:after="0" w:line="181" w:lineRule="exact"/>
        <w:rPr>
          <w:rFonts w:ascii="Arial" w:cs="Arial" w:eastAsia="Arial" w:hAnsi="Arial"/>
          <w:sz w:val="17"/>
          <w:szCs w:val="17"/>
          <w:b w:val="1"/>
          <w:bCs w:val="1"/>
          <w:color w:val="auto"/>
        </w:rPr>
      </w:pPr>
    </w:p>
    <w:p>
      <w:pPr>
        <w:ind w:left="4" w:right="60" w:firstLine="987"/>
        <w:spacing w:after="0" w:line="277" w:lineRule="auto"/>
        <w:tabs>
          <w:tab w:leader="none" w:pos="1435"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70" w:lineRule="exact"/>
        <w:rPr>
          <w:rFonts w:ascii="Arial" w:cs="Arial" w:eastAsia="Arial" w:hAnsi="Arial"/>
          <w:sz w:val="18"/>
          <w:szCs w:val="18"/>
          <w:b w:val="1"/>
          <w:bCs w:val="1"/>
          <w:color w:val="auto"/>
        </w:rPr>
      </w:pPr>
    </w:p>
    <w:p>
      <w:pPr>
        <w:ind w:left="4" w:firstLine="987"/>
        <w:spacing w:after="0" w:line="277" w:lineRule="auto"/>
        <w:tabs>
          <w:tab w:leader="none" w:pos="1382" w:val="left"/>
        </w:tabs>
        <w:numPr>
          <w:ilvl w:val="1"/>
          <w:numId w:val="23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01" w:name="page502"/>
    <w:bookmarkEnd w:id="501"/>
    <w:p>
      <w:pPr>
        <w:ind w:left="4"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outside the United States (provided that Board approval will not be necessary for immaterial modifications to the Plan or any Stock Award Agreement that are required for compliance with the laws of the relevant foreign jurisdiction).</w:t>
      </w:r>
    </w:p>
    <w:p>
      <w:pPr>
        <w:spacing w:after="0" w:line="170" w:lineRule="exact"/>
        <w:rPr>
          <w:sz w:val="20"/>
          <w:szCs w:val="20"/>
          <w:color w:val="auto"/>
        </w:rPr>
      </w:pPr>
    </w:p>
    <w:p>
      <w:pPr>
        <w:ind w:left="4" w:right="240" w:firstLine="987"/>
        <w:spacing w:after="0" w:line="291" w:lineRule="auto"/>
        <w:tabs>
          <w:tab w:leader="none" w:pos="1480" w:val="left"/>
        </w:tabs>
        <w:numPr>
          <w:ilvl w:val="2"/>
          <w:numId w:val="233"/>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hanging="4"/>
        <w:spacing w:after="0" w:line="253" w:lineRule="auto"/>
        <w:tabs>
          <w:tab w:leader="none" w:pos="2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8" w:lineRule="exact"/>
        <w:rPr>
          <w:rFonts w:ascii="Arial" w:cs="Arial" w:eastAsia="Arial" w:hAnsi="Arial"/>
          <w:sz w:val="18"/>
          <w:szCs w:val="18"/>
          <w:color w:val="auto"/>
        </w:rPr>
      </w:pPr>
    </w:p>
    <w:p>
      <w:pPr>
        <w:ind w:left="4" w:right="40" w:firstLine="436"/>
        <w:spacing w:after="0" w:line="273" w:lineRule="auto"/>
        <w:tabs>
          <w:tab w:leader="none" w:pos="824" w:val="left"/>
        </w:tabs>
        <w:numPr>
          <w:ilvl w:val="1"/>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Delegation to Committee</w:t>
      </w:r>
      <w:r>
        <w:rPr>
          <w:rFonts w:ascii="Arial" w:cs="Arial" w:eastAsia="Arial" w:hAnsi="Arial"/>
          <w:sz w:val="17"/>
          <w:szCs w:val="17"/>
          <w:color w:val="auto"/>
        </w:rPr>
        <w:t>. The Board may delegate some or all of the administration of the Plan to a Committee or Committees. If</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1" w:lineRule="exact"/>
        <w:rPr>
          <w:rFonts w:ascii="Arial" w:cs="Arial" w:eastAsia="Arial" w:hAnsi="Arial"/>
          <w:sz w:val="17"/>
          <w:szCs w:val="17"/>
          <w:b w:val="1"/>
          <w:bCs w:val="1"/>
          <w:color w:val="auto"/>
        </w:rPr>
      </w:pPr>
    </w:p>
    <w:p>
      <w:pPr>
        <w:ind w:left="4" w:firstLine="436"/>
        <w:spacing w:after="0" w:line="291" w:lineRule="auto"/>
        <w:tabs>
          <w:tab w:leader="none" w:pos="889"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an Officer</w:t>
      </w:r>
      <w:r>
        <w:rPr>
          <w:rFonts w:ascii="Arial" w:cs="Arial" w:eastAsia="Arial" w:hAnsi="Arial"/>
          <w:sz w:val="16"/>
          <w:szCs w:val="16"/>
          <w:color w:val="auto"/>
        </w:rPr>
        <w:t>. 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 below.</w:t>
      </w:r>
    </w:p>
    <w:p>
      <w:pPr>
        <w:spacing w:after="0" w:line="159" w:lineRule="exact"/>
        <w:rPr>
          <w:rFonts w:ascii="Arial" w:cs="Arial" w:eastAsia="Arial" w:hAnsi="Arial"/>
          <w:sz w:val="16"/>
          <w:szCs w:val="16"/>
          <w:b w:val="1"/>
          <w:bCs w:val="1"/>
          <w:color w:val="auto"/>
        </w:rPr>
      </w:pPr>
    </w:p>
    <w:p>
      <w:pPr>
        <w:ind w:left="4" w:right="380" w:firstLine="436"/>
        <w:spacing w:after="0" w:line="282" w:lineRule="auto"/>
        <w:tabs>
          <w:tab w:leader="none" w:pos="824"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Board’s Decision</w:t>
      </w:r>
      <w:r>
        <w:rPr>
          <w:rFonts w:ascii="Arial" w:cs="Arial" w:eastAsia="Arial" w:hAnsi="Arial"/>
          <w:sz w:val="18"/>
          <w:szCs w:val="18"/>
          <w:color w:val="auto"/>
        </w:rPr>
        <w:t>. 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270" w:lineRule="exact"/>
        <w:rPr>
          <w:sz w:val="20"/>
          <w:szCs w:val="20"/>
          <w:color w:val="auto"/>
        </w:rPr>
      </w:pPr>
    </w:p>
    <w:p>
      <w:pPr>
        <w:ind w:left="324" w:hanging="324"/>
        <w:spacing w:after="0"/>
        <w:tabs>
          <w:tab w:leader="none" w:pos="32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40" w:firstLine="987"/>
        <w:spacing w:after="0" w:line="277" w:lineRule="auto"/>
        <w:tabs>
          <w:tab w:leader="none" w:pos="1345" w:val="left"/>
        </w:tabs>
        <w:numPr>
          <w:ilvl w:val="2"/>
          <w:numId w:val="235"/>
        </w:numPr>
        <w:rPr>
          <w:rFonts w:ascii="Arial" w:cs="Arial" w:eastAsia="Arial" w:hAnsi="Arial"/>
          <w:sz w:val="18"/>
          <w:szCs w:val="18"/>
          <w:b w:val="1"/>
          <w:bCs w:val="1"/>
          <w:color w:val="auto"/>
        </w:rPr>
      </w:pPr>
      <w:r>
        <w:rPr>
          <w:rFonts w:ascii="Arial" w:cs="Arial" w:eastAsia="Arial" w:hAnsi="Arial"/>
          <w:sz w:val="18"/>
          <w:szCs w:val="18"/>
          <w:color w:val="auto"/>
        </w:rPr>
        <w:t xml:space="preserve">Subject to Section 9(a) relating to Capitalization Adjustments, the aggregate number of shares of Common Stock that may be issued pursuant to Stock Awards from and after the Effective Date will not exceed 3,529,412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sectPr>
      </w:pPr>
    </w:p>
    <w:bookmarkStart w:id="502" w:name="page503"/>
    <w:bookmarkEnd w:id="502"/>
    <w:p>
      <w:pPr>
        <w:ind w:left="4" w:right="540" w:firstLine="987"/>
        <w:spacing w:after="0" w:line="308" w:lineRule="auto"/>
        <w:tabs>
          <w:tab w:leader="none" w:pos="1395" w:val="left"/>
        </w:tabs>
        <w:numPr>
          <w:ilvl w:val="2"/>
          <w:numId w:val="23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42" w:lineRule="exact"/>
        <w:rPr>
          <w:rFonts w:ascii="Arial" w:cs="Arial" w:eastAsia="Arial" w:hAnsi="Arial"/>
          <w:sz w:val="17"/>
          <w:szCs w:val="17"/>
          <w:b w:val="1"/>
          <w:bCs w:val="1"/>
          <w:color w:val="auto"/>
        </w:rPr>
      </w:pPr>
    </w:p>
    <w:p>
      <w:pPr>
        <w:ind w:left="4" w:right="40" w:firstLine="436"/>
        <w:spacing w:after="0" w:line="292" w:lineRule="auto"/>
        <w:tabs>
          <w:tab w:leader="none" w:pos="844" w:val="left"/>
        </w:tabs>
        <w:numPr>
          <w:ilvl w:val="1"/>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left="4" w:right="400" w:firstLine="436"/>
        <w:spacing w:after="0" w:line="266" w:lineRule="auto"/>
        <w:tabs>
          <w:tab w:leader="none" w:pos="82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 Limit</w:t>
      </w:r>
      <w:r>
        <w:rPr>
          <w:rFonts w:ascii="Arial" w:cs="Arial" w:eastAsia="Arial" w:hAnsi="Arial"/>
          <w:sz w:val="18"/>
          <w:szCs w:val="18"/>
          <w:color w:val="auto"/>
        </w:rPr>
        <w:t>. Subject to the Share Reserve and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pursuant to the exercise of Incentive Stock Options will be a number of shares of Common Stock equal to three multiplied by the Share Reserve.</w:t>
      </w:r>
    </w:p>
    <w:p>
      <w:pPr>
        <w:spacing w:after="0" w:line="175" w:lineRule="exact"/>
        <w:rPr>
          <w:rFonts w:ascii="Arial" w:cs="Arial" w:eastAsia="Arial" w:hAnsi="Arial"/>
          <w:sz w:val="18"/>
          <w:szCs w:val="18"/>
          <w:b w:val="1"/>
          <w:bCs w:val="1"/>
          <w:color w:val="auto"/>
        </w:rPr>
      </w:pPr>
    </w:p>
    <w:p>
      <w:pPr>
        <w:ind w:left="4" w:right="480" w:firstLine="436"/>
        <w:spacing w:after="0" w:line="282" w:lineRule="auto"/>
        <w:tabs>
          <w:tab w:leader="none" w:pos="84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269" w:lineRule="exact"/>
        <w:rPr>
          <w:rFonts w:ascii="Arial" w:cs="Arial" w:eastAsia="Arial" w:hAnsi="Arial"/>
          <w:sz w:val="18"/>
          <w:szCs w:val="18"/>
          <w:b w:val="1"/>
          <w:bCs w:val="1"/>
          <w:color w:val="auto"/>
        </w:rPr>
      </w:pPr>
    </w:p>
    <w:p>
      <w:pPr>
        <w:ind w:left="324" w:hanging="324"/>
        <w:spacing w:after="0"/>
        <w:tabs>
          <w:tab w:leader="none" w:pos="32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1" w:lineRule="exact"/>
        <w:rPr>
          <w:rFonts w:ascii="Arial" w:cs="Arial" w:eastAsia="Arial" w:hAnsi="Arial"/>
          <w:sz w:val="17"/>
          <w:szCs w:val="17"/>
          <w:b w:val="1"/>
          <w:bCs w:val="1"/>
          <w:color w:val="auto"/>
        </w:rPr>
      </w:pPr>
    </w:p>
    <w:p>
      <w:pPr>
        <w:ind w:left="4" w:right="120" w:firstLine="436"/>
        <w:spacing w:after="0" w:line="266" w:lineRule="auto"/>
        <w:tabs>
          <w:tab w:leader="none" w:pos="844"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of the Fair Market Value on the date of grant and the Option is not exercisable after the expiration of five years from the date of grant.</w:t>
      </w:r>
    </w:p>
    <w:p>
      <w:pPr>
        <w:spacing w:after="0" w:line="175" w:lineRule="exact"/>
        <w:rPr>
          <w:rFonts w:ascii="Arial" w:cs="Arial" w:eastAsia="Arial" w:hAnsi="Arial"/>
          <w:sz w:val="18"/>
          <w:szCs w:val="18"/>
          <w:b w:val="1"/>
          <w:bCs w:val="1"/>
          <w:color w:val="auto"/>
        </w:rPr>
      </w:pPr>
    </w:p>
    <w:p>
      <w:pPr>
        <w:ind w:left="4" w:right="80" w:firstLine="436"/>
        <w:spacing w:after="0" w:line="258" w:lineRule="auto"/>
        <w:tabs>
          <w:tab w:leader="none" w:pos="824"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Consultants</w:t>
      </w:r>
      <w:r>
        <w:rPr>
          <w:rFonts w:ascii="Arial" w:cs="Arial" w:eastAsia="Arial" w:hAnsi="Arial"/>
          <w:sz w:val="18"/>
          <w:szCs w:val="18"/>
          <w:color w:val="auto"/>
        </w:rPr>
        <w:t>. A Consultant will not be eligible for the grant of a Stock Award if, at the time of grant, either the offer or sale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3" w:right="439" w:bottom="1440" w:gutter="0" w:footer="0" w:header="0"/>
        </w:sectPr>
      </w:pPr>
    </w:p>
    <w:bookmarkStart w:id="503" w:name="page504"/>
    <w:bookmarkEnd w:id="503"/>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w:t>
      </w:r>
      <w:r>
        <w:rPr>
          <w:sz w:val="20"/>
          <w:szCs w:val="20"/>
          <w:color w:val="auto"/>
        </w:rPr>
        <w:tab/>
      </w:r>
      <w:r>
        <w:rPr>
          <w:rFonts w:ascii="Arial" w:cs="Arial" w:eastAsia="Arial" w:hAnsi="Arial"/>
          <w:sz w:val="16"/>
          <w:szCs w:val="16"/>
          <w:b w:val="1"/>
          <w:bCs w:val="1"/>
          <w:color w:val="auto"/>
        </w:rPr>
        <w:t>Provisions Relating to Options and Stock Appreciation Rights</w:t>
      </w:r>
      <w:r>
        <w:rPr>
          <w:rFonts w:ascii="Arial" w:cs="Arial" w:eastAsia="Arial" w:hAnsi="Arial"/>
          <w:sz w:val="16"/>
          <w:szCs w:val="16"/>
          <w:color w:val="auto"/>
        </w:rPr>
        <w:t>.</w:t>
      </w:r>
    </w:p>
    <w:p>
      <w:pPr>
        <w:spacing w:after="0" w:line="12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Stock Award Agreement will conform to (through incorporation of provisions hereof by reference in the applicable Stock Award Agreement or otherwise) the substance of each of the following provisions:</w:t>
      </w:r>
    </w:p>
    <w:p>
      <w:pPr>
        <w:spacing w:after="0" w:line="162" w:lineRule="exact"/>
        <w:rPr>
          <w:sz w:val="20"/>
          <w:szCs w:val="20"/>
          <w:color w:val="auto"/>
        </w:rPr>
      </w:pPr>
    </w:p>
    <w:p>
      <w:pPr>
        <w:ind w:right="700" w:firstLine="436"/>
        <w:spacing w:after="0" w:line="312" w:lineRule="auto"/>
        <w:tabs>
          <w:tab w:leader="none" w:pos="83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provisions of Section 4(b) regarding Ten Percent Stockholders, no Option or SAR will be exercisable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of 10 years from the date of its grant or such shorter period specified in the Stock Award Agreement.</w:t>
      </w:r>
    </w:p>
    <w:p>
      <w:pPr>
        <w:spacing w:after="0" w:line="139" w:lineRule="exact"/>
        <w:rPr>
          <w:rFonts w:ascii="Arial" w:cs="Arial" w:eastAsia="Arial" w:hAnsi="Arial"/>
          <w:sz w:val="17"/>
          <w:szCs w:val="17"/>
          <w:b w:val="1"/>
          <w:bCs w:val="1"/>
          <w:color w:val="auto"/>
        </w:rPr>
      </w:pPr>
    </w:p>
    <w:p>
      <w:pPr>
        <w:ind w:right="160" w:firstLine="436"/>
        <w:spacing w:after="0" w:line="274" w:lineRule="auto"/>
        <w:tabs>
          <w:tab w:leader="none" w:pos="84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Exercise Price</w:t>
      </w:r>
      <w:r>
        <w:rPr>
          <w:rFonts w:ascii="Arial" w:cs="Arial" w:eastAsia="Arial" w:hAnsi="Arial"/>
          <w:sz w:val="17"/>
          <w:szCs w:val="17"/>
          <w:color w:val="auto"/>
        </w:rPr>
        <w:t>. Subject to the provisions of Section 4(b) regarding Ten Percent Stockholders,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3" w:lineRule="exact"/>
        <w:rPr>
          <w:rFonts w:ascii="Arial" w:cs="Arial" w:eastAsia="Arial" w:hAnsi="Arial"/>
          <w:sz w:val="17"/>
          <w:szCs w:val="17"/>
          <w:b w:val="1"/>
          <w:bCs w:val="1"/>
          <w:color w:val="auto"/>
        </w:rPr>
      </w:pPr>
    </w:p>
    <w:p>
      <w:pPr>
        <w:ind w:firstLine="436"/>
        <w:spacing w:after="0" w:line="258" w:lineRule="auto"/>
        <w:tabs>
          <w:tab w:leader="none" w:pos="82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for Options</w:t>
      </w:r>
      <w:r>
        <w:rPr>
          <w:rFonts w:ascii="Arial" w:cs="Arial" w:eastAsia="Arial" w:hAnsi="Arial"/>
          <w:sz w:val="18"/>
          <w:szCs w:val="18"/>
          <w:color w:val="auto"/>
        </w:rPr>
        <w:t>. The purchase price of Common Stock acquired pursuant to the exercise of an Option may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340" w:hanging="353"/>
        <w:spacing w:after="0"/>
        <w:tabs>
          <w:tab w:leader="none" w:pos="1340"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by cash, check, bank draft, electronic funds transfer or money order payable to the Company;</w:t>
      </w:r>
    </w:p>
    <w:p>
      <w:pPr>
        <w:spacing w:after="0" w:line="225" w:lineRule="exact"/>
        <w:rPr>
          <w:rFonts w:ascii="Arial" w:cs="Arial" w:eastAsia="Arial" w:hAnsi="Arial"/>
          <w:sz w:val="18"/>
          <w:szCs w:val="18"/>
          <w:b w:val="1"/>
          <w:bCs w:val="1"/>
          <w:color w:val="auto"/>
        </w:rPr>
      </w:pPr>
    </w:p>
    <w:p>
      <w:pPr>
        <w:ind w:right="240" w:firstLine="987"/>
        <w:spacing w:after="0" w:line="257" w:lineRule="auto"/>
        <w:tabs>
          <w:tab w:leader="none" w:pos="1391"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7" w:lineRule="exact"/>
        <w:rPr>
          <w:rFonts w:ascii="Arial" w:cs="Arial" w:eastAsia="Arial" w:hAnsi="Arial"/>
          <w:sz w:val="18"/>
          <w:szCs w:val="18"/>
          <w:b w:val="1"/>
          <w:bCs w:val="1"/>
          <w:color w:val="auto"/>
        </w:rPr>
      </w:pPr>
    </w:p>
    <w:p>
      <w:pPr>
        <w:ind w:right="360" w:firstLine="987"/>
        <w:spacing w:after="0" w:line="277" w:lineRule="auto"/>
        <w:tabs>
          <w:tab w:leader="none" w:pos="1441" w:val="left"/>
        </w:tabs>
        <w:numPr>
          <w:ilvl w:val="1"/>
          <w:numId w:val="239"/>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at the time of exercise the Common Stock is publicly traded, by delivery to the Company (either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504" w:name="page505"/>
    <w:bookmarkEnd w:id="50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and/or the Board, at the time Participant exercises their Option, will include delivery to the Company of Participant’s attestation of ownership of such shares of Common Stock in a form approved by the Company. Participant may not exercise their option by delivery to the Company of Common Stock if doing so would violate the provisions of any law, regulation or agreement restricting the redemption of the Company’s stock;</w:t>
      </w:r>
    </w:p>
    <w:p>
      <w:pPr>
        <w:spacing w:after="0" w:line="161" w:lineRule="exact"/>
        <w:rPr>
          <w:sz w:val="20"/>
          <w:szCs w:val="20"/>
          <w:color w:val="auto"/>
        </w:rPr>
      </w:pPr>
    </w:p>
    <w:p>
      <w:pPr>
        <w:ind w:right="20" w:firstLine="987"/>
        <w:spacing w:after="0" w:line="271" w:lineRule="auto"/>
        <w:tabs>
          <w:tab w:leader="none" w:pos="1431" w:val="left"/>
        </w:tabs>
        <w:numPr>
          <w:ilvl w:val="1"/>
          <w:numId w:val="240"/>
        </w:numPr>
        <w:rPr>
          <w:rFonts w:ascii="Arial" w:cs="Arial" w:eastAsia="Arial" w:hAnsi="Arial"/>
          <w:sz w:val="17"/>
          <w:szCs w:val="17"/>
          <w:b w:val="1"/>
          <w:bCs w:val="1"/>
          <w:color w:val="auto"/>
        </w:rPr>
      </w:pPr>
      <w:r>
        <w:rPr>
          <w:rFonts w:ascii="Arial" w:cs="Arial" w:eastAsia="Arial" w:hAnsi="Arial"/>
          <w:sz w:val="17"/>
          <w:szCs w:val="17"/>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Participant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spacing w:after="0" w:line="178" w:lineRule="exact"/>
        <w:rPr>
          <w:rFonts w:ascii="Arial" w:cs="Arial" w:eastAsia="Arial" w:hAnsi="Arial"/>
          <w:sz w:val="17"/>
          <w:szCs w:val="17"/>
          <w:b w:val="1"/>
          <w:bCs w:val="1"/>
          <w:color w:val="auto"/>
        </w:rPr>
      </w:pPr>
    </w:p>
    <w:p>
      <w:pPr>
        <w:ind w:firstLine="987"/>
        <w:spacing w:after="0" w:line="259" w:lineRule="auto"/>
        <w:tabs>
          <w:tab w:leader="none" w:pos="1381"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6"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40"/>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221" w:lineRule="exact"/>
        <w:rPr>
          <w:rFonts w:ascii="Arial" w:cs="Arial" w:eastAsia="Arial" w:hAnsi="Arial"/>
          <w:sz w:val="18"/>
          <w:szCs w:val="18"/>
          <w:b w:val="1"/>
          <w:bCs w:val="1"/>
          <w:color w:val="auto"/>
        </w:rPr>
      </w:pPr>
    </w:p>
    <w:p>
      <w:pPr>
        <w:ind w:firstLine="436"/>
        <w:spacing w:after="0" w:line="254" w:lineRule="auto"/>
        <w:tabs>
          <w:tab w:leader="none" w:pos="84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Payment of a SAR</w:t>
      </w:r>
      <w:r>
        <w:rPr>
          <w:rFonts w:ascii="Arial" w:cs="Arial" w:eastAsia="Arial" w:hAnsi="Arial"/>
          <w:sz w:val="18"/>
          <w:szCs w:val="18"/>
          <w:color w:val="auto"/>
        </w:rPr>
        <w:t>. To exercise any outstanding SAR, the Participant must provide written notice of exercise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91" w:lineRule="exact"/>
        <w:rPr>
          <w:rFonts w:ascii="Arial" w:cs="Arial" w:eastAsia="Arial" w:hAnsi="Arial"/>
          <w:sz w:val="18"/>
          <w:szCs w:val="18"/>
          <w:b w:val="1"/>
          <w:bCs w:val="1"/>
          <w:color w:val="auto"/>
        </w:rPr>
      </w:pPr>
    </w:p>
    <w:p>
      <w:pPr>
        <w:ind w:firstLine="436"/>
        <w:spacing w:after="0" w:line="266" w:lineRule="auto"/>
        <w:tabs>
          <w:tab w:leader="none" w:pos="8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of Options and SARs</w:t>
      </w:r>
      <w:r>
        <w:rPr>
          <w:rFonts w:ascii="Arial" w:cs="Arial" w:eastAsia="Arial" w:hAnsi="Arial"/>
          <w:sz w:val="18"/>
          <w:szCs w:val="18"/>
          <w:color w:val="auto"/>
        </w:rPr>
        <w:t>. 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341"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05" w:name="page506"/>
    <w:bookmarkEnd w:id="505"/>
    <w:p>
      <w:pPr>
        <w:ind w:right="20" w:firstLine="987"/>
        <w:spacing w:after="0" w:line="261" w:lineRule="auto"/>
        <w:tabs>
          <w:tab w:leader="none" w:pos="1391"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right="20" w:firstLine="987"/>
        <w:spacing w:after="0" w:line="255" w:lineRule="auto"/>
        <w:tabs>
          <w:tab w:leader="none" w:pos="1441"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8" w:lineRule="exact"/>
        <w:rPr>
          <w:rFonts w:ascii="Arial" w:cs="Arial" w:eastAsia="Arial" w:hAnsi="Arial"/>
          <w:sz w:val="18"/>
          <w:szCs w:val="18"/>
          <w:b w:val="1"/>
          <w:bCs w:val="1"/>
          <w:color w:val="auto"/>
        </w:rPr>
      </w:pPr>
    </w:p>
    <w:p>
      <w:pPr>
        <w:ind w:right="40" w:firstLine="436"/>
        <w:spacing w:after="0" w:line="277" w:lineRule="auto"/>
        <w:tabs>
          <w:tab w:leader="none" w:pos="80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Vesting Generally</w:t>
      </w:r>
      <w:r>
        <w:rPr>
          <w:rFonts w:ascii="Arial" w:cs="Arial" w:eastAsia="Arial" w:hAnsi="Arial"/>
          <w:sz w:val="17"/>
          <w:szCs w:val="17"/>
          <w:color w:val="auto"/>
        </w:rPr>
        <w:t>. The total number of shares of Common Stock subject to an Option or SAR may vest and therefore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firstLine="436"/>
        <w:spacing w:after="0" w:line="272" w:lineRule="auto"/>
        <w:tabs>
          <w:tab w:leader="none" w:pos="83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Continuous Service</w:t>
      </w:r>
      <w:r>
        <w:rPr>
          <w:rFonts w:ascii="Arial" w:cs="Arial" w:eastAsia="Arial" w:hAnsi="Arial"/>
          <w:sz w:val="17"/>
          <w:szCs w:val="17"/>
          <w:color w:val="auto"/>
        </w:rPr>
        <w:t>. Except as otherwise provided in the applicable Stock Award Agreement or other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71" w:lineRule="exact"/>
        <w:rPr>
          <w:rFonts w:ascii="Arial" w:cs="Arial" w:eastAsia="Arial" w:hAnsi="Arial"/>
          <w:sz w:val="17"/>
          <w:szCs w:val="17"/>
          <w:b w:val="1"/>
          <w:bCs w:val="1"/>
          <w:color w:val="auto"/>
        </w:rPr>
      </w:pPr>
    </w:p>
    <w:p>
      <w:pPr>
        <w:ind w:firstLine="436"/>
        <w:spacing w:after="0" w:line="255" w:lineRule="auto"/>
        <w:tabs>
          <w:tab w:leader="none" w:pos="8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Termination Date</w:t>
      </w:r>
      <w:r>
        <w:rPr>
          <w:rFonts w:ascii="Arial" w:cs="Arial" w:eastAsia="Arial" w:hAnsi="Arial"/>
          <w:sz w:val="18"/>
          <w:szCs w:val="18"/>
          <w:color w:val="auto"/>
        </w:rPr>
        <w:t>. If the exercise of an Option or SAR following the termination of the Participant’s Continuous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69" w:right="459" w:bottom="1440" w:gutter="0" w:footer="0" w:header="0"/>
        </w:sectPr>
      </w:pPr>
    </w:p>
    <w:bookmarkStart w:id="506" w:name="page507"/>
    <w:bookmarkEnd w:id="506"/>
    <w:p>
      <w:pPr>
        <w:ind w:left="4"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w:t>
      </w:r>
    </w:p>
    <w:p>
      <w:pPr>
        <w:jc w:val="both"/>
        <w:ind w:left="4" w:right="80" w:hanging="4"/>
        <w:spacing w:after="0" w:line="302" w:lineRule="auto"/>
        <w:tabs>
          <w:tab w:leader="none" w:pos="21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spacing w:after="0" w:line="151" w:lineRule="exact"/>
        <w:rPr>
          <w:rFonts w:ascii="Arial" w:cs="Arial" w:eastAsia="Arial" w:hAnsi="Arial"/>
          <w:sz w:val="16"/>
          <w:szCs w:val="16"/>
          <w:color w:val="auto"/>
        </w:rPr>
      </w:pPr>
    </w:p>
    <w:p>
      <w:pPr>
        <w:ind w:left="4" w:right="120" w:firstLine="436"/>
        <w:spacing w:after="0" w:line="254" w:lineRule="auto"/>
        <w:tabs>
          <w:tab w:leader="none" w:pos="79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 of Participant</w:t>
      </w:r>
      <w:r>
        <w:rPr>
          <w:rFonts w:ascii="Arial" w:cs="Arial" w:eastAsia="Arial" w:hAnsi="Arial"/>
          <w:sz w:val="18"/>
          <w:szCs w:val="18"/>
          <w:color w:val="auto"/>
        </w:rPr>
        <w:t>. 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91" w:lineRule="exact"/>
        <w:rPr>
          <w:rFonts w:ascii="Arial" w:cs="Arial" w:eastAsia="Arial" w:hAnsi="Arial"/>
          <w:sz w:val="18"/>
          <w:szCs w:val="18"/>
          <w:b w:val="1"/>
          <w:bCs w:val="1"/>
          <w:color w:val="auto"/>
        </w:rPr>
      </w:pPr>
    </w:p>
    <w:p>
      <w:pPr>
        <w:ind w:left="4" w:firstLine="436"/>
        <w:spacing w:after="0" w:line="253" w:lineRule="auto"/>
        <w:tabs>
          <w:tab w:leader="none" w:pos="80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Death of Participant</w:t>
      </w:r>
      <w:r>
        <w:rPr>
          <w:rFonts w:ascii="Arial" w:cs="Arial" w:eastAsia="Arial" w:hAnsi="Arial"/>
          <w:sz w:val="18"/>
          <w:szCs w:val="18"/>
          <w:color w:val="auto"/>
        </w:rPr>
        <w:t>. Except as otherwise provided in the applicable Stock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94" w:lineRule="exact"/>
        <w:rPr>
          <w:rFonts w:ascii="Arial" w:cs="Arial" w:eastAsia="Arial" w:hAnsi="Arial"/>
          <w:sz w:val="18"/>
          <w:szCs w:val="18"/>
          <w:b w:val="1"/>
          <w:bCs w:val="1"/>
          <w:color w:val="auto"/>
        </w:rPr>
      </w:pPr>
    </w:p>
    <w:p>
      <w:pPr>
        <w:ind w:left="4" w:right="160" w:firstLine="436"/>
        <w:spacing w:after="0" w:line="281" w:lineRule="auto"/>
        <w:tabs>
          <w:tab w:leader="none" w:pos="844" w:val="left"/>
        </w:tabs>
        <w:numPr>
          <w:ilvl w:val="1"/>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for Cause</w:t>
      </w:r>
      <w:r>
        <w:rPr>
          <w:rFonts w:ascii="Arial" w:cs="Arial" w:eastAsia="Arial" w:hAnsi="Arial"/>
          <w:sz w:val="17"/>
          <w:szCs w:val="17"/>
          <w:color w:val="auto"/>
        </w:rPr>
        <w:t>. Except as explicitly provided otherwise in a Participant’s Stock Award Agreement or other individual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(whether vested or unvested) from and after the date of such termination of Continuous Service.</w:t>
      </w:r>
    </w:p>
    <w:p>
      <w:pPr>
        <w:spacing w:after="0" w:line="164" w:lineRule="exact"/>
        <w:rPr>
          <w:rFonts w:ascii="Arial" w:cs="Arial" w:eastAsia="Arial" w:hAnsi="Arial"/>
          <w:sz w:val="17"/>
          <w:szCs w:val="17"/>
          <w:b w:val="1"/>
          <w:bCs w:val="1"/>
          <w:color w:val="auto"/>
        </w:rPr>
      </w:pPr>
    </w:p>
    <w:p>
      <w:pPr>
        <w:ind w:left="4" w:right="100" w:firstLine="436"/>
        <w:spacing w:after="0" w:line="258" w:lineRule="auto"/>
        <w:tabs>
          <w:tab w:leader="none" w:pos="794"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3" w:right="439" w:bottom="1440" w:gutter="0" w:footer="0" w:header="0"/>
        </w:sectPr>
      </w:pPr>
    </w:p>
    <w:bookmarkStart w:id="507" w:name="page508"/>
    <w:bookmarkEnd w:id="507"/>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4" w:lineRule="exact"/>
        <w:rPr>
          <w:sz w:val="20"/>
          <w:szCs w:val="20"/>
          <w:color w:val="auto"/>
        </w:rPr>
      </w:pPr>
    </w:p>
    <w:p>
      <w:pPr>
        <w:ind w:left="4" w:right="160" w:firstLine="436"/>
        <w:spacing w:after="0" w:line="273" w:lineRule="auto"/>
        <w:tabs>
          <w:tab w:leader="none" w:pos="894"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Early Exercise of Options</w:t>
      </w:r>
      <w:r>
        <w:rPr>
          <w:rFonts w:ascii="Arial" w:cs="Arial" w:eastAsia="Arial" w:hAnsi="Arial"/>
          <w:sz w:val="17"/>
          <w:szCs w:val="17"/>
          <w:color w:val="auto"/>
        </w:rPr>
        <w:t>. An Option may, but need not, include a provision whereby the Optionholder may elect at any time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71" w:lineRule="exact"/>
        <w:rPr>
          <w:rFonts w:ascii="Arial" w:cs="Arial" w:eastAsia="Arial" w:hAnsi="Arial"/>
          <w:sz w:val="17"/>
          <w:szCs w:val="17"/>
          <w:b w:val="1"/>
          <w:bCs w:val="1"/>
          <w:color w:val="auto"/>
        </w:rPr>
      </w:pPr>
    </w:p>
    <w:p>
      <w:pPr>
        <w:jc w:val="both"/>
        <w:ind w:left="4" w:right="440" w:firstLine="436"/>
        <w:spacing w:after="0" w:line="266" w:lineRule="auto"/>
        <w:tabs>
          <w:tab w:leader="none" w:pos="844"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175" w:lineRule="exact"/>
        <w:rPr>
          <w:rFonts w:ascii="Arial" w:cs="Arial" w:eastAsia="Arial" w:hAnsi="Arial"/>
          <w:sz w:val="18"/>
          <w:szCs w:val="18"/>
          <w:b w:val="1"/>
          <w:bCs w:val="1"/>
          <w:color w:val="auto"/>
        </w:rPr>
      </w:pPr>
    </w:p>
    <w:p>
      <w:pPr>
        <w:ind w:left="4" w:right="120" w:firstLine="436"/>
        <w:spacing w:after="0" w:line="258" w:lineRule="auto"/>
        <w:tabs>
          <w:tab w:leader="none" w:pos="834"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will be subject to the “Repurchase Limitation” in Section 8(l). Except as expressly provided in this Section 5(o) or in the Stock Award Agreement, such right of first refusal will otherwise comply with any applicable provisions of the bylaws of the Company.</w:t>
      </w:r>
    </w:p>
    <w:p>
      <w:pPr>
        <w:spacing w:after="0" w:line="291" w:lineRule="exact"/>
        <w:rPr>
          <w:rFonts w:ascii="Arial" w:cs="Arial" w:eastAsia="Arial" w:hAnsi="Arial"/>
          <w:sz w:val="18"/>
          <w:szCs w:val="18"/>
          <w:b w:val="1"/>
          <w:bCs w:val="1"/>
          <w:color w:val="auto"/>
        </w:rPr>
      </w:pPr>
    </w:p>
    <w:p>
      <w:pPr>
        <w:ind w:left="324" w:hanging="324"/>
        <w:spacing w:after="0"/>
        <w:tabs>
          <w:tab w:leader="none" w:pos="3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73" w:lineRule="auto"/>
        <w:tabs>
          <w:tab w:leader="none" w:pos="834"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r>
        <w:rPr>
          <w:rFonts w:ascii="Arial" w:cs="Arial" w:eastAsia="Arial" w:hAnsi="Arial"/>
          <w:sz w:val="17"/>
          <w:szCs w:val="17"/>
          <w:color w:val="auto"/>
        </w:rPr>
        <w:t>. Each Restricted Stock Award Agreement will be in such form and will contain such terms and conditions as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72" w:lineRule="exact"/>
        <w:rPr>
          <w:sz w:val="20"/>
          <w:szCs w:val="20"/>
          <w:color w:val="auto"/>
        </w:rPr>
      </w:pPr>
    </w:p>
    <w:p>
      <w:pPr>
        <w:ind w:left="4" w:firstLine="987"/>
        <w:spacing w:after="0" w:line="266" w:lineRule="auto"/>
        <w:tabs>
          <w:tab w:leader="none" w:pos="1345"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(including future services) that may be acceptable to the Board, in its sole discretion, and permissible under applicable law.</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508" w:name="page509"/>
    <w:bookmarkEnd w:id="508"/>
    <w:p>
      <w:pPr>
        <w:ind w:left="-20" w:right="20" w:firstLine="987"/>
        <w:spacing w:after="0" w:line="312" w:lineRule="auto"/>
        <w:tabs>
          <w:tab w:leader="none" w:pos="1371" w:val="left"/>
        </w:tabs>
        <w:numPr>
          <w:ilvl w:val="1"/>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Vesting</w:t>
      </w:r>
      <w:r>
        <w:rPr>
          <w:rFonts w:ascii="Arial" w:cs="Arial" w:eastAsia="Arial" w:hAnsi="Arial"/>
          <w:sz w:val="17"/>
          <w:szCs w:val="17"/>
          <w:color w:val="auto"/>
        </w:rPr>
        <w:t>. Subject to the “Repurchase Limitation” in Section 8(l), shares of Common Stock awarded under the Restricted Stock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be subject to forfeiture to the Company in accordance with a vesting schedule to be determined by the Board.</w:t>
      </w:r>
    </w:p>
    <w:p>
      <w:pPr>
        <w:spacing w:after="0" w:line="139" w:lineRule="exact"/>
        <w:rPr>
          <w:rFonts w:ascii="Arial" w:cs="Arial" w:eastAsia="Arial" w:hAnsi="Arial"/>
          <w:sz w:val="17"/>
          <w:szCs w:val="17"/>
          <w:b w:val="1"/>
          <w:bCs w:val="1"/>
          <w:color w:val="auto"/>
        </w:rPr>
      </w:pPr>
    </w:p>
    <w:p>
      <w:pPr>
        <w:ind w:left="-20" w:right="100" w:firstLine="987"/>
        <w:spacing w:after="0" w:line="266" w:lineRule="auto"/>
        <w:tabs>
          <w:tab w:leader="none" w:pos="1421"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20" w:firstLine="987"/>
        <w:spacing w:after="0" w:line="261" w:lineRule="auto"/>
        <w:tabs>
          <w:tab w:leader="none" w:pos="1411"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Rights to acquire shares of Common Stock under the Restricted Stock Award Agreement will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left="-20" w:right="380" w:firstLine="987"/>
        <w:spacing w:after="0" w:line="312" w:lineRule="auto"/>
        <w:tabs>
          <w:tab w:leader="none" w:pos="1361" w:val="left"/>
        </w:tabs>
        <w:numPr>
          <w:ilvl w:val="1"/>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 A Restricted Stock Award Agreement may provide that any dividends paid on Restricted Stock will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vesting and forfeiture restrictions as apply to the shares subject to the Restricted Stock Award to which they relate.</w:t>
      </w:r>
    </w:p>
    <w:p>
      <w:pPr>
        <w:spacing w:after="0" w:line="139" w:lineRule="exact"/>
        <w:rPr>
          <w:rFonts w:ascii="Arial" w:cs="Arial" w:eastAsia="Arial" w:hAnsi="Arial"/>
          <w:sz w:val="17"/>
          <w:szCs w:val="17"/>
          <w:b w:val="1"/>
          <w:bCs w:val="1"/>
          <w:color w:val="auto"/>
        </w:rPr>
      </w:pPr>
    </w:p>
    <w:p>
      <w:pPr>
        <w:ind w:left="-20" w:right="140" w:firstLine="436"/>
        <w:spacing w:after="0" w:line="258" w:lineRule="auto"/>
        <w:tabs>
          <w:tab w:leader="none" w:pos="8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 Awards</w:t>
      </w:r>
      <w:r>
        <w:rPr>
          <w:rFonts w:ascii="Arial" w:cs="Arial" w:eastAsia="Arial" w:hAnsi="Arial"/>
          <w:sz w:val="18"/>
          <w:szCs w:val="18"/>
          <w:color w:val="auto"/>
        </w:rPr>
        <w:t>. 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3" w:lineRule="exact"/>
        <w:rPr>
          <w:rFonts w:ascii="Arial" w:cs="Arial" w:eastAsia="Arial" w:hAnsi="Arial"/>
          <w:sz w:val="18"/>
          <w:szCs w:val="18"/>
          <w:b w:val="1"/>
          <w:bCs w:val="1"/>
          <w:color w:val="auto"/>
        </w:rPr>
      </w:pPr>
    </w:p>
    <w:p>
      <w:pPr>
        <w:ind w:left="-20" w:right="20" w:firstLine="987"/>
        <w:spacing w:after="0" w:line="261" w:lineRule="auto"/>
        <w:tabs>
          <w:tab w:leader="none" w:pos="1321"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At the time of grant of a Restricted Stock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left="-20" w:right="240" w:firstLine="987"/>
        <w:spacing w:after="0" w:line="282" w:lineRule="auto"/>
        <w:tabs>
          <w:tab w:leader="none" w:pos="1371"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left="-20" w:right="280" w:firstLine="987"/>
        <w:spacing w:after="0" w:line="347" w:lineRule="auto"/>
        <w:tabs>
          <w:tab w:leader="none" w:pos="1421" w:val="left"/>
        </w:tabs>
        <w:numPr>
          <w:ilvl w:val="1"/>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jc w:val="both"/>
        <w:ind w:left="-20" w:right="40" w:firstLine="987"/>
        <w:spacing w:after="0" w:line="266" w:lineRule="auto"/>
        <w:tabs>
          <w:tab w:leader="none" w:pos="1411"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Restrictions</w:t>
      </w:r>
      <w:r>
        <w:rPr>
          <w:rFonts w:ascii="Arial" w:cs="Arial" w:eastAsia="Arial" w:hAnsi="Arial"/>
          <w:sz w:val="18"/>
          <w:szCs w:val="18"/>
          <w:color w:val="auto"/>
        </w:rPr>
        <w:t>. 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69" w:right="459" w:bottom="1440" w:gutter="0" w:footer="0" w:header="0"/>
        </w:sectPr>
      </w:pPr>
    </w:p>
    <w:bookmarkStart w:id="509" w:name="page510"/>
    <w:bookmarkEnd w:id="509"/>
    <w:p>
      <w:pPr>
        <w:ind w:left="4" w:right="160" w:firstLine="987"/>
        <w:spacing w:after="0" w:line="277" w:lineRule="auto"/>
        <w:tabs>
          <w:tab w:leader="none" w:pos="1385" w:val="left"/>
        </w:tabs>
        <w:numPr>
          <w:ilvl w:val="2"/>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 Equivalents</w:t>
      </w:r>
      <w:r>
        <w:rPr>
          <w:rFonts w:ascii="Arial" w:cs="Arial" w:eastAsia="Arial" w:hAnsi="Arial"/>
          <w:sz w:val="17"/>
          <w:szCs w:val="17"/>
          <w:color w:val="auto"/>
        </w:rPr>
        <w:t>. Dividend equivalents may be credited in respect of shares of Common Stock covered by a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67" w:lineRule="exact"/>
        <w:rPr>
          <w:rFonts w:ascii="Arial" w:cs="Arial" w:eastAsia="Arial" w:hAnsi="Arial"/>
          <w:sz w:val="17"/>
          <w:szCs w:val="17"/>
          <w:b w:val="1"/>
          <w:bCs w:val="1"/>
          <w:color w:val="auto"/>
        </w:rPr>
      </w:pPr>
    </w:p>
    <w:p>
      <w:pPr>
        <w:ind w:left="4" w:right="280" w:firstLine="987"/>
        <w:spacing w:after="0" w:line="266" w:lineRule="auto"/>
        <w:tabs>
          <w:tab w:leader="none" w:pos="1435" w:val="left"/>
        </w:tabs>
        <w:numPr>
          <w:ilvl w:val="2"/>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175" w:lineRule="exact"/>
        <w:rPr>
          <w:rFonts w:ascii="Arial" w:cs="Arial" w:eastAsia="Arial" w:hAnsi="Arial"/>
          <w:sz w:val="18"/>
          <w:szCs w:val="18"/>
          <w:b w:val="1"/>
          <w:bCs w:val="1"/>
          <w:color w:val="auto"/>
        </w:rPr>
      </w:pPr>
    </w:p>
    <w:p>
      <w:pPr>
        <w:ind w:left="4" w:right="40" w:firstLine="987"/>
        <w:spacing w:after="0" w:line="256" w:lineRule="auto"/>
        <w:tabs>
          <w:tab w:leader="none" w:pos="1485" w:val="left"/>
        </w:tabs>
        <w:numPr>
          <w:ilvl w:val="2"/>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 Notwithstanding anything to the contrary set forth herein, any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under the Plan that is not exempt from the requirements of Section 409A of the Code will contain such provisions so that such Restricted Stock Unit Award will comply with the requirements of Section 409A of the Code. Such restrictions, if any, will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87" w:lineRule="exact"/>
        <w:rPr>
          <w:rFonts w:ascii="Arial" w:cs="Arial" w:eastAsia="Arial" w:hAnsi="Arial"/>
          <w:sz w:val="18"/>
          <w:szCs w:val="18"/>
          <w:b w:val="1"/>
          <w:bCs w:val="1"/>
          <w:color w:val="auto"/>
        </w:rPr>
      </w:pPr>
    </w:p>
    <w:p>
      <w:pPr>
        <w:ind w:left="4" w:firstLine="436"/>
        <w:spacing w:after="0" w:line="274" w:lineRule="auto"/>
        <w:tabs>
          <w:tab w:leader="none" w:pos="824" w:val="left"/>
        </w:tabs>
        <w:numPr>
          <w:ilvl w:val="1"/>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81" w:lineRule="exact"/>
        <w:rPr>
          <w:rFonts w:ascii="Arial" w:cs="Arial" w:eastAsia="Arial" w:hAnsi="Arial"/>
          <w:sz w:val="17"/>
          <w:szCs w:val="17"/>
          <w:b w:val="1"/>
          <w:bCs w:val="1"/>
          <w:color w:val="auto"/>
        </w:rPr>
      </w:pPr>
    </w:p>
    <w:p>
      <w:pPr>
        <w:ind w:left="324" w:hanging="324"/>
        <w:spacing w:after="0"/>
        <w:tabs>
          <w:tab w:leader="none" w:pos="32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100" w:firstLine="436"/>
        <w:spacing w:after="0" w:line="282" w:lineRule="auto"/>
        <w:tabs>
          <w:tab w:leader="none" w:pos="834" w:val="left"/>
        </w:tabs>
        <w:numPr>
          <w:ilvl w:val="1"/>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Stock Awards.</w:t>
      </w:r>
    </w:p>
    <w:p>
      <w:pPr>
        <w:spacing w:after="0" w:line="161" w:lineRule="exact"/>
        <w:rPr>
          <w:rFonts w:ascii="Arial" w:cs="Arial" w:eastAsia="Arial" w:hAnsi="Arial"/>
          <w:sz w:val="18"/>
          <w:szCs w:val="18"/>
          <w:b w:val="1"/>
          <w:bCs w:val="1"/>
          <w:color w:val="auto"/>
        </w:rPr>
      </w:pPr>
    </w:p>
    <w:p>
      <w:pPr>
        <w:ind w:left="4" w:right="200" w:firstLine="436"/>
        <w:spacing w:after="0" w:line="255" w:lineRule="auto"/>
        <w:tabs>
          <w:tab w:leader="none" w:pos="844" w:val="left"/>
        </w:tabs>
        <w:numPr>
          <w:ilvl w:val="1"/>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The Company will seek to obtain from each regulatory commission or agency having jurisdiction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such authority as may be required to grant Stock Awards and to issue and sell shares of Common Stock upon exercise of the Stock Awards;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this undertaking will not require the Company to register under the Securities Act the Plan, any Stock Award or any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69" w:right="459" w:bottom="1440" w:gutter="0" w:footer="0" w:header="0"/>
        </w:sectPr>
      </w:pPr>
    </w:p>
    <w:bookmarkStart w:id="510" w:name="page511"/>
    <w:bookmarkEnd w:id="510"/>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66" w:lineRule="exact"/>
        <w:rPr>
          <w:sz w:val="20"/>
          <w:szCs w:val="20"/>
          <w:color w:val="auto"/>
        </w:rPr>
      </w:pPr>
    </w:p>
    <w:p>
      <w:pPr>
        <w:jc w:val="both"/>
        <w:ind w:left="4" w:firstLine="436"/>
        <w:spacing w:after="0" w:line="281" w:lineRule="auto"/>
        <w:tabs>
          <w:tab w:leader="none" w:pos="824" w:val="left"/>
        </w:tabs>
        <w:numPr>
          <w:ilvl w:val="1"/>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No Obligation to Notify or Minimize Taxes</w:t>
      </w:r>
      <w:r>
        <w:rPr>
          <w:rFonts w:ascii="Arial" w:cs="Arial" w:eastAsia="Arial" w:hAnsi="Arial"/>
          <w:sz w:val="17"/>
          <w:szCs w:val="17"/>
          <w:color w:val="auto"/>
        </w:rPr>
        <w:t>. 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272" w:lineRule="exact"/>
        <w:rPr>
          <w:rFonts w:ascii="Arial" w:cs="Arial" w:eastAsia="Arial" w:hAnsi="Arial"/>
          <w:sz w:val="17"/>
          <w:szCs w:val="17"/>
          <w:b w:val="1"/>
          <w:bCs w:val="1"/>
          <w:color w:val="auto"/>
        </w:rPr>
      </w:pPr>
    </w:p>
    <w:p>
      <w:pPr>
        <w:ind w:left="324" w:hanging="324"/>
        <w:spacing w:after="0"/>
        <w:tabs>
          <w:tab w:leader="none" w:pos="32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700" w:firstLine="436"/>
        <w:spacing w:after="0" w:line="282" w:lineRule="auto"/>
        <w:tabs>
          <w:tab w:leader="none" w:pos="834" w:val="left"/>
        </w:tabs>
        <w:numPr>
          <w:ilvl w:val="1"/>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Sales of Common Stock</w:t>
      </w:r>
      <w:r>
        <w:rPr>
          <w:rFonts w:ascii="Arial" w:cs="Arial" w:eastAsia="Arial" w:hAnsi="Arial"/>
          <w:sz w:val="18"/>
          <w:szCs w:val="18"/>
          <w:color w:val="auto"/>
        </w:rPr>
        <w:t>. Proceeds from the sale of shares of Common Stock pursuant to Stock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left="4" w:firstLine="436"/>
        <w:spacing w:after="0" w:line="273" w:lineRule="auto"/>
        <w:tabs>
          <w:tab w:leader="none" w:pos="844" w:val="left"/>
        </w:tabs>
        <w:numPr>
          <w:ilvl w:val="1"/>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Action Constituting Grant of Stock Awards</w:t>
      </w:r>
      <w:r>
        <w:rPr>
          <w:rFonts w:ascii="Arial" w:cs="Arial" w:eastAsia="Arial" w:hAnsi="Arial"/>
          <w:sz w:val="17"/>
          <w:szCs w:val="17"/>
          <w:color w:val="auto"/>
        </w:rPr>
        <w:t>. Corporate action constituting a grant by the Company of a Stock Award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71" w:lineRule="exact"/>
        <w:rPr>
          <w:rFonts w:ascii="Arial" w:cs="Arial" w:eastAsia="Arial" w:hAnsi="Arial"/>
          <w:sz w:val="17"/>
          <w:szCs w:val="17"/>
          <w:b w:val="1"/>
          <w:bCs w:val="1"/>
          <w:color w:val="auto"/>
        </w:rPr>
      </w:pPr>
    </w:p>
    <w:p>
      <w:pPr>
        <w:ind w:left="4" w:right="80" w:firstLine="436"/>
        <w:spacing w:after="0" w:line="261" w:lineRule="auto"/>
        <w:tabs>
          <w:tab w:leader="none" w:pos="824" w:val="left"/>
        </w:tabs>
        <w:numPr>
          <w:ilvl w:val="1"/>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w:t>
      </w:r>
      <w:r>
        <w:rPr>
          <w:rFonts w:ascii="Arial" w:cs="Arial" w:eastAsia="Arial" w:hAnsi="Arial"/>
          <w:sz w:val="18"/>
          <w:szCs w:val="18"/>
          <w:color w:val="auto"/>
        </w:rPr>
        <w:t>. No Participant will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179" w:lineRule="exact"/>
        <w:rPr>
          <w:rFonts w:ascii="Arial" w:cs="Arial" w:eastAsia="Arial" w:hAnsi="Arial"/>
          <w:sz w:val="18"/>
          <w:szCs w:val="18"/>
          <w:b w:val="1"/>
          <w:bCs w:val="1"/>
          <w:color w:val="auto"/>
        </w:rPr>
      </w:pPr>
    </w:p>
    <w:p>
      <w:pPr>
        <w:ind w:left="4" w:right="40" w:firstLine="436"/>
        <w:spacing w:after="0" w:line="294" w:lineRule="auto"/>
        <w:tabs>
          <w:tab w:leader="none" w:pos="844" w:val="left"/>
        </w:tabs>
        <w:numPr>
          <w:ilvl w:val="1"/>
          <w:numId w:val="254"/>
        </w:numPr>
        <w:rPr>
          <w:rFonts w:ascii="Arial" w:cs="Arial" w:eastAsia="Arial" w:hAnsi="Arial"/>
          <w:sz w:val="16"/>
          <w:szCs w:val="16"/>
          <w:b w:val="1"/>
          <w:bCs w:val="1"/>
          <w:color w:val="auto"/>
        </w:rPr>
      </w:pPr>
      <w:r>
        <w:rPr>
          <w:rFonts w:ascii="Arial" w:cs="Arial" w:eastAsia="Arial" w:hAnsi="Arial"/>
          <w:sz w:val="16"/>
          <w:szCs w:val="16"/>
          <w:b w:val="1"/>
          <w:bCs w:val="1"/>
          <w:color w:val="auto"/>
        </w:rPr>
        <w:t>No Employment or Other Service Rights</w:t>
      </w:r>
      <w:r>
        <w:rPr>
          <w:rFonts w:ascii="Arial" w:cs="Arial" w:eastAsia="Arial" w:hAnsi="Arial"/>
          <w:sz w:val="16"/>
          <w:szCs w:val="16"/>
          <w:color w:val="auto"/>
        </w:rPr>
        <w:t>. Nothing in the Plan, any Stock Award Agreement or any other instrument executed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9" w:lineRule="exact"/>
        <w:rPr>
          <w:rFonts w:ascii="Arial" w:cs="Arial" w:eastAsia="Arial" w:hAnsi="Arial"/>
          <w:sz w:val="16"/>
          <w:szCs w:val="16"/>
          <w:b w:val="1"/>
          <w:bCs w:val="1"/>
          <w:color w:val="auto"/>
        </w:rPr>
      </w:pPr>
    </w:p>
    <w:p>
      <w:pPr>
        <w:ind w:left="4" w:firstLine="436"/>
        <w:spacing w:after="0" w:line="258" w:lineRule="auto"/>
        <w:tabs>
          <w:tab w:leader="none" w:pos="824" w:val="left"/>
        </w:tabs>
        <w:numPr>
          <w:ilvl w:val="1"/>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Time Commitment</w:t>
      </w:r>
      <w:r>
        <w:rPr>
          <w:rFonts w:ascii="Arial" w:cs="Arial" w:eastAsia="Arial" w:hAnsi="Arial"/>
          <w:sz w:val="18"/>
          <w:szCs w:val="18"/>
          <w:color w:val="auto"/>
        </w:rPr>
        <w:t>. In the event a Participant’s regular level of time commitment in the performance of his or her services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to (x) make a corresponding reduction in the number of shares subject to any portion of such</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3" w:right="459" w:bottom="1440" w:gutter="0" w:footer="0" w:header="0"/>
        </w:sectPr>
      </w:pPr>
    </w:p>
    <w:bookmarkStart w:id="511" w:name="page512"/>
    <w:bookmarkEnd w:id="511"/>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80" w:lineRule="exact"/>
        <w:rPr>
          <w:sz w:val="20"/>
          <w:szCs w:val="20"/>
          <w:color w:val="auto"/>
        </w:rPr>
      </w:pPr>
    </w:p>
    <w:p>
      <w:pPr>
        <w:ind w:right="40" w:firstLine="436"/>
        <w:spacing w:after="0" w:line="298" w:lineRule="auto"/>
        <w:tabs>
          <w:tab w:leader="none" w:pos="80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Stock Option Limitations</w:t>
      </w:r>
      <w:r>
        <w:rPr>
          <w:rFonts w:ascii="Arial" w:cs="Arial" w:eastAsia="Arial" w:hAnsi="Arial"/>
          <w:sz w:val="16"/>
          <w:szCs w:val="16"/>
          <w:color w:val="auto"/>
        </w:rPr>
        <w:t>. 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right="20" w:firstLine="436"/>
        <w:spacing w:after="0" w:line="269" w:lineRule="auto"/>
        <w:tabs>
          <w:tab w:leader="none" w:pos="83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Common Stock under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78" w:lineRule="exact"/>
        <w:rPr>
          <w:rFonts w:ascii="Arial" w:cs="Arial" w:eastAsia="Arial" w:hAnsi="Arial"/>
          <w:sz w:val="17"/>
          <w:szCs w:val="17"/>
          <w:b w:val="1"/>
          <w:bCs w:val="1"/>
          <w:color w:val="auto"/>
        </w:rPr>
      </w:pPr>
    </w:p>
    <w:p>
      <w:pPr>
        <w:ind w:firstLine="436"/>
        <w:spacing w:after="0" w:line="273" w:lineRule="auto"/>
        <w:tabs>
          <w:tab w:leader="none" w:pos="840"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Withholding Obligations</w:t>
      </w:r>
      <w:r>
        <w:rPr>
          <w:rFonts w:ascii="Arial" w:cs="Arial" w:eastAsia="Arial" w:hAnsi="Arial"/>
          <w:sz w:val="17"/>
          <w:szCs w:val="17"/>
          <w:color w:val="auto"/>
        </w:rPr>
        <w:t>. Unless prohibited by the terms of a Stock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71" w:lineRule="exact"/>
        <w:rPr>
          <w:rFonts w:ascii="Arial" w:cs="Arial" w:eastAsia="Arial" w:hAnsi="Arial"/>
          <w:sz w:val="17"/>
          <w:szCs w:val="17"/>
          <w:b w:val="1"/>
          <w:bCs w:val="1"/>
          <w:color w:val="auto"/>
        </w:rPr>
      </w:pPr>
    </w:p>
    <w:p>
      <w:pPr>
        <w:ind w:right="140" w:firstLine="436"/>
        <w:spacing w:after="0" w:line="347" w:lineRule="auto"/>
        <w:tabs>
          <w:tab w:leader="none" w:pos="790" w:val="left"/>
        </w:tabs>
        <w:numPr>
          <w:ilvl w:val="0"/>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w:t>
      </w:r>
      <w:r>
        <w:rPr>
          <w:rFonts w:ascii="Arial" w:cs="Arial" w:eastAsia="Arial" w:hAnsi="Arial"/>
          <w:sz w:val="16"/>
          <w:szCs w:val="16"/>
          <w:color w:val="auto"/>
        </w:rPr>
        <w:t>. Any reference herein to a “written” agreement or document will include any agreement or document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electronically or posted on the Company’s intranet (or other shared electronic medium controlled by the Company to which the Participant has access).</w:t>
      </w:r>
    </w:p>
    <w:p>
      <w:pPr>
        <w:spacing w:after="0" w:line="115" w:lineRule="exact"/>
        <w:rPr>
          <w:rFonts w:ascii="Arial" w:cs="Arial" w:eastAsia="Arial" w:hAnsi="Arial"/>
          <w:sz w:val="16"/>
          <w:szCs w:val="16"/>
          <w:b w:val="1"/>
          <w:bCs w:val="1"/>
          <w:color w:val="auto"/>
        </w:rPr>
      </w:pPr>
    </w:p>
    <w:p>
      <w:pPr>
        <w:ind w:right="160" w:firstLine="436"/>
        <w:spacing w:after="0" w:line="282" w:lineRule="auto"/>
        <w:tabs>
          <w:tab w:leader="none" w:pos="8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Deferrals</w:t>
      </w:r>
      <w:r>
        <w:rPr>
          <w:rFonts w:ascii="Arial" w:cs="Arial" w:eastAsia="Arial" w:hAnsi="Arial"/>
          <w:sz w:val="18"/>
          <w:szCs w:val="18"/>
          <w:color w:val="auto"/>
        </w:rPr>
        <w:t>. To the extent permitted by applicable law, the Board, in its sole discretion, may determine that the delivery of Common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of cash, upon the exercise, vesting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512" w:name="page513"/>
    <w:bookmarkEnd w:id="512"/>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8" w:lineRule="exact"/>
        <w:rPr>
          <w:sz w:val="20"/>
          <w:szCs w:val="20"/>
          <w:color w:val="auto"/>
        </w:rPr>
      </w:pPr>
    </w:p>
    <w:p>
      <w:pPr>
        <w:ind w:left="4" w:firstLine="436"/>
        <w:spacing w:after="0" w:line="269" w:lineRule="auto"/>
        <w:tabs>
          <w:tab w:leader="none" w:pos="844"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Section 409A of the Code</w:t>
      </w:r>
      <w:r>
        <w:rPr>
          <w:rFonts w:ascii="Arial" w:cs="Arial" w:eastAsia="Arial" w:hAnsi="Arial"/>
          <w:sz w:val="17"/>
          <w:szCs w:val="17"/>
          <w:color w:val="auto"/>
        </w:rPr>
        <w:t>. To the extent that the Board determines that any Stock Award granted hereunder is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 of the Code, the Stock Award Agreement evidencing such Stock Award will incorporate the terms and conditions necessary to avoid the consequences specified in Section 409A(a)(1) of the Code. To the extent applicable, the Plan and Stock Award Agreements will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81" w:lineRule="exact"/>
        <w:rPr>
          <w:rFonts w:ascii="Arial" w:cs="Arial" w:eastAsia="Arial" w:hAnsi="Arial"/>
          <w:sz w:val="17"/>
          <w:szCs w:val="17"/>
          <w:b w:val="1"/>
          <w:bCs w:val="1"/>
          <w:color w:val="auto"/>
        </w:rPr>
      </w:pPr>
    </w:p>
    <w:p>
      <w:pPr>
        <w:ind w:left="4" w:right="60" w:firstLine="436"/>
        <w:spacing w:after="0" w:line="274" w:lineRule="auto"/>
        <w:tabs>
          <w:tab w:leader="none" w:pos="794" w:val="left"/>
        </w:tabs>
        <w:numPr>
          <w:ilvl w:val="1"/>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Limitation</w:t>
      </w:r>
      <w:r>
        <w:rPr>
          <w:rFonts w:ascii="Arial" w:cs="Arial" w:eastAsia="Arial" w:hAnsi="Arial"/>
          <w:sz w:val="17"/>
          <w:szCs w:val="17"/>
          <w:color w:val="auto"/>
        </w:rPr>
        <w:t>. The terms of any repurchase right will be specified in the Stock Award Agreement. The repurchase price for vested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will be the Fair Market Value of the shares of Common Stock on the date of repurchase. The repurchase price for unvested shares of Common Stock will be the lower of (i) the Fair Market Value of the shares of Common Stock on the date of repurchase or (ii) their original purchase price. However, the Company will not exercise its repurchase right until at least 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281" w:lineRule="exact"/>
        <w:rPr>
          <w:rFonts w:ascii="Arial" w:cs="Arial" w:eastAsia="Arial" w:hAnsi="Arial"/>
          <w:sz w:val="17"/>
          <w:szCs w:val="17"/>
          <w:b w:val="1"/>
          <w:bCs w:val="1"/>
          <w:color w:val="auto"/>
        </w:rPr>
      </w:pPr>
    </w:p>
    <w:p>
      <w:pPr>
        <w:ind w:left="324" w:hanging="324"/>
        <w:spacing w:after="0"/>
        <w:tabs>
          <w:tab w:leader="none" w:pos="32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303" w:lineRule="auto"/>
        <w:tabs>
          <w:tab w:leader="none" w:pos="834" w:val="left"/>
        </w:tabs>
        <w:numPr>
          <w:ilvl w:val="1"/>
          <w:numId w:val="257"/>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50" w:lineRule="exact"/>
        <w:rPr>
          <w:rFonts w:ascii="Arial" w:cs="Arial" w:eastAsia="Arial" w:hAnsi="Arial"/>
          <w:sz w:val="16"/>
          <w:szCs w:val="16"/>
          <w:b w:val="1"/>
          <w:bCs w:val="1"/>
          <w:color w:val="auto"/>
        </w:rPr>
      </w:pPr>
    </w:p>
    <w:p>
      <w:pPr>
        <w:ind w:left="4" w:right="100" w:firstLine="436"/>
        <w:spacing w:after="0" w:line="266" w:lineRule="auto"/>
        <w:tabs>
          <w:tab w:leader="none" w:pos="844"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or Liquidation</w:t>
      </w:r>
      <w:r>
        <w:rPr>
          <w:rFonts w:ascii="Arial" w:cs="Arial" w:eastAsia="Arial" w:hAnsi="Arial"/>
          <w:sz w:val="18"/>
          <w:szCs w:val="18"/>
          <w:color w:val="auto"/>
        </w:rPr>
        <w:t>. Except as otherwise provided in the Stock Award Agreement, in the event of a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outstanding Stock Awards (other than Stock Awards consisting of vested and outstanding shares of Common Stock not subject to a forfeiture condition or the Company’s right of repurchase) will terminate immediately prior to the</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13" w:name="page514"/>
    <w:bookmarkEnd w:id="513"/>
    <w:p>
      <w:pPr>
        <w:ind w:right="3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4" w:lineRule="exact"/>
        <w:rPr>
          <w:sz w:val="20"/>
          <w:szCs w:val="20"/>
          <w:color w:val="auto"/>
        </w:rPr>
      </w:pPr>
    </w:p>
    <w:p>
      <w:pPr>
        <w:jc w:val="both"/>
        <w:ind w:right="160" w:firstLine="436"/>
        <w:spacing w:after="0" w:line="258" w:lineRule="auto"/>
        <w:tabs>
          <w:tab w:leader="none" w:pos="82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The following provisions will apply to Stock Awards in the event of a Corporate Transaction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187" w:lineRule="exact"/>
        <w:rPr>
          <w:rFonts w:ascii="Arial" w:cs="Arial" w:eastAsia="Arial" w:hAnsi="Arial"/>
          <w:sz w:val="18"/>
          <w:szCs w:val="18"/>
          <w:b w:val="1"/>
          <w:bCs w:val="1"/>
          <w:color w:val="auto"/>
        </w:rPr>
      </w:pPr>
    </w:p>
    <w:p>
      <w:pPr>
        <w:ind w:right="40" w:firstLine="987"/>
        <w:spacing w:after="0" w:line="263" w:lineRule="auto"/>
        <w:tabs>
          <w:tab w:leader="none" w:pos="1341"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83" w:lineRule="exact"/>
        <w:rPr>
          <w:rFonts w:ascii="Arial" w:cs="Arial" w:eastAsia="Arial" w:hAnsi="Arial"/>
          <w:sz w:val="18"/>
          <w:szCs w:val="18"/>
          <w:b w:val="1"/>
          <w:bCs w:val="1"/>
          <w:color w:val="auto"/>
        </w:rPr>
      </w:pPr>
    </w:p>
    <w:p>
      <w:pPr>
        <w:ind w:right="560" w:firstLine="987"/>
        <w:spacing w:after="0" w:line="342" w:lineRule="auto"/>
        <w:tabs>
          <w:tab w:leader="none" w:pos="1391" w:val="left"/>
        </w:tabs>
        <w:numPr>
          <w:ilvl w:val="1"/>
          <w:numId w:val="258"/>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23" w:lineRule="exact"/>
        <w:rPr>
          <w:rFonts w:ascii="Arial" w:cs="Arial" w:eastAsia="Arial" w:hAnsi="Arial"/>
          <w:sz w:val="16"/>
          <w:szCs w:val="16"/>
          <w:b w:val="1"/>
          <w:bCs w:val="1"/>
          <w:color w:val="auto"/>
        </w:rPr>
      </w:pPr>
    </w:p>
    <w:p>
      <w:pPr>
        <w:ind w:firstLine="987"/>
        <w:spacing w:after="0" w:line="255" w:lineRule="auto"/>
        <w:tabs>
          <w:tab w:leader="none" w:pos="1441"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with such Stock Award terminating if not exercised (if applicable) at or prior to the effective time of the Corporate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require Participants to complete and deliver to the Company a notice of exercise before the effective date of a Corporate Transaction, which exercise is contingent upon the effectiveness of such Corporate Transaction;</w:t>
      </w:r>
    </w:p>
    <w:p>
      <w:pPr>
        <w:spacing w:after="0" w:line="192"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58"/>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b w:val="1"/>
          <w:bCs w:val="1"/>
          <w:color w:val="auto"/>
        </w:rPr>
      </w:pPr>
    </w:p>
    <w:p>
      <w:pPr>
        <w:ind w:right="220" w:firstLine="987"/>
        <w:spacing w:after="0" w:line="263" w:lineRule="auto"/>
        <w:tabs>
          <w:tab w:leader="none" w:pos="1381"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such cash consideration (including no consideration) as the Board, in its sole discretion, may consider appropriate; and</w:t>
      </w:r>
    </w:p>
    <w:p>
      <w:pPr>
        <w:spacing w:after="0" w:line="183" w:lineRule="exact"/>
        <w:rPr>
          <w:rFonts w:ascii="Arial" w:cs="Arial" w:eastAsia="Arial" w:hAnsi="Arial"/>
          <w:sz w:val="18"/>
          <w:szCs w:val="18"/>
          <w:b w:val="1"/>
          <w:bCs w:val="1"/>
          <w:color w:val="auto"/>
        </w:rPr>
      </w:pPr>
    </w:p>
    <w:p>
      <w:pPr>
        <w:ind w:right="20" w:firstLine="987"/>
        <w:spacing w:after="0" w:line="255" w:lineRule="auto"/>
        <w:tabs>
          <w:tab w:leader="none" w:pos="1431" w:val="left"/>
        </w:tabs>
        <w:numPr>
          <w:ilvl w:val="1"/>
          <w:numId w:val="258"/>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514" w:name="page515"/>
    <w:bookmarkEnd w:id="514"/>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6" w:lineRule="exact"/>
        <w:rPr>
          <w:sz w:val="20"/>
          <w:szCs w:val="20"/>
          <w:color w:val="auto"/>
        </w:rPr>
      </w:pPr>
    </w:p>
    <w:p>
      <w:pPr>
        <w:ind w:left="4" w:firstLine="436"/>
        <w:spacing w:after="0" w:line="289" w:lineRule="auto"/>
        <w:tabs>
          <w:tab w:leader="none" w:pos="844" w:val="left"/>
        </w:tabs>
        <w:numPr>
          <w:ilvl w:val="1"/>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A Stock Award may be subject to additional acceleration of vesting and exercisability upon or after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265" w:lineRule="exact"/>
        <w:rPr>
          <w:rFonts w:ascii="Arial" w:cs="Arial" w:eastAsia="Arial" w:hAnsi="Arial"/>
          <w:sz w:val="17"/>
          <w:szCs w:val="17"/>
          <w:b w:val="1"/>
          <w:bCs w:val="1"/>
          <w:color w:val="auto"/>
        </w:rPr>
      </w:pPr>
    </w:p>
    <w:p>
      <w:pPr>
        <w:ind w:left="404" w:hanging="404"/>
        <w:spacing w:after="0"/>
        <w:tabs>
          <w:tab w:leader="none" w:pos="40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 Earlier Termination or Suspension of the Plan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314" w:lineRule="auto"/>
        <w:tabs>
          <w:tab w:leader="none" w:pos="834" w:val="left"/>
        </w:tabs>
        <w:numPr>
          <w:ilvl w:val="1"/>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Plan Term</w:t>
      </w:r>
      <w:r>
        <w:rPr>
          <w:rFonts w:ascii="Arial" w:cs="Arial" w:eastAsia="Arial" w:hAnsi="Arial"/>
          <w:sz w:val="16"/>
          <w:szCs w:val="16"/>
          <w:color w:val="auto"/>
        </w:rPr>
        <w:t>. The Board may suspend or terminate the Plan at any time. Unless terminated sooner by the Board, the Plan will automatically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41" w:lineRule="exact"/>
        <w:rPr>
          <w:rFonts w:ascii="Arial" w:cs="Arial" w:eastAsia="Arial" w:hAnsi="Arial"/>
          <w:sz w:val="16"/>
          <w:szCs w:val="16"/>
          <w:b w:val="1"/>
          <w:bCs w:val="1"/>
          <w:color w:val="auto"/>
        </w:rPr>
      </w:pPr>
    </w:p>
    <w:p>
      <w:pPr>
        <w:ind w:left="4" w:right="400" w:firstLine="436"/>
        <w:spacing w:after="0" w:line="312" w:lineRule="auto"/>
        <w:tabs>
          <w:tab w:leader="none" w:pos="844" w:val="left"/>
        </w:tabs>
        <w:numPr>
          <w:ilvl w:val="1"/>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No Impairment of Rights</w:t>
      </w:r>
      <w:r>
        <w:rPr>
          <w:rFonts w:ascii="Arial" w:cs="Arial" w:eastAsia="Arial" w:hAnsi="Arial"/>
          <w:sz w:val="17"/>
          <w:szCs w:val="17"/>
          <w:color w:val="auto"/>
        </w:rPr>
        <w:t>. Suspension or termination of the Plan will not impair rights and obligations under any Stock Award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while the Plan is in effect except with the written consent of the affected Participant or as otherwise permitted in the Plan.</w:t>
      </w:r>
    </w:p>
    <w:p>
      <w:pPr>
        <w:spacing w:after="0" w:line="247" w:lineRule="exact"/>
        <w:rPr>
          <w:rFonts w:ascii="Arial" w:cs="Arial" w:eastAsia="Arial" w:hAnsi="Arial"/>
          <w:sz w:val="17"/>
          <w:szCs w:val="17"/>
          <w:b w:val="1"/>
          <w:bCs w:val="1"/>
          <w:color w:val="auto"/>
        </w:rPr>
      </w:pPr>
    </w:p>
    <w:p>
      <w:pPr>
        <w:ind w:left="404" w:hanging="404"/>
        <w:spacing w:after="0"/>
        <w:tabs>
          <w:tab w:leader="none" w:pos="40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Plan will become effective on the Effective Date.</w:t>
      </w:r>
    </w:p>
    <w:p>
      <w:pPr>
        <w:spacing w:after="0" w:line="329"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Choice of Law</w:t>
      </w:r>
      <w:r>
        <w:rPr>
          <w:rFonts w:ascii="Arial" w:cs="Arial" w:eastAsia="Arial" w:hAnsi="Arial"/>
          <w:sz w:val="16"/>
          <w:szCs w:val="16"/>
          <w:color w:val="auto"/>
        </w:rPr>
        <w:t>.</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laws of the State of Delaware will govern all questions concerning the construction, validity and interpretation of this Plan, without regard to that state’s conflict of laws rules.</w:t>
      </w:r>
    </w:p>
    <w:p>
      <w:pPr>
        <w:spacing w:after="0" w:line="166" w:lineRule="exact"/>
        <w:rPr>
          <w:sz w:val="20"/>
          <w:szCs w:val="20"/>
          <w:color w:val="auto"/>
        </w:rPr>
      </w:pPr>
    </w:p>
    <w:p>
      <w:pPr>
        <w:ind w:left="404" w:hanging="404"/>
        <w:spacing w:after="0"/>
        <w:tabs>
          <w:tab w:leader="none" w:pos="40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left="4" w:firstLine="436"/>
        <w:spacing w:after="0" w:line="263" w:lineRule="auto"/>
        <w:tabs>
          <w:tab w:leader="none" w:pos="834"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183" w:lineRule="exact"/>
        <w:rPr>
          <w:rFonts w:ascii="Arial" w:cs="Arial" w:eastAsia="Arial" w:hAnsi="Arial"/>
          <w:sz w:val="18"/>
          <w:szCs w:val="18"/>
          <w:b w:val="1"/>
          <w:bCs w:val="1"/>
          <w:color w:val="auto"/>
        </w:rPr>
      </w:pPr>
    </w:p>
    <w:p>
      <w:pPr>
        <w:ind w:left="844" w:hanging="404"/>
        <w:spacing w:after="0"/>
        <w:tabs>
          <w:tab w:leader="none" w:pos="844"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60" w:firstLine="436"/>
        <w:spacing w:after="0" w:line="293" w:lineRule="auto"/>
        <w:tabs>
          <w:tab w:leader="none" w:pos="824" w:val="left"/>
        </w:tabs>
        <w:numPr>
          <w:ilvl w:val="1"/>
          <w:numId w:val="2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3" w:right="459" w:bottom="1440" w:gutter="0" w:footer="0" w:header="0"/>
        </w:sectPr>
      </w:pPr>
    </w:p>
    <w:bookmarkStart w:id="515" w:name="page516"/>
    <w:bookmarkEnd w:id="515"/>
    <w:p>
      <w:pPr>
        <w:ind w:firstLine="436"/>
        <w:spacing w:after="0" w:line="288" w:lineRule="auto"/>
        <w:tabs>
          <w:tab w:leader="none" w:pos="84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68" w:lineRule="exact"/>
        <w:rPr>
          <w:rFonts w:ascii="Arial" w:cs="Arial" w:eastAsia="Arial" w:hAnsi="Arial"/>
          <w:sz w:val="16"/>
          <w:szCs w:val="16"/>
          <w:b w:val="1"/>
          <w:bCs w:val="1"/>
          <w:color w:val="auto"/>
        </w:rPr>
      </w:pPr>
    </w:p>
    <w:p>
      <w:pPr>
        <w:ind w:left="820" w:hanging="384"/>
        <w:spacing w:after="0"/>
        <w:tabs>
          <w:tab w:leader="none" w:pos="820"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firstLine="987"/>
        <w:spacing w:after="0" w:line="284" w:lineRule="auto"/>
        <w:tabs>
          <w:tab w:leader="none" w:pos="1341" w:val="left"/>
        </w:tabs>
        <w:numPr>
          <w:ilvl w:val="1"/>
          <w:numId w:val="262"/>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w:t>
      </w:r>
    </w:p>
    <w:p>
      <w:pPr>
        <w:spacing w:after="0" w:line="4" w:lineRule="exact"/>
        <w:rPr>
          <w:rFonts w:ascii="Arial" w:cs="Arial" w:eastAsia="Arial" w:hAnsi="Arial"/>
          <w:sz w:val="16"/>
          <w:szCs w:val="16"/>
          <w:b w:val="1"/>
          <w:bCs w:val="1"/>
          <w:color w:val="auto"/>
        </w:rPr>
      </w:pPr>
    </w:p>
    <w:p>
      <w:pPr>
        <w:ind w:right="6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62" w:lineRule="exact"/>
        <w:rPr>
          <w:rFonts w:ascii="Arial" w:cs="Arial" w:eastAsia="Arial" w:hAnsi="Arial"/>
          <w:sz w:val="16"/>
          <w:szCs w:val="16"/>
          <w:b w:val="1"/>
          <w:bCs w:val="1"/>
          <w:color w:val="auto"/>
        </w:rPr>
      </w:pPr>
    </w:p>
    <w:p>
      <w:pPr>
        <w:ind w:right="60" w:firstLine="987"/>
        <w:spacing w:after="0" w:line="273" w:lineRule="auto"/>
        <w:tabs>
          <w:tab w:leader="none" w:pos="1391" w:val="left"/>
        </w:tabs>
        <w:numPr>
          <w:ilvl w:val="1"/>
          <w:numId w:val="262"/>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3" w:right="459" w:bottom="1440" w:gutter="0" w:footer="0" w:header="0"/>
        </w:sectPr>
      </w:pPr>
    </w:p>
    <w:bookmarkStart w:id="516" w:name="page517"/>
    <w:bookmarkEnd w:id="516"/>
    <w:p>
      <w:pPr>
        <w:ind w:right="160" w:firstLine="987"/>
        <w:spacing w:after="0" w:line="257" w:lineRule="auto"/>
        <w:tabs>
          <w:tab w:leader="none" w:pos="1441"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will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definition set forth herein will apply, and (C) if at any time the Company’s Certificate of Incorporation provides definitions of various analogous transactions that would be deemed a liquidation event for the Company, then such definition will apply as if it were the definition set forth herein except as is otherwise expressly provided in an individual written agreement between the Company or any Affiliate and the Participant.</w:t>
      </w:r>
    </w:p>
    <w:p>
      <w:pPr>
        <w:spacing w:after="0" w:line="192" w:lineRule="exact"/>
        <w:rPr>
          <w:sz w:val="20"/>
          <w:szCs w:val="20"/>
          <w:color w:val="auto"/>
        </w:rPr>
      </w:pPr>
    </w:p>
    <w:p>
      <w:pPr>
        <w:ind w:left="800" w:hanging="364"/>
        <w:spacing w:after="0"/>
        <w:tabs>
          <w:tab w:leader="none" w:pos="80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800" w:firstLine="436"/>
        <w:spacing w:after="0" w:line="277" w:lineRule="auto"/>
        <w:tabs>
          <w:tab w:leader="none" w:pos="83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880" w:hanging="444"/>
        <w:spacing w:after="0"/>
        <w:tabs>
          <w:tab w:leader="none" w:pos="8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Taysha Gene Therapies, Inc., a Delaware corporation.</w:t>
      </w:r>
    </w:p>
    <w:p>
      <w:pPr>
        <w:spacing w:after="0" w:line="225" w:lineRule="exact"/>
        <w:rPr>
          <w:rFonts w:ascii="Arial" w:cs="Arial" w:eastAsia="Arial" w:hAnsi="Arial"/>
          <w:sz w:val="18"/>
          <w:szCs w:val="18"/>
          <w:b w:val="1"/>
          <w:bCs w:val="1"/>
          <w:color w:val="auto"/>
        </w:rPr>
      </w:pPr>
    </w:p>
    <w:p>
      <w:pPr>
        <w:ind w:right="60" w:firstLine="436"/>
        <w:spacing w:after="0" w:line="259" w:lineRule="auto"/>
        <w:tabs>
          <w:tab w:leader="none" w:pos="80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spacing w:after="0" w:line="186" w:lineRule="exact"/>
        <w:rPr>
          <w:rFonts w:ascii="Arial" w:cs="Arial" w:eastAsia="Arial" w:hAnsi="Arial"/>
          <w:sz w:val="18"/>
          <w:szCs w:val="18"/>
          <w:b w:val="1"/>
          <w:bCs w:val="1"/>
          <w:color w:val="auto"/>
        </w:rPr>
      </w:pPr>
    </w:p>
    <w:p>
      <w:pPr>
        <w:ind w:firstLine="436"/>
        <w:spacing w:after="0" w:line="289" w:lineRule="auto"/>
        <w:tabs>
          <w:tab w:leader="none" w:pos="840"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517" w:name="page518"/>
    <w:bookmarkEnd w:id="517"/>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7" w:lineRule="exact"/>
        <w:rPr>
          <w:sz w:val="20"/>
          <w:szCs w:val="20"/>
          <w:color w:val="auto"/>
        </w:rPr>
      </w:pPr>
    </w:p>
    <w:p>
      <w:pPr>
        <w:ind w:right="320" w:firstLine="436"/>
        <w:spacing w:after="0" w:line="277" w:lineRule="auto"/>
        <w:tabs>
          <w:tab w:leader="none" w:pos="79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right="80" w:firstLine="987"/>
        <w:spacing w:after="0" w:line="277" w:lineRule="auto"/>
        <w:tabs>
          <w:tab w:leader="none" w:pos="1341"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380" w:hanging="393"/>
        <w:spacing w:after="0"/>
        <w:tabs>
          <w:tab w:leader="none" w:pos="1380"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440" w:hanging="453"/>
        <w:spacing w:after="0"/>
        <w:tabs>
          <w:tab w:leader="none" w:pos="1440"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100" w:firstLine="987"/>
        <w:spacing w:after="0" w:line="263" w:lineRule="auto"/>
        <w:tabs>
          <w:tab w:leader="none" w:pos="1431"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880" w:hanging="444"/>
        <w:spacing w:after="0"/>
        <w:tabs>
          <w:tab w:leader="none" w:pos="88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right="120" w:firstLine="436"/>
        <w:spacing w:after="0" w:line="279" w:lineRule="auto"/>
        <w:tabs>
          <w:tab w:leader="none" w:pos="84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1" w:lineRule="exact"/>
        <w:rPr>
          <w:rFonts w:ascii="Arial" w:cs="Arial" w:eastAsia="Arial" w:hAnsi="Arial"/>
          <w:sz w:val="17"/>
          <w:szCs w:val="17"/>
          <w:b w:val="1"/>
          <w:bCs w:val="1"/>
          <w:color w:val="auto"/>
        </w:rPr>
      </w:pPr>
    </w:p>
    <w:p>
      <w:pPr>
        <w:ind w:right="280" w:firstLine="436"/>
        <w:spacing w:after="0" w:line="277" w:lineRule="auto"/>
        <w:tabs>
          <w:tab w:leader="none" w:pos="83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and (ii) the date this Plan is adopted by the Board.</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8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840" w:hanging="404"/>
        <w:spacing w:after="0"/>
        <w:tabs>
          <w:tab w:leader="none" w:pos="8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820" w:hanging="384"/>
        <w:spacing w:after="0"/>
        <w:tabs>
          <w:tab w:leader="none" w:pos="820"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right="100" w:firstLine="436"/>
        <w:spacing w:after="0" w:line="263" w:lineRule="auto"/>
        <w:tabs>
          <w:tab w:leader="none" w:pos="81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518" w:name="page519"/>
    <w:bookmarkEnd w:id="51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8" w:lineRule="exact"/>
        <w:rPr>
          <w:sz w:val="20"/>
          <w:szCs w:val="20"/>
          <w:color w:val="auto"/>
        </w:rPr>
      </w:pPr>
    </w:p>
    <w:p>
      <w:pPr>
        <w:ind w:right="220" w:firstLine="436"/>
        <w:spacing w:after="0" w:line="277" w:lineRule="auto"/>
        <w:tabs>
          <w:tab w:leader="none" w:pos="80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8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that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820" w:hanging="384"/>
        <w:spacing w:after="0"/>
        <w:tabs>
          <w:tab w:leader="none" w:pos="820"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 option granted pursuant to Section 5 of the Plan that does not qualify as an Incentive Stock Option.</w:t>
      </w:r>
    </w:p>
    <w:p>
      <w:pPr>
        <w:spacing w:after="0" w:line="248" w:lineRule="exact"/>
        <w:rPr>
          <w:rFonts w:ascii="Arial" w:cs="Arial" w:eastAsia="Arial" w:hAnsi="Arial"/>
          <w:sz w:val="16"/>
          <w:szCs w:val="16"/>
          <w:b w:val="1"/>
          <w:bCs w:val="1"/>
          <w:color w:val="auto"/>
        </w:rPr>
      </w:pPr>
    </w:p>
    <w:p>
      <w:pPr>
        <w:ind w:left="860" w:hanging="424"/>
        <w:spacing w:after="0"/>
        <w:tabs>
          <w:tab w:leader="none" w:pos="86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225" w:lineRule="exact"/>
        <w:rPr>
          <w:rFonts w:ascii="Arial" w:cs="Arial" w:eastAsia="Arial" w:hAnsi="Arial"/>
          <w:sz w:val="18"/>
          <w:szCs w:val="18"/>
          <w:b w:val="1"/>
          <w:bCs w:val="1"/>
          <w:color w:val="auto"/>
        </w:rPr>
      </w:pPr>
    </w:p>
    <w:p>
      <w:pPr>
        <w:ind w:left="820" w:hanging="384"/>
        <w:spacing w:after="0"/>
        <w:tabs>
          <w:tab w:leader="none" w:pos="820"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right="440" w:firstLine="436"/>
        <w:spacing w:after="0" w:line="277" w:lineRule="auto"/>
        <w:tabs>
          <w:tab w:leader="none" w:pos="83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0" w:lineRule="exact"/>
        <w:rPr>
          <w:rFonts w:ascii="Arial" w:cs="Arial" w:eastAsia="Arial" w:hAnsi="Arial"/>
          <w:sz w:val="18"/>
          <w:szCs w:val="18"/>
          <w:b w:val="1"/>
          <w:bCs w:val="1"/>
          <w:color w:val="auto"/>
        </w:rPr>
      </w:pPr>
    </w:p>
    <w:p>
      <w:pPr>
        <w:ind w:right="680" w:firstLine="436"/>
        <w:spacing w:after="0" w:line="277" w:lineRule="auto"/>
        <w:tabs>
          <w:tab w:leader="none" w:pos="82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sz w:val="20"/>
          <w:szCs w:val="20"/>
          <w:color w:val="auto"/>
        </w:rPr>
      </w:pPr>
    </w:p>
    <w:p>
      <w:pPr>
        <w:ind w:right="140" w:firstLine="436"/>
        <w:spacing w:after="0" w:line="277" w:lineRule="auto"/>
        <w:tabs>
          <w:tab w:leader="none" w:pos="92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6(c).</w:t>
      </w:r>
    </w:p>
    <w:p>
      <w:pPr>
        <w:spacing w:after="0" w:line="170" w:lineRule="exact"/>
        <w:rPr>
          <w:rFonts w:ascii="Arial" w:cs="Arial" w:eastAsia="Arial" w:hAnsi="Arial"/>
          <w:sz w:val="18"/>
          <w:szCs w:val="18"/>
          <w:b w:val="1"/>
          <w:bCs w:val="1"/>
          <w:color w:val="auto"/>
        </w:rPr>
      </w:pPr>
    </w:p>
    <w:p>
      <w:pPr>
        <w:ind w:right="140" w:firstLine="436"/>
        <w:spacing w:after="0" w:line="342" w:lineRule="auto"/>
        <w:tabs>
          <w:tab w:leader="none" w:pos="940"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23" w:lineRule="exact"/>
        <w:rPr>
          <w:rFonts w:ascii="Arial" w:cs="Arial" w:eastAsia="Arial" w:hAnsi="Arial"/>
          <w:sz w:val="16"/>
          <w:szCs w:val="16"/>
          <w:b w:val="1"/>
          <w:bCs w:val="1"/>
          <w:color w:val="auto"/>
        </w:rPr>
      </w:pPr>
    </w:p>
    <w:p>
      <w:pPr>
        <w:ind w:firstLine="436"/>
        <w:spacing w:after="0" w:line="286" w:lineRule="auto"/>
        <w:tabs>
          <w:tab w:leader="none" w:pos="900"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380" w:firstLine="436"/>
        <w:spacing w:after="0" w:line="277" w:lineRule="auto"/>
        <w:tabs>
          <w:tab w:leader="none" w:pos="94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170" w:lineRule="exact"/>
        <w:rPr>
          <w:rFonts w:ascii="Arial" w:cs="Arial" w:eastAsia="Arial" w:hAnsi="Arial"/>
          <w:sz w:val="18"/>
          <w:szCs w:val="18"/>
          <w:b w:val="1"/>
          <w:bCs w:val="1"/>
          <w:color w:val="auto"/>
        </w:rPr>
      </w:pPr>
    </w:p>
    <w:p>
      <w:pPr>
        <w:ind w:left="900" w:hanging="464"/>
        <w:spacing w:after="0"/>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3" w:right="459" w:bottom="1440" w:gutter="0" w:footer="0" w:header="0"/>
        </w:sectPr>
      </w:pPr>
    </w:p>
    <w:bookmarkStart w:id="519" w:name="page520"/>
    <w:bookmarkEnd w:id="519"/>
    <w:p>
      <w:pPr>
        <w:ind w:right="860" w:firstLine="436"/>
        <w:spacing w:after="0" w:line="277" w:lineRule="auto"/>
        <w:tabs>
          <w:tab w:leader="none" w:pos="86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of Common Stock which is granted pursuant to the terms and conditions of Section 6(a).</w:t>
      </w:r>
    </w:p>
    <w:p>
      <w:pPr>
        <w:spacing w:after="0" w:line="170" w:lineRule="exact"/>
        <w:rPr>
          <w:rFonts w:ascii="Arial" w:cs="Arial" w:eastAsia="Arial" w:hAnsi="Arial"/>
          <w:sz w:val="18"/>
          <w:szCs w:val="18"/>
          <w:b w:val="1"/>
          <w:bCs w:val="1"/>
          <w:color w:val="auto"/>
        </w:rPr>
      </w:pPr>
    </w:p>
    <w:p>
      <w:pPr>
        <w:ind w:right="520" w:firstLine="436"/>
        <w:spacing w:after="0" w:line="263" w:lineRule="auto"/>
        <w:tabs>
          <w:tab w:leader="none" w:pos="92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940" w:hanging="504"/>
        <w:spacing w:after="0"/>
        <w:tabs>
          <w:tab w:leader="none" w:pos="940"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 and conditions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6(b).</w:t>
      </w:r>
    </w:p>
    <w:p>
      <w:pPr>
        <w:spacing w:after="0" w:line="210" w:lineRule="exact"/>
        <w:rPr>
          <w:rFonts w:ascii="Arial" w:cs="Arial" w:eastAsia="Arial" w:hAnsi="Arial"/>
          <w:sz w:val="16"/>
          <w:szCs w:val="16"/>
          <w:b w:val="1"/>
          <w:bCs w:val="1"/>
          <w:color w:val="auto"/>
        </w:rPr>
      </w:pPr>
    </w:p>
    <w:p>
      <w:pPr>
        <w:ind w:firstLine="436"/>
        <w:spacing w:after="0" w:line="263" w:lineRule="auto"/>
        <w:tabs>
          <w:tab w:leader="none" w:pos="8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860" w:hanging="424"/>
        <w:spacing w:after="0"/>
        <w:tabs>
          <w:tab w:leader="none" w:pos="86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940" w:hanging="504"/>
        <w:spacing w:after="0"/>
        <w:tabs>
          <w:tab w:leader="none" w:pos="9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25" w:lineRule="exact"/>
        <w:rPr>
          <w:rFonts w:ascii="Arial" w:cs="Arial" w:eastAsia="Arial" w:hAnsi="Arial"/>
          <w:sz w:val="18"/>
          <w:szCs w:val="18"/>
          <w:b w:val="1"/>
          <w:bCs w:val="1"/>
          <w:color w:val="auto"/>
        </w:rPr>
      </w:pPr>
    </w:p>
    <w:p>
      <w:pPr>
        <w:ind w:left="840" w:hanging="404"/>
        <w:spacing w:after="0"/>
        <w:tabs>
          <w:tab w:leader="none" w:pos="8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right="160" w:firstLine="436"/>
        <w:spacing w:after="0" w:line="277" w:lineRule="auto"/>
        <w:tabs>
          <w:tab w:leader="none" w:pos="10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right="260" w:firstLine="436"/>
        <w:spacing w:after="0" w:line="263" w:lineRule="auto"/>
        <w:tabs>
          <w:tab w:leader="none" w:pos="9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3" w:lineRule="exact"/>
        <w:rPr>
          <w:rFonts w:ascii="Arial" w:cs="Arial" w:eastAsia="Arial" w:hAnsi="Arial"/>
          <w:sz w:val="18"/>
          <w:szCs w:val="18"/>
          <w:b w:val="1"/>
          <w:bCs w:val="1"/>
          <w:color w:val="auto"/>
        </w:rPr>
      </w:pPr>
    </w:p>
    <w:p>
      <w:pPr>
        <w:ind w:right="300" w:firstLine="436"/>
        <w:spacing w:after="0" w:line="308" w:lineRule="auto"/>
        <w:tabs>
          <w:tab w:leader="none" w:pos="920"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 means any right to receive Common Stock granted under the Plan, including an Incentive Stock Option, a Nonstatutory Stock Option, a Restricted Stock Award, a Restricted Stock Unit Award, a Stock Appreciation Right or any Other Stock Award.</w:t>
      </w:r>
    </w:p>
    <w:p>
      <w:pPr>
        <w:spacing w:after="0" w:line="146" w:lineRule="exact"/>
        <w:rPr>
          <w:rFonts w:ascii="Arial" w:cs="Arial" w:eastAsia="Arial" w:hAnsi="Arial"/>
          <w:sz w:val="17"/>
          <w:szCs w:val="17"/>
          <w:b w:val="1"/>
          <w:bCs w:val="1"/>
          <w:color w:val="auto"/>
        </w:rPr>
      </w:pPr>
    </w:p>
    <w:p>
      <w:pPr>
        <w:ind w:right="200" w:firstLine="436"/>
        <w:spacing w:after="0" w:line="277" w:lineRule="auto"/>
        <w:tabs>
          <w:tab w:leader="none" w:pos="94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rFonts w:ascii="Arial" w:cs="Arial" w:eastAsia="Arial" w:hAnsi="Arial"/>
          <w:sz w:val="18"/>
          <w:szCs w:val="18"/>
          <w:b w:val="1"/>
          <w:bCs w:val="1"/>
          <w:color w:val="auto"/>
        </w:rPr>
      </w:pPr>
    </w:p>
    <w:p>
      <w:pPr>
        <w:ind w:right="180" w:firstLine="436"/>
        <w:spacing w:after="0" w:line="275" w:lineRule="auto"/>
        <w:tabs>
          <w:tab w:leader="none" w:pos="940"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right="340" w:firstLine="436"/>
        <w:spacing w:after="0" w:line="277" w:lineRule="auto"/>
        <w:tabs>
          <w:tab w:leader="none" w:pos="90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3" w:right="519" w:bottom="1440" w:gutter="0" w:footer="0" w:header="0"/>
        </w:sectPr>
      </w:pPr>
    </w:p>
    <w:bookmarkStart w:id="520" w:name="page521"/>
    <w:bookmarkEnd w:id="52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ind w:left="4084"/>
        <w:spacing w:after="0"/>
        <w:rPr>
          <w:sz w:val="20"/>
          <w:szCs w:val="20"/>
          <w:color w:val="auto"/>
        </w:rPr>
      </w:pPr>
      <w:r>
        <w:rPr>
          <w:rFonts w:ascii="Arial" w:cs="Arial" w:eastAsia="Arial" w:hAnsi="Arial"/>
          <w:sz w:val="18"/>
          <w:szCs w:val="18"/>
          <w:b w:val="1"/>
          <w:bCs w:val="1"/>
          <w:color w:val="auto"/>
        </w:rPr>
        <w:t>STOCK OPTION GRANT NOTICE</w:t>
      </w:r>
    </w:p>
    <w:p>
      <w:pPr>
        <w:spacing w:after="0" w:line="27" w:lineRule="exact"/>
        <w:rPr>
          <w:sz w:val="20"/>
          <w:szCs w:val="20"/>
          <w:color w:val="auto"/>
        </w:rPr>
      </w:pPr>
    </w:p>
    <w:p>
      <w:pPr>
        <w:ind w:left="4084"/>
        <w:spacing w:after="0"/>
        <w:rPr>
          <w:sz w:val="20"/>
          <w:szCs w:val="20"/>
          <w:color w:val="auto"/>
        </w:rPr>
      </w:pPr>
      <w:r>
        <w:rPr>
          <w:rFonts w:ascii="Arial" w:cs="Arial" w:eastAsia="Arial" w:hAnsi="Arial"/>
          <w:sz w:val="18"/>
          <w:szCs w:val="18"/>
          <w:b w:val="1"/>
          <w:bCs w:val="1"/>
          <w:color w:val="auto"/>
        </w:rPr>
        <w:t>(2020 EQUITY INCENTIVE PLAN)</w:t>
      </w:r>
    </w:p>
    <w:p>
      <w:pPr>
        <w:spacing w:after="0" w:line="207" w:lineRule="exact"/>
        <w:rPr>
          <w:sz w:val="20"/>
          <w:szCs w:val="20"/>
          <w:color w:val="auto"/>
        </w:rPr>
      </w:pPr>
    </w:p>
    <w:p>
      <w:pPr>
        <w:ind w:left="4"/>
        <w:spacing w:after="0" w:line="291" w:lineRule="auto"/>
        <w:rPr>
          <w:sz w:val="20"/>
          <w:szCs w:val="20"/>
          <w:color w:val="auto"/>
        </w:rPr>
      </w:pPr>
      <w:r>
        <w:rPr>
          <w:rFonts w:ascii="Arial" w:cs="Arial" w:eastAsia="Arial" w:hAnsi="Arial"/>
          <w:sz w:val="16"/>
          <w:szCs w:val="16"/>
          <w:b w:val="1"/>
          <w:bCs w:val="1"/>
          <w:color w:val="auto"/>
        </w:rPr>
        <w:t xml:space="preserve">Taysha Gene Therapies, Inc.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(as amended and/or restated as of the Date of Grant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 Optionholder an option to purchase the number of shares of the Common Stock set forth below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The Option is subject to all of the terms and conditions as set forth in this Stock Option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Exercise Price (Per Share)</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14605</wp:posOffset>
            </wp:positionV>
            <wp:extent cx="450024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0984"/>
          </w:cols>
          <w:pgMar w:left="436" w:top="269" w:right="479" w:bottom="1440" w:gutter="0" w:footer="0" w:header="0"/>
        </w:sectPr>
      </w:pPr>
    </w:p>
    <w:p>
      <w:pPr>
        <w:spacing w:after="0" w:line="3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Exercise Schedule: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[Same as Vesting Schedule] [Early Exercise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450024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2764" w:space="720"/>
            <w:col w:w="7500"/>
          </w:cols>
          <w:pgMar w:left="436" w:top="269" w:right="479" w:bottom="1440" w:gutter="0" w:footer="0" w:header="0"/>
          <w:type w:val="continuous"/>
        </w:sectPr>
      </w:pPr>
    </w:p>
    <w:p>
      <w:pPr>
        <w:ind w:left="444"/>
        <w:spacing w:after="0"/>
        <w:rPr>
          <w:sz w:val="20"/>
          <w:szCs w:val="20"/>
          <w:color w:val="auto"/>
        </w:rPr>
      </w:pPr>
      <w:r>
        <w:rPr>
          <w:rFonts w:ascii="Arial" w:cs="Arial" w:eastAsia="Arial" w:hAnsi="Arial"/>
          <w:sz w:val="16"/>
          <w:szCs w:val="16"/>
          <w:color w:val="auto"/>
        </w:rPr>
        <w:t>Type of Grant</w:t>
      </w:r>
      <w:r>
        <w:rPr>
          <w:rFonts w:ascii="Arial" w:cs="Arial" w:eastAsia="Arial" w:hAnsi="Arial"/>
          <w:sz w:val="13"/>
          <w:szCs w:val="13"/>
          <w:color w:val="auto"/>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450024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2764" w:space="720"/>
            <w:col w:w="7500"/>
          </w:cols>
          <w:pgMar w:left="436" w:top="269" w:right="479" w:bottom="1440" w:gutter="0" w:footer="0" w:header="0"/>
          <w:type w:val="continuous"/>
        </w:sectPr>
      </w:pPr>
    </w:p>
    <w:p>
      <w:pPr>
        <w:jc w:val="both"/>
        <w:ind w:left="1664" w:right="100" w:hanging="1659"/>
        <w:spacing w:after="0" w:line="261" w:lineRule="auto"/>
        <w:tabs>
          <w:tab w:leader="none" w:pos="1644"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of standard vesting.</w:t>
      </w:r>
      <w:r>
        <w:rPr>
          <w:rFonts w:ascii="Arial" w:cs="Arial" w:eastAsia="Arial" w:hAnsi="Arial"/>
          <w:sz w:val="18"/>
          <w:szCs w:val="18"/>
          <w:color w:val="auto"/>
        </w:rPr>
        <w:t xml:space="preserve"> 12/48ths of the total shares will vest on the one-year anniversary of the Vesting Commencement Date, and 1/48th of the total shares will vest each month thereafter on the same day of the month as the Vesting Commencement Date (or if there is no corresponding day, on the last day of the month), subject to Optionholder’s Continuous Service as of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7152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24" w:hanging="424"/>
        <w:spacing w:after="0"/>
        <w:tabs>
          <w:tab w:leader="none" w:pos="424" w:val="left"/>
        </w:tabs>
        <w:numPr>
          <w:ilvl w:val="0"/>
          <w:numId w:val="269"/>
        </w:numPr>
        <w:rPr>
          <w:rFonts w:ascii="Arial" w:cs="Arial" w:eastAsia="Arial" w:hAnsi="Arial"/>
          <w:sz w:val="15"/>
          <w:szCs w:val="15"/>
          <w:color w:val="auto"/>
        </w:rPr>
      </w:pPr>
      <w:r>
        <w:rPr>
          <w:rFonts w:ascii="Arial" w:cs="Arial" w:eastAsia="Arial" w:hAnsi="Arial"/>
          <w:sz w:val="18"/>
          <w:szCs w:val="18"/>
          <w:color w:val="auto"/>
        </w:rPr>
        <w:t>The exercise price may be paid by one or a combination of the methods permitted in the Option Agreement.</w:t>
      </w:r>
    </w:p>
    <w:p>
      <w:pPr>
        <w:spacing w:after="0" w:line="22" w:lineRule="exact"/>
        <w:rPr>
          <w:sz w:val="20"/>
          <w:szCs w:val="20"/>
          <w:color w:val="auto"/>
        </w:rPr>
      </w:pPr>
    </w:p>
    <w:p>
      <w:pPr>
        <w:ind w:left="424" w:hanging="424"/>
        <w:spacing w:after="0" w:line="262" w:lineRule="auto"/>
        <w:tabs>
          <w:tab w:leader="none" w:pos="424" w:val="left"/>
        </w:tabs>
        <w:numPr>
          <w:ilvl w:val="0"/>
          <w:numId w:val="270"/>
        </w:numPr>
        <w:rPr>
          <w:rFonts w:ascii="Arial" w:cs="Arial" w:eastAsia="Arial" w:hAnsi="Arial"/>
          <w:sz w:val="15"/>
          <w:szCs w:val="15"/>
          <w:color w:val="auto"/>
        </w:rPr>
      </w:pP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0984"/>
          </w:cols>
          <w:pgMar w:left="436" w:top="269" w:right="479" w:bottom="1440" w:gutter="0" w:footer="0" w:header="0"/>
          <w:type w:val="continuous"/>
        </w:sectPr>
      </w:pPr>
    </w:p>
    <w:bookmarkStart w:id="521" w:name="page522"/>
    <w:bookmarkEnd w:id="521"/>
    <w:p>
      <w:pPr>
        <w:ind w:right="2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Optionholder Acknowledgements: </w:t>
      </w:r>
      <w:r>
        <w:rPr>
          <w:rFonts w:ascii="Arial" w:cs="Arial" w:eastAsia="Arial" w:hAnsi="Arial"/>
          <w:sz w:val="18"/>
          <w:szCs w:val="18"/>
          <w:color w:val="auto"/>
        </w:rPr>
        <w:t>By Optionholder’s signature below or by electronic acceptance or authentication in a form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Optionholder understands and agrees that the Option is governed by this Stock Option Grant Notice, and the provisions of the Plan and the Option Agreement and the Notice of Exercise, all of which are made a part of this document.</w:t>
      </w:r>
    </w:p>
    <w:p>
      <w:pPr>
        <w:spacing w:after="0" w:line="1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except in writing signed by Optionholder and a duly authorized officer of the Company.</w:t>
      </w:r>
    </w:p>
    <w:p>
      <w:pPr>
        <w:spacing w:after="0" w:line="1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Taysha Gene Therapies, Inc.</w:t>
            </w:r>
          </w:p>
        </w:tc>
        <w:tc>
          <w:tcPr>
            <w:tcW w:w="5980" w:type="dxa"/>
            <w:vAlign w:val="bottom"/>
            <w:gridSpan w:val="2"/>
          </w:tcPr>
          <w:p>
            <w:pPr>
              <w:ind w:left="700"/>
              <w:spacing w:after="0"/>
              <w:rPr>
                <w:sz w:val="20"/>
                <w:szCs w:val="20"/>
                <w:color w:val="auto"/>
              </w:rPr>
            </w:pPr>
            <w:r>
              <w:rPr>
                <w:rFonts w:ascii="Arial" w:cs="Arial" w:eastAsia="Arial" w:hAnsi="Arial"/>
                <w:sz w:val="18"/>
                <w:szCs w:val="18"/>
                <w:b w:val="1"/>
                <w:bCs w:val="1"/>
                <w:color w:val="auto"/>
              </w:rPr>
              <w:t>Optionholder:</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By:</w:t>
            </w: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9"/>
        </w:trPr>
        <w:tc>
          <w:tcPr>
            <w:tcW w:w="540" w:type="dxa"/>
            <w:vAlign w:val="bottom"/>
          </w:tcPr>
          <w:p>
            <w:pPr>
              <w:spacing w:after="0"/>
              <w:rPr>
                <w:sz w:val="18"/>
                <w:szCs w:val="18"/>
                <w:color w:val="auto"/>
              </w:rPr>
            </w:pPr>
          </w:p>
        </w:tc>
        <w:tc>
          <w:tcPr>
            <w:tcW w:w="450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(Signature)</w:t>
            </w:r>
          </w:p>
        </w:tc>
        <w:tc>
          <w:tcPr>
            <w:tcW w:w="1360" w:type="dxa"/>
            <w:vAlign w:val="bottom"/>
          </w:tcPr>
          <w:p>
            <w:pPr>
              <w:spacing w:after="0"/>
              <w:rPr>
                <w:sz w:val="18"/>
                <w:szCs w:val="18"/>
                <w:color w:val="auto"/>
              </w:rPr>
            </w:pPr>
          </w:p>
        </w:tc>
        <w:tc>
          <w:tcPr>
            <w:tcW w:w="462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(Signature)</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Title:</w:t>
            </w: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Email:</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500" w:type="dxa"/>
            <w:vAlign w:val="bottom"/>
            <w:tcBorders>
              <w:top w:val="single" w:sz="8" w:color="auto"/>
              <w:bottom w:val="single" w:sz="8" w:color="auto"/>
            </w:tcBorders>
          </w:tcPr>
          <w:p>
            <w:pPr>
              <w:spacing w:after="0"/>
              <w:rPr>
                <w:sz w:val="19"/>
                <w:szCs w:val="19"/>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2020 Equity Incentive Plan and Notice of Exercise</w:t>
      </w:r>
    </w:p>
    <w:p>
      <w:pPr>
        <w:sectPr>
          <w:pgSz w:w="11900" w:h="16838" w:orient="portrait"/>
          <w:cols w:equalWidth="0" w:num="1">
            <w:col w:w="11020"/>
          </w:cols>
          <w:pgMar w:left="440" w:top="269" w:right="439" w:bottom="1440" w:gutter="0" w:footer="0" w:header="0"/>
        </w:sectPr>
      </w:pPr>
    </w:p>
    <w:bookmarkStart w:id="522" w:name="page523"/>
    <w:bookmarkEnd w:id="52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2020 Equity Incentive Plan</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(INCENTIVE STOCK OPTION OR NONSTATUTORY STOCK OPTION)</w:t>
      </w:r>
    </w:p>
    <w:p>
      <w:pPr>
        <w:spacing w:after="0" w:line="207" w:lineRule="exact"/>
        <w:rPr>
          <w:sz w:val="20"/>
          <w:szCs w:val="20"/>
          <w:color w:val="auto"/>
        </w:rPr>
      </w:pPr>
    </w:p>
    <w:p>
      <w:pPr>
        <w:ind w:left="4" w:right="80"/>
        <w:spacing w:after="0" w:line="256"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and this Option Agreement, </w:t>
      </w:r>
      <w:r>
        <w:rPr>
          <w:rFonts w:ascii="Arial" w:cs="Arial" w:eastAsia="Arial" w:hAnsi="Arial"/>
          <w:sz w:val="18"/>
          <w:szCs w:val="18"/>
          <w:b w:val="1"/>
          <w:bCs w:val="1"/>
          <w:color w:val="auto"/>
        </w:rPr>
        <w:t>Taysha Gene Therapies,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left="744" w:hanging="304"/>
        <w:spacing w:after="0"/>
        <w:tabs>
          <w:tab w:leader="none" w:pos="744" w:val="left"/>
        </w:tabs>
        <w:numPr>
          <w:ilvl w:val="1"/>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Your option will vest as provided in your Grant Notice. Vesting will cease upon the termination of your Continuous Service.</w:t>
      </w:r>
    </w:p>
    <w:p>
      <w:pPr>
        <w:spacing w:after="0" w:line="236" w:lineRule="exact"/>
        <w:rPr>
          <w:rFonts w:ascii="Arial" w:cs="Arial" w:eastAsia="Arial" w:hAnsi="Arial"/>
          <w:sz w:val="17"/>
          <w:szCs w:val="17"/>
          <w:b w:val="1"/>
          <w:bCs w:val="1"/>
          <w:color w:val="auto"/>
        </w:rPr>
      </w:pPr>
    </w:p>
    <w:p>
      <w:pPr>
        <w:ind w:left="4" w:right="120" w:firstLine="436"/>
        <w:spacing w:after="0" w:line="282" w:lineRule="auto"/>
        <w:tabs>
          <w:tab w:leader="none" w:pos="759" w:val="left"/>
        </w:tabs>
        <w:numPr>
          <w:ilvl w:val="1"/>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and Exercise Price</w:t>
      </w:r>
      <w:r>
        <w:rPr>
          <w:rFonts w:ascii="Arial" w:cs="Arial" w:eastAsia="Arial" w:hAnsi="Arial"/>
          <w:sz w:val="18"/>
          <w:szCs w:val="18"/>
          <w:color w:val="auto"/>
        </w:rPr>
        <w:t>. The number of shares of Common Stock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will be adjusted for Capitalization Adjustments.</w:t>
      </w:r>
    </w:p>
    <w:p>
      <w:pPr>
        <w:spacing w:after="0" w:line="161" w:lineRule="exact"/>
        <w:rPr>
          <w:rFonts w:ascii="Arial" w:cs="Arial" w:eastAsia="Arial" w:hAnsi="Arial"/>
          <w:sz w:val="18"/>
          <w:szCs w:val="18"/>
          <w:b w:val="1"/>
          <w:bCs w:val="1"/>
          <w:color w:val="auto"/>
        </w:rPr>
      </w:pPr>
    </w:p>
    <w:p>
      <w:pPr>
        <w:ind w:left="4" w:firstLine="436"/>
        <w:spacing w:after="0" w:line="255" w:lineRule="auto"/>
        <w:tabs>
          <w:tab w:leader="none" w:pos="759" w:val="left"/>
        </w:tabs>
        <w:numPr>
          <w:ilvl w:val="1"/>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Restriction for Non-Exempt Employees</w:t>
      </w:r>
      <w:r>
        <w:rPr>
          <w:rFonts w:ascii="Arial" w:cs="Arial" w:eastAsia="Arial" w:hAnsi="Arial"/>
          <w:sz w:val="18"/>
          <w:szCs w:val="18"/>
          <w:color w:val="auto"/>
        </w:rPr>
        <w:t>. If you are an Employee eligible for overtime compensation under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8" w:lineRule="exact"/>
        <w:rPr>
          <w:rFonts w:ascii="Arial" w:cs="Arial" w:eastAsia="Arial" w:hAnsi="Arial"/>
          <w:sz w:val="18"/>
          <w:szCs w:val="18"/>
          <w:b w:val="1"/>
          <w:bCs w:val="1"/>
          <w:color w:val="auto"/>
        </w:rPr>
      </w:pPr>
    </w:p>
    <w:p>
      <w:pPr>
        <w:jc w:val="both"/>
        <w:ind w:left="4" w:right="340" w:firstLine="436"/>
        <w:spacing w:after="0" w:line="293" w:lineRule="auto"/>
        <w:tabs>
          <w:tab w:leader="none" w:pos="759" w:val="left"/>
        </w:tabs>
        <w:numPr>
          <w:ilvl w:val="1"/>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prior to Vesting (“Early Exercise”)</w:t>
      </w:r>
      <w:r>
        <w:rPr>
          <w:rFonts w:ascii="Arial" w:cs="Arial" w:eastAsia="Arial" w:hAnsi="Arial"/>
          <w:sz w:val="16"/>
          <w:szCs w:val="16"/>
          <w:color w:val="auto"/>
        </w:rPr>
        <w:t>. If permitted in your Grant Notice (</w:t>
      </w:r>
      <w:r>
        <w:rPr>
          <w:rFonts w:ascii="Arial" w:cs="Arial" w:eastAsia="Arial" w:hAnsi="Arial"/>
          <w:sz w:val="16"/>
          <w:szCs w:val="16"/>
          <w:i w:val="1"/>
          <w:iCs w:val="1"/>
          <w:color w:val="auto"/>
        </w:rPr>
        <w:t>i.e.</w:t>
      </w:r>
      <w:r>
        <w:rPr>
          <w:rFonts w:ascii="Arial" w:cs="Arial" w:eastAsia="Arial" w:hAnsi="Arial"/>
          <w:sz w:val="16"/>
          <w:szCs w:val="16"/>
          <w:color w:val="auto"/>
        </w:rPr>
        <w:t>, the “Exercise Schedule” indicates “Early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and subject to the provisions of your option, you may elect at any time that is both (i) during the period of your Continuous Service and</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during the term of your option, to exercise all or part of your option, including the unvested portion of your option;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222" w:lineRule="exact"/>
        <w:rPr>
          <w:rFonts w:ascii="Arial" w:cs="Arial" w:eastAsia="Arial" w:hAnsi="Arial"/>
          <w:sz w:val="17"/>
          <w:szCs w:val="17"/>
          <w:color w:val="auto"/>
        </w:rPr>
      </w:pPr>
    </w:p>
    <w:p>
      <w:pPr>
        <w:ind w:left="4" w:right="20" w:firstLine="987"/>
        <w:spacing w:after="0" w:line="277" w:lineRule="auto"/>
        <w:tabs>
          <w:tab w:leader="none" w:pos="1310" w:val="left"/>
        </w:tabs>
        <w:numPr>
          <w:ilvl w:val="2"/>
          <w:numId w:val="272"/>
        </w:numPr>
        <w:rPr>
          <w:rFonts w:ascii="Arial" w:cs="Arial" w:eastAsia="Arial" w:hAnsi="Arial"/>
          <w:sz w:val="18"/>
          <w:szCs w:val="18"/>
          <w:b w:val="1"/>
          <w:bCs w:val="1"/>
          <w:color w:val="auto"/>
        </w:rPr>
      </w:pPr>
      <w:r>
        <w:rPr>
          <w:rFonts w:ascii="Arial" w:cs="Arial" w:eastAsia="Arial" w:hAnsi="Arial"/>
          <w:sz w:val="18"/>
          <w:szCs w:val="18"/>
          <w:color w:val="auto"/>
        </w:rPr>
        <w:t>a partial exercise of your option will be deemed to cover first vested shares of Common Stock and then the earliest vesting installment of unvested shares of Common Stock;</w:t>
      </w:r>
    </w:p>
    <w:p>
      <w:pPr>
        <w:spacing w:after="0" w:line="170" w:lineRule="exact"/>
        <w:rPr>
          <w:rFonts w:ascii="Arial" w:cs="Arial" w:eastAsia="Arial" w:hAnsi="Arial"/>
          <w:sz w:val="18"/>
          <w:szCs w:val="18"/>
          <w:b w:val="1"/>
          <w:bCs w:val="1"/>
          <w:color w:val="auto"/>
        </w:rPr>
      </w:pPr>
    </w:p>
    <w:p>
      <w:pPr>
        <w:ind w:left="4" w:right="400" w:firstLine="987"/>
        <w:spacing w:after="0" w:line="308" w:lineRule="auto"/>
        <w:tabs>
          <w:tab w:leader="none" w:pos="1320" w:val="left"/>
        </w:tabs>
        <w:numPr>
          <w:ilvl w:val="2"/>
          <w:numId w:val="272"/>
        </w:numPr>
        <w:rPr>
          <w:rFonts w:ascii="Arial" w:cs="Arial" w:eastAsia="Arial" w:hAnsi="Arial"/>
          <w:sz w:val="17"/>
          <w:szCs w:val="17"/>
          <w:b w:val="1"/>
          <w:bCs w:val="1"/>
          <w:color w:val="auto"/>
        </w:rPr>
      </w:pPr>
      <w:r>
        <w:rPr>
          <w:rFonts w:ascii="Arial" w:cs="Arial" w:eastAsia="Arial" w:hAnsi="Arial"/>
          <w:sz w:val="17"/>
          <w:szCs w:val="17"/>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69" w:right="479" w:bottom="1440" w:gutter="0" w:footer="0" w:header="0"/>
        </w:sectPr>
      </w:pPr>
    </w:p>
    <w:bookmarkStart w:id="523" w:name="page524"/>
    <w:bookmarkEnd w:id="523"/>
    <w:p>
      <w:pPr>
        <w:ind w:left="-20" w:right="300" w:firstLine="987"/>
        <w:spacing w:after="0" w:line="277" w:lineRule="auto"/>
        <w:tabs>
          <w:tab w:leader="none" w:pos="1276"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will enter into the Company’s form of Early Exercise Stock Purchase Agreement with a vesting schedule that will result in the same vesting as if no early exercise had occurred; and</w:t>
      </w:r>
    </w:p>
    <w:p>
      <w:pPr>
        <w:spacing w:after="0" w:line="170" w:lineRule="exact"/>
        <w:rPr>
          <w:rFonts w:ascii="Arial" w:cs="Arial" w:eastAsia="Arial" w:hAnsi="Arial"/>
          <w:sz w:val="18"/>
          <w:szCs w:val="18"/>
          <w:b w:val="1"/>
          <w:bCs w:val="1"/>
          <w:color w:val="auto"/>
        </w:rPr>
      </w:pPr>
    </w:p>
    <w:p>
      <w:pPr>
        <w:ind w:left="-20" w:right="100" w:firstLine="987"/>
        <w:spacing w:after="0" w:line="279" w:lineRule="auto"/>
        <w:tabs>
          <w:tab w:leader="none" w:pos="1296" w:val="left"/>
        </w:tabs>
        <w:numPr>
          <w:ilvl w:val="1"/>
          <w:numId w:val="273"/>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67" w:lineRule="exact"/>
        <w:rPr>
          <w:rFonts w:ascii="Arial" w:cs="Arial" w:eastAsia="Arial" w:hAnsi="Arial"/>
          <w:sz w:val="17"/>
          <w:szCs w:val="17"/>
          <w:b w:val="1"/>
          <w:bCs w:val="1"/>
          <w:color w:val="auto"/>
        </w:rPr>
      </w:pPr>
    </w:p>
    <w:p>
      <w:pPr>
        <w:ind w:left="-20" w:right="520" w:firstLine="436"/>
        <w:spacing w:after="0" w:line="282" w:lineRule="auto"/>
        <w:tabs>
          <w:tab w:leader="none" w:pos="735"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r>
        <w:rPr>
          <w:rFonts w:ascii="Arial" w:cs="Arial" w:eastAsia="Arial" w:hAnsi="Arial"/>
          <w:sz w:val="18"/>
          <w:szCs w:val="18"/>
          <w:color w:val="auto"/>
        </w:rPr>
        <w:t>. You must pay the full amount of the exercise price for the shares you wish to exercise. The permitted methods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are as follows:</w:t>
      </w:r>
    </w:p>
    <w:p>
      <w:pPr>
        <w:spacing w:after="0" w:line="165" w:lineRule="exact"/>
        <w:rPr>
          <w:rFonts w:ascii="Arial" w:cs="Arial" w:eastAsia="Arial" w:hAnsi="Arial"/>
          <w:sz w:val="18"/>
          <w:szCs w:val="18"/>
          <w:b w:val="1"/>
          <w:bCs w:val="1"/>
          <w:color w:val="auto"/>
        </w:rPr>
      </w:pPr>
    </w:p>
    <w:p>
      <w:pPr>
        <w:ind w:left="1280" w:hanging="313"/>
        <w:spacing w:after="0"/>
        <w:tabs>
          <w:tab w:leader="none" w:pos="1280"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by cash, check, bank draft, electronic funds transfer or money order payable to the Company;</w:t>
      </w:r>
    </w:p>
    <w:p>
      <w:pPr>
        <w:spacing w:after="0" w:line="225" w:lineRule="exact"/>
        <w:rPr>
          <w:rFonts w:ascii="Arial" w:cs="Arial" w:eastAsia="Arial" w:hAnsi="Arial"/>
          <w:sz w:val="18"/>
          <w:szCs w:val="18"/>
          <w:b w:val="1"/>
          <w:bCs w:val="1"/>
          <w:color w:val="auto"/>
        </w:rPr>
      </w:pPr>
    </w:p>
    <w:p>
      <w:pPr>
        <w:ind w:left="-20" w:right="240" w:firstLine="987"/>
        <w:spacing w:after="0" w:line="257" w:lineRule="auto"/>
        <w:tabs>
          <w:tab w:leader="none" w:pos="1296"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7" w:lineRule="exact"/>
        <w:rPr>
          <w:rFonts w:ascii="Arial" w:cs="Arial" w:eastAsia="Arial" w:hAnsi="Arial"/>
          <w:sz w:val="18"/>
          <w:szCs w:val="18"/>
          <w:b w:val="1"/>
          <w:bCs w:val="1"/>
          <w:color w:val="auto"/>
        </w:rPr>
      </w:pPr>
    </w:p>
    <w:p>
      <w:pPr>
        <w:ind w:left="-20" w:right="40" w:firstLine="987"/>
        <w:spacing w:after="0" w:line="293" w:lineRule="auto"/>
        <w:tabs>
          <w:tab w:leader="none" w:pos="1276" w:val="left"/>
        </w:tabs>
        <w:numPr>
          <w:ilvl w:val="1"/>
          <w:numId w:val="274"/>
        </w:numPr>
        <w:rPr>
          <w:rFonts w:ascii="Arial" w:cs="Arial" w:eastAsia="Arial" w:hAnsi="Arial"/>
          <w:sz w:val="16"/>
          <w:szCs w:val="16"/>
          <w:b w:val="1"/>
          <w:bCs w:val="1"/>
          <w:color w:val="auto"/>
        </w:rPr>
      </w:pPr>
      <w:r>
        <w:rPr>
          <w:rFonts w:ascii="Arial" w:cs="Arial" w:eastAsia="Arial" w:hAnsi="Arial"/>
          <w:sz w:val="16"/>
          <w:szCs w:val="16"/>
          <w:color w:val="auto"/>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64" w:lineRule="exact"/>
        <w:rPr>
          <w:rFonts w:ascii="Arial" w:cs="Arial" w:eastAsia="Arial" w:hAnsi="Arial"/>
          <w:sz w:val="16"/>
          <w:szCs w:val="16"/>
          <w:b w:val="1"/>
          <w:bCs w:val="1"/>
          <w:color w:val="auto"/>
        </w:rPr>
      </w:pPr>
    </w:p>
    <w:p>
      <w:pPr>
        <w:ind w:left="-20" w:right="20" w:firstLine="987"/>
        <w:spacing w:after="0" w:line="254" w:lineRule="auto"/>
        <w:tabs>
          <w:tab w:leader="none" w:pos="1296"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spacing w:after="0" w:line="191" w:lineRule="exact"/>
        <w:rPr>
          <w:rFonts w:ascii="Arial" w:cs="Arial" w:eastAsia="Arial" w:hAnsi="Arial"/>
          <w:sz w:val="18"/>
          <w:szCs w:val="18"/>
          <w:b w:val="1"/>
          <w:bCs w:val="1"/>
          <w:color w:val="auto"/>
        </w:rPr>
      </w:pPr>
    </w:p>
    <w:p>
      <w:pPr>
        <w:ind w:left="-20" w:firstLine="987"/>
        <w:spacing w:after="0" w:line="259" w:lineRule="auto"/>
        <w:tabs>
          <w:tab w:leader="none" w:pos="1276" w:val="left"/>
        </w:tabs>
        <w:numPr>
          <w:ilvl w:val="1"/>
          <w:numId w:val="274"/>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consent of the Company and/or Board at the time of exercise, according to a deferred payment or similar arrangement with you;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3" w:right="459" w:bottom="1440" w:gutter="0" w:footer="0" w:header="0"/>
        </w:sectPr>
      </w:pPr>
    </w:p>
    <w:bookmarkStart w:id="524" w:name="page525"/>
    <w:bookmarkEnd w:id="524"/>
    <w:p>
      <w:pPr>
        <w:ind w:left="1284" w:hanging="293"/>
        <w:spacing w:after="0"/>
        <w:tabs>
          <w:tab w:leader="none" w:pos="1284"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other form of legal consideration that may be acceptable to the Board.</w:t>
      </w:r>
    </w:p>
    <w:p>
      <w:pPr>
        <w:spacing w:after="0" w:line="221" w:lineRule="exact"/>
        <w:rPr>
          <w:rFonts w:ascii="Arial" w:cs="Arial" w:eastAsia="Arial" w:hAnsi="Arial"/>
          <w:sz w:val="18"/>
          <w:szCs w:val="18"/>
          <w:b w:val="1"/>
          <w:bCs w:val="1"/>
          <w:color w:val="auto"/>
        </w:rPr>
      </w:pPr>
    </w:p>
    <w:p>
      <w:pPr>
        <w:ind w:left="744" w:hanging="304"/>
        <w:spacing w:after="0"/>
        <w:tabs>
          <w:tab w:leader="none" w:pos="74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Whole Shares</w:t>
      </w:r>
      <w:r>
        <w:rPr>
          <w:rFonts w:ascii="Arial" w:cs="Arial" w:eastAsia="Arial" w:hAnsi="Arial"/>
          <w:sz w:val="18"/>
          <w:szCs w:val="18"/>
          <w:color w:val="auto"/>
        </w:rPr>
        <w:t>. You may exercise your option only for whole shares of Common Stock.</w:t>
      </w:r>
    </w:p>
    <w:p>
      <w:pPr>
        <w:spacing w:after="0" w:line="225" w:lineRule="exact"/>
        <w:rPr>
          <w:rFonts w:ascii="Arial" w:cs="Arial" w:eastAsia="Arial" w:hAnsi="Arial"/>
          <w:sz w:val="18"/>
          <w:szCs w:val="18"/>
          <w:b w:val="1"/>
          <w:bCs w:val="1"/>
          <w:color w:val="auto"/>
        </w:rPr>
      </w:pPr>
    </w:p>
    <w:p>
      <w:pPr>
        <w:ind w:left="4" w:right="120" w:firstLine="436"/>
        <w:spacing w:after="0" w:line="298" w:lineRule="auto"/>
        <w:tabs>
          <w:tab w:leader="none" w:pos="759" w:val="left"/>
        </w:tabs>
        <w:numPr>
          <w:ilvl w:val="0"/>
          <w:numId w:val="276"/>
        </w:numPr>
        <w:rPr>
          <w:rFonts w:ascii="Arial" w:cs="Arial" w:eastAsia="Arial" w:hAnsi="Arial"/>
          <w:sz w:val="16"/>
          <w:szCs w:val="16"/>
          <w:b w:val="1"/>
          <w:bCs w:val="1"/>
          <w:color w:val="auto"/>
        </w:rPr>
      </w:pPr>
      <w:r>
        <w:rPr>
          <w:rFonts w:ascii="Arial" w:cs="Arial" w:eastAsia="Arial" w:hAnsi="Arial"/>
          <w:sz w:val="16"/>
          <w:szCs w:val="16"/>
          <w:b w:val="1"/>
          <w:bCs w:val="1"/>
          <w:color w:val="auto"/>
        </w:rPr>
        <w:t>Securities Law Compliance</w:t>
      </w:r>
      <w:r>
        <w:rPr>
          <w:rFonts w:ascii="Arial" w:cs="Arial" w:eastAsia="Arial" w:hAnsi="Arial"/>
          <w:sz w:val="16"/>
          <w:szCs w:val="16"/>
          <w:color w:val="auto"/>
        </w:rPr>
        <w:t>. In no event may you exercise your option unless the shares of Common Stock issuable upon exercise are then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53" w:lineRule="exact"/>
        <w:rPr>
          <w:rFonts w:ascii="Arial" w:cs="Arial" w:eastAsia="Arial" w:hAnsi="Arial"/>
          <w:sz w:val="16"/>
          <w:szCs w:val="16"/>
          <w:b w:val="1"/>
          <w:bCs w:val="1"/>
          <w:color w:val="auto"/>
        </w:rPr>
      </w:pPr>
    </w:p>
    <w:p>
      <w:pPr>
        <w:ind w:left="4" w:firstLine="436"/>
        <w:spacing w:after="0" w:line="312" w:lineRule="auto"/>
        <w:tabs>
          <w:tab w:leader="none" w:pos="756"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You may not exercise your option before the Date of Grant or after the expiration of the option’s term. Except as set forth in your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term of your option expires, subject to the provisions of Section 5(h) of the Plan, upon the earliest of the following:</w:t>
      </w:r>
    </w:p>
    <w:p>
      <w:pPr>
        <w:spacing w:after="0" w:line="143" w:lineRule="exact"/>
        <w:rPr>
          <w:rFonts w:ascii="Arial" w:cs="Arial" w:eastAsia="Arial" w:hAnsi="Arial"/>
          <w:sz w:val="17"/>
          <w:szCs w:val="17"/>
          <w:b w:val="1"/>
          <w:bCs w:val="1"/>
          <w:color w:val="auto"/>
        </w:rPr>
      </w:pPr>
    </w:p>
    <w:p>
      <w:pPr>
        <w:ind w:left="1304" w:hanging="313"/>
        <w:spacing w:after="0"/>
        <w:tabs>
          <w:tab w:leader="none" w:pos="1304"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ind w:left="1324" w:hanging="333"/>
        <w:spacing w:after="0"/>
        <w:tabs>
          <w:tab w:leader="none" w:pos="1324"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three months after the termination of your Continuous Service for any reason other than Cause, your Disability or your death (except</w:t>
      </w:r>
    </w:p>
    <w:p>
      <w:pPr>
        <w:spacing w:after="0" w:line="46"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 xml:space="preserve">as otherwise provided in Section 8(d)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if (i) you are a Non-Exempt Employee, (ii) your Continuous Service terminates within six months after the Date of Grant, and (iii) you have</w:t>
      </w:r>
      <w:r>
        <w:rPr>
          <w:rFonts w:ascii="Arial" w:cs="Arial" w:eastAsia="Arial" w:hAnsi="Arial"/>
          <w:sz w:val="16"/>
          <w:szCs w:val="16"/>
          <w:i w:val="1"/>
          <w:iCs w:val="1"/>
          <w:color w:val="auto"/>
        </w:rPr>
        <w:t xml:space="preserve"> </w:t>
      </w:r>
      <w:r>
        <w:rPr>
          <w:rFonts w:ascii="Arial" w:cs="Arial" w:eastAsia="Arial" w:hAnsi="Arial"/>
          <w:sz w:val="16"/>
          <w:szCs w:val="16"/>
          <w:color w:val="auto"/>
        </w:rPr>
        <w:t>vested in a portion of your option at the time of your termination of Continuous Service, your option will not expire until the earlier of (x) the later of</w:t>
      </w:r>
    </w:p>
    <w:p>
      <w:pPr>
        <w:spacing w:after="0" w:line="3" w:lineRule="exact"/>
        <w:rPr>
          <w:sz w:val="20"/>
          <w:szCs w:val="20"/>
          <w:color w:val="auto"/>
        </w:rPr>
      </w:pPr>
    </w:p>
    <w:p>
      <w:pPr>
        <w:ind w:left="304" w:hanging="304"/>
        <w:spacing w:after="0"/>
        <w:tabs>
          <w:tab w:leader="none" w:pos="30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date that is seven months after the Date of Grant, and (B) the date that is three months after the termination of your Continuous Service, and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(y) the Expiration Date;</w:t>
      </w:r>
    </w:p>
    <w:p>
      <w:pPr>
        <w:spacing w:after="0" w:line="210" w:lineRule="exact"/>
        <w:rPr>
          <w:rFonts w:ascii="Arial" w:cs="Arial" w:eastAsia="Arial" w:hAnsi="Arial"/>
          <w:sz w:val="16"/>
          <w:szCs w:val="16"/>
          <w:color w:val="auto"/>
        </w:rPr>
      </w:pPr>
    </w:p>
    <w:p>
      <w:pPr>
        <w:ind w:left="1304" w:hanging="313"/>
        <w:spacing w:after="0"/>
        <w:tabs>
          <w:tab w:leader="none" w:pos="1304" w:val="left"/>
        </w:tabs>
        <w:numPr>
          <w:ilvl w:val="1"/>
          <w:numId w:val="277"/>
        </w:numPr>
        <w:rPr>
          <w:rFonts w:ascii="Arial" w:cs="Arial" w:eastAsia="Arial" w:hAnsi="Arial"/>
          <w:sz w:val="17"/>
          <w:szCs w:val="17"/>
          <w:b w:val="1"/>
          <w:bCs w:val="1"/>
          <w:color w:val="auto"/>
        </w:rPr>
      </w:pPr>
      <w:r>
        <w:rPr>
          <w:rFonts w:ascii="Arial" w:cs="Arial" w:eastAsia="Arial" w:hAnsi="Arial"/>
          <w:sz w:val="17"/>
          <w:szCs w:val="17"/>
          <w:color w:val="auto"/>
        </w:rPr>
        <w:t>12 months after the termination of your Continuous Service due to your Disability (except as otherwise provided in Section 8(d))</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below;</w:t>
      </w:r>
    </w:p>
    <w:p>
      <w:pPr>
        <w:spacing w:after="0" w:line="210" w:lineRule="exact"/>
        <w:rPr>
          <w:rFonts w:ascii="Arial" w:cs="Arial" w:eastAsia="Arial" w:hAnsi="Arial"/>
          <w:sz w:val="17"/>
          <w:szCs w:val="17"/>
          <w:b w:val="1"/>
          <w:bCs w:val="1"/>
          <w:color w:val="auto"/>
        </w:rPr>
      </w:pPr>
    </w:p>
    <w:p>
      <w:pPr>
        <w:ind w:left="4" w:right="60" w:firstLine="987"/>
        <w:spacing w:after="0" w:line="277" w:lineRule="auto"/>
        <w:tabs>
          <w:tab w:leader="none" w:pos="1320"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either during your Continuous Service or within three (3) months after your Continuous Service terminates for any reason other than Cause;</w:t>
      </w:r>
    </w:p>
    <w:p>
      <w:pPr>
        <w:spacing w:after="0" w:line="170" w:lineRule="exact"/>
        <w:rPr>
          <w:rFonts w:ascii="Arial" w:cs="Arial" w:eastAsia="Arial" w:hAnsi="Arial"/>
          <w:sz w:val="18"/>
          <w:szCs w:val="18"/>
          <w:b w:val="1"/>
          <w:bCs w:val="1"/>
          <w:color w:val="auto"/>
        </w:rPr>
      </w:pPr>
    </w:p>
    <w:p>
      <w:pPr>
        <w:ind w:left="1304" w:hanging="313"/>
        <w:spacing w:after="0"/>
        <w:tabs>
          <w:tab w:leader="none" w:pos="1304"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1284" w:hanging="293"/>
        <w:spacing w:after="0"/>
        <w:tabs>
          <w:tab w:leader="none" w:pos="1284" w:val="left"/>
        </w:tabs>
        <w:numPr>
          <w:ilvl w:val="1"/>
          <w:numId w:val="277"/>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sectPr>
      </w:pPr>
    </w:p>
    <w:bookmarkStart w:id="525" w:name="page526"/>
    <w:bookmarkEnd w:id="525"/>
    <w:p>
      <w:pPr>
        <w:ind w:left="740" w:hanging="324"/>
        <w:spacing w:after="0"/>
        <w:tabs>
          <w:tab w:leader="none" w:pos="7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120" w:firstLine="987"/>
        <w:spacing w:after="0" w:line="257" w:lineRule="auto"/>
        <w:tabs>
          <w:tab w:leader="none" w:pos="1286"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(including, without limitation, any voting agreement or other agreement between the Company and some or all of its stockholders).</w:t>
      </w:r>
    </w:p>
    <w:p>
      <w:pPr>
        <w:spacing w:after="0" w:line="187" w:lineRule="exact"/>
        <w:rPr>
          <w:rFonts w:ascii="Arial" w:cs="Arial" w:eastAsia="Arial" w:hAnsi="Arial"/>
          <w:sz w:val="18"/>
          <w:szCs w:val="18"/>
          <w:b w:val="1"/>
          <w:bCs w:val="1"/>
          <w:color w:val="auto"/>
        </w:rPr>
      </w:pPr>
    </w:p>
    <w:p>
      <w:pPr>
        <w:jc w:val="both"/>
        <w:ind w:left="-20" w:firstLine="987"/>
        <w:spacing w:after="0" w:line="259" w:lineRule="auto"/>
        <w:tabs>
          <w:tab w:leader="none" w:pos="1296" w:val="left"/>
        </w:tabs>
        <w:numPr>
          <w:ilvl w:val="1"/>
          <w:numId w:val="278"/>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86" w:lineRule="exact"/>
        <w:rPr>
          <w:rFonts w:ascii="Arial" w:cs="Arial" w:eastAsia="Arial" w:hAnsi="Arial"/>
          <w:sz w:val="18"/>
          <w:szCs w:val="18"/>
          <w:b w:val="1"/>
          <w:bCs w:val="1"/>
          <w:color w:val="auto"/>
        </w:rPr>
      </w:pPr>
    </w:p>
    <w:p>
      <w:pPr>
        <w:ind w:left="-20" w:right="20" w:firstLine="987"/>
        <w:spacing w:after="0" w:line="286" w:lineRule="auto"/>
        <w:tabs>
          <w:tab w:leader="none" w:pos="1276" w:val="left"/>
        </w:tabs>
        <w:numPr>
          <w:ilvl w:val="1"/>
          <w:numId w:val="278"/>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65" w:lineRule="exact"/>
        <w:rPr>
          <w:rFonts w:ascii="Arial" w:cs="Arial" w:eastAsia="Arial" w:hAnsi="Arial"/>
          <w:sz w:val="17"/>
          <w:szCs w:val="17"/>
          <w:b w:val="1"/>
          <w:bCs w:val="1"/>
          <w:color w:val="auto"/>
        </w:rPr>
      </w:pPr>
    </w:p>
    <w:p>
      <w:pPr>
        <w:ind w:left="-20" w:right="20" w:firstLine="987"/>
        <w:spacing w:after="0" w:line="267" w:lineRule="auto"/>
        <w:tabs>
          <w:tab w:leader="none" w:pos="1296" w:val="left"/>
        </w:tabs>
        <w:numPr>
          <w:ilvl w:val="1"/>
          <w:numId w:val="278"/>
        </w:numPr>
        <w:rPr>
          <w:rFonts w:ascii="Arial" w:cs="Arial" w:eastAsia="Arial" w:hAnsi="Arial"/>
          <w:sz w:val="17"/>
          <w:szCs w:val="17"/>
          <w:b w:val="1"/>
          <w:bCs w:val="1"/>
          <w:color w:val="auto"/>
        </w:rPr>
      </w:pPr>
      <w:r>
        <w:rPr>
          <w:rFonts w:ascii="Arial" w:cs="Arial" w:eastAsia="Arial" w:hAnsi="Arial"/>
          <w:sz w:val="17"/>
          <w:szCs w:val="17"/>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shall also, if so determined by the Company’s Board of Directors, apply in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Arial" w:cs="Arial" w:eastAsia="Arial" w:hAnsi="Arial"/>
          <w:sz w:val="17"/>
          <w:szCs w:val="17"/>
          <w:b w:val="1"/>
          <w:bCs w:val="1"/>
          <w:i w:val="1"/>
          <w:iCs w:val="1"/>
          <w:color w:val="auto"/>
        </w:rPr>
        <w:t>Direct Listing</w:t>
      </w:r>
      <w:r>
        <w:rPr>
          <w:rFonts w:ascii="Arial" w:cs="Arial" w:eastAsia="Arial" w:hAnsi="Arial"/>
          <w:sz w:val="17"/>
          <w:szCs w:val="17"/>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69" w:right="459" w:bottom="1440" w:gutter="0" w:footer="0" w:header="0"/>
        </w:sectPr>
      </w:pPr>
    </w:p>
    <w:bookmarkStart w:id="526" w:name="page527"/>
    <w:bookmarkEnd w:id="526"/>
    <w:p>
      <w:pPr>
        <w:ind w:right="240" w:firstLine="436"/>
        <w:spacing w:after="0" w:line="282" w:lineRule="auto"/>
        <w:tabs>
          <w:tab w:leader="none" w:pos="84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Arial" w:cs="Arial" w:eastAsia="Arial" w:hAnsi="Arial"/>
          <w:sz w:val="18"/>
          <w:szCs w:val="18"/>
          <w:color w:val="auto"/>
        </w:rPr>
        <w:t>. Except as otherwise provided in this Section 10,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161" w:lineRule="exact"/>
        <w:rPr>
          <w:rFonts w:ascii="Arial" w:cs="Arial" w:eastAsia="Arial" w:hAnsi="Arial"/>
          <w:sz w:val="18"/>
          <w:szCs w:val="18"/>
          <w:b w:val="1"/>
          <w:bCs w:val="1"/>
          <w:color w:val="auto"/>
        </w:rPr>
      </w:pPr>
    </w:p>
    <w:p>
      <w:pPr>
        <w:ind w:right="40" w:firstLine="987"/>
        <w:spacing w:after="0" w:line="266" w:lineRule="auto"/>
        <w:tabs>
          <w:tab w:leader="none" w:pos="1306" w:val="left"/>
        </w:tabs>
        <w:numPr>
          <w:ilvl w:val="1"/>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Certain Trusts</w:t>
      </w:r>
      <w:r>
        <w:rPr>
          <w:rFonts w:ascii="Arial" w:cs="Arial" w:eastAsia="Arial" w:hAnsi="Arial"/>
          <w:sz w:val="18"/>
          <w:szCs w:val="18"/>
          <w:color w:val="auto"/>
        </w:rPr>
        <w:t>. Upon receiving written permission from the Board or its duly authorized designee, you may transfer your option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5" w:lineRule="exact"/>
        <w:rPr>
          <w:rFonts w:ascii="Arial" w:cs="Arial" w:eastAsia="Arial" w:hAnsi="Arial"/>
          <w:sz w:val="18"/>
          <w:szCs w:val="18"/>
          <w:b w:val="1"/>
          <w:bCs w:val="1"/>
          <w:color w:val="auto"/>
        </w:rPr>
      </w:pPr>
    </w:p>
    <w:p>
      <w:pPr>
        <w:ind w:right="40" w:firstLine="987"/>
        <w:spacing w:after="0" w:line="289" w:lineRule="auto"/>
        <w:tabs>
          <w:tab w:leader="none" w:pos="1316" w:val="left"/>
        </w:tabs>
        <w:numPr>
          <w:ilvl w:val="1"/>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Domestic Relations Orders</w:t>
      </w:r>
      <w:r>
        <w:rPr>
          <w:rFonts w:ascii="Arial" w:cs="Arial" w:eastAsia="Arial" w:hAnsi="Arial"/>
          <w:sz w:val="16"/>
          <w:szCs w:val="16"/>
          <w:color w:val="auto"/>
        </w:rPr>
        <w:t>. Upon receiving written permission from the Board or its duly authorized designee, and 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8" w:lineRule="exact"/>
        <w:rPr>
          <w:rFonts w:ascii="Arial" w:cs="Arial" w:eastAsia="Arial" w:hAnsi="Arial"/>
          <w:sz w:val="16"/>
          <w:szCs w:val="16"/>
          <w:b w:val="1"/>
          <w:bCs w:val="1"/>
          <w:color w:val="auto"/>
        </w:rPr>
      </w:pPr>
    </w:p>
    <w:p>
      <w:pPr>
        <w:ind w:right="100" w:firstLine="987"/>
        <w:spacing w:after="0" w:line="277" w:lineRule="auto"/>
        <w:tabs>
          <w:tab w:leader="none" w:pos="1296" w:val="left"/>
        </w:tabs>
        <w:numPr>
          <w:ilvl w:val="1"/>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r>
        <w:rPr>
          <w:rFonts w:ascii="Arial" w:cs="Arial" w:eastAsia="Arial" w:hAnsi="Arial"/>
          <w:sz w:val="17"/>
          <w:szCs w:val="17"/>
          <w:color w:val="auto"/>
        </w:rPr>
        <w:t>. 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67" w:lineRule="exact"/>
        <w:rPr>
          <w:rFonts w:ascii="Arial" w:cs="Arial" w:eastAsia="Arial" w:hAnsi="Arial"/>
          <w:sz w:val="17"/>
          <w:szCs w:val="17"/>
          <w:b w:val="1"/>
          <w:bCs w:val="1"/>
          <w:color w:val="auto"/>
        </w:rPr>
      </w:pPr>
    </w:p>
    <w:p>
      <w:pPr>
        <w:jc w:val="both"/>
        <w:ind w:right="100" w:firstLine="436"/>
        <w:spacing w:after="0" w:line="258" w:lineRule="auto"/>
        <w:tabs>
          <w:tab w:leader="none" w:pos="83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Shares of Common Stock that you acquire upon exercise of your option are subject to any right of first refusal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described in the Company’s bylaws in effect at such time the Company elects to exercise its right;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Arial" w:cs="Arial" w:eastAsia="Arial" w:hAnsi="Arial"/>
          <w:sz w:val="18"/>
          <w:szCs w:val="18"/>
          <w:b w:val="1"/>
          <w:bCs w:val="1"/>
          <w:i w:val="1"/>
          <w:iCs w:val="1"/>
          <w:color w:val="auto"/>
        </w:rPr>
        <w:t>Listing Date</w:t>
      </w:r>
      <w:r>
        <w:rPr>
          <w:rFonts w:ascii="Arial" w:cs="Arial" w:eastAsia="Arial" w:hAnsi="Arial"/>
          <w:sz w:val="18"/>
          <w:szCs w:val="18"/>
          <w:color w:val="auto"/>
        </w:rPr>
        <w:t>”).</w:t>
      </w:r>
    </w:p>
    <w:p>
      <w:pPr>
        <w:spacing w:after="0" w:line="187" w:lineRule="exact"/>
        <w:rPr>
          <w:rFonts w:ascii="Arial" w:cs="Arial" w:eastAsia="Arial" w:hAnsi="Arial"/>
          <w:sz w:val="18"/>
          <w:szCs w:val="18"/>
          <w:b w:val="1"/>
          <w:bCs w:val="1"/>
          <w:color w:val="auto"/>
        </w:rPr>
      </w:pPr>
    </w:p>
    <w:p>
      <w:pPr>
        <w:ind w:right="280" w:firstLine="987"/>
        <w:spacing w:after="0" w:line="277" w:lineRule="auto"/>
        <w:tabs>
          <w:tab w:leader="none" w:pos="1306"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170" w:lineRule="exact"/>
        <w:rPr>
          <w:rFonts w:ascii="Arial" w:cs="Arial" w:eastAsia="Arial" w:hAnsi="Arial"/>
          <w:sz w:val="18"/>
          <w:szCs w:val="18"/>
          <w:b w:val="1"/>
          <w:bCs w:val="1"/>
          <w:color w:val="auto"/>
        </w:rPr>
      </w:pPr>
    </w:p>
    <w:p>
      <w:pPr>
        <w:ind w:right="180" w:firstLine="1428"/>
        <w:spacing w:after="0" w:line="271" w:lineRule="auto"/>
        <w:tabs>
          <w:tab w:leader="none" w:pos="1762"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t>Before there can be a valid Transfer of any shares of Common Stock or any interest therein, the record holder of the shares of Common Stock to be transferred (the “</w:t>
      </w:r>
      <w:r>
        <w:rPr>
          <w:rFonts w:ascii="Arial" w:cs="Arial" w:eastAsia="Arial" w:hAnsi="Arial"/>
          <w:sz w:val="17"/>
          <w:szCs w:val="17"/>
          <w:b w:val="1"/>
          <w:bCs w:val="1"/>
          <w:i w:val="1"/>
          <w:iCs w:val="1"/>
          <w:color w:val="auto"/>
        </w:rPr>
        <w:t>Offered Shares</w:t>
      </w:r>
      <w:r>
        <w:rPr>
          <w:rFonts w:ascii="Arial" w:cs="Arial" w:eastAsia="Arial" w:hAnsi="Arial"/>
          <w:sz w:val="17"/>
          <w:szCs w:val="17"/>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Arial" w:cs="Arial" w:eastAsia="Arial" w:hAnsi="Arial"/>
          <w:sz w:val="17"/>
          <w:szCs w:val="17"/>
          <w:b w:val="1"/>
          <w:bCs w:val="1"/>
          <w:i w:val="1"/>
          <w:iCs w:val="1"/>
          <w:color w:val="auto"/>
        </w:rPr>
        <w:t>Notice Date</w:t>
      </w:r>
      <w:r>
        <w:rPr>
          <w:rFonts w:ascii="Arial" w:cs="Arial" w:eastAsia="Arial" w:hAnsi="Arial"/>
          <w:sz w:val="17"/>
          <w:szCs w:val="17"/>
          <w:color w:val="auto"/>
        </w:rPr>
        <w:t>” and the record holder of the Offered Shares will be hereinafter referred to as the “</w:t>
      </w:r>
      <w:r>
        <w:rPr>
          <w:rFonts w:ascii="Arial" w:cs="Arial" w:eastAsia="Arial" w:hAnsi="Arial"/>
          <w:sz w:val="17"/>
          <w:szCs w:val="17"/>
          <w:b w:val="1"/>
          <w:bCs w:val="1"/>
          <w:i w:val="1"/>
          <w:iCs w:val="1"/>
          <w:color w:val="auto"/>
        </w:rPr>
        <w:t>Offeror</w:t>
      </w:r>
      <w:r>
        <w:rPr>
          <w:rFonts w:ascii="Arial" w:cs="Arial" w:eastAsia="Arial" w:hAnsi="Arial"/>
          <w:sz w:val="17"/>
          <w:szCs w:val="17"/>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69" w:right="499" w:bottom="1440" w:gutter="0" w:footer="0" w:header="0"/>
        </w:sectPr>
      </w:pPr>
    </w:p>
    <w:bookmarkStart w:id="527" w:name="page528"/>
    <w:bookmarkEnd w:id="527"/>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184" w:lineRule="exact"/>
        <w:rPr>
          <w:sz w:val="20"/>
          <w:szCs w:val="20"/>
          <w:color w:val="auto"/>
        </w:rPr>
      </w:pPr>
    </w:p>
    <w:p>
      <w:pPr>
        <w:ind w:right="20" w:firstLine="1428"/>
        <w:spacing w:after="0" w:line="272" w:lineRule="auto"/>
        <w:tabs>
          <w:tab w:leader="none" w:pos="1762"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For a period of 30 calendar days after the Notice Date, or such longer period as may be 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30 days (including any extension required to avoid classification of the option as a liability for financial accounting purposes).</w:t>
      </w:r>
    </w:p>
    <w:p>
      <w:pPr>
        <w:spacing w:after="0" w:line="177" w:lineRule="exact"/>
        <w:rPr>
          <w:rFonts w:ascii="Arial" w:cs="Arial" w:eastAsia="Arial" w:hAnsi="Arial"/>
          <w:sz w:val="17"/>
          <w:szCs w:val="17"/>
          <w:b w:val="1"/>
          <w:bCs w:val="1"/>
          <w:color w:val="auto"/>
        </w:rPr>
      </w:pPr>
    </w:p>
    <w:p>
      <w:pPr>
        <w:ind w:right="100" w:firstLine="1428"/>
        <w:spacing w:after="0" w:line="273" w:lineRule="auto"/>
        <w:tabs>
          <w:tab w:leader="none" w:pos="1762"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The price at which the Company may purchase the Offered Shares pursuant to the exercise of 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77" w:lineRule="exact"/>
        <w:rPr>
          <w:rFonts w:ascii="Arial" w:cs="Arial" w:eastAsia="Arial" w:hAnsi="Arial"/>
          <w:sz w:val="17"/>
          <w:szCs w:val="17"/>
          <w:b w:val="1"/>
          <w:bCs w:val="1"/>
          <w:color w:val="auto"/>
        </w:rPr>
      </w:pPr>
    </w:p>
    <w:p>
      <w:pPr>
        <w:ind w:right="20" w:firstLine="1428"/>
        <w:spacing w:after="0" w:line="273" w:lineRule="auto"/>
        <w:tabs>
          <w:tab w:leader="none" w:pos="1762" w:val="left"/>
        </w:tabs>
        <w:numPr>
          <w:ilvl w:val="1"/>
          <w:numId w:val="280"/>
        </w:numPr>
        <w:rPr>
          <w:rFonts w:ascii="Arial" w:cs="Arial" w:eastAsia="Arial" w:hAnsi="Arial"/>
          <w:sz w:val="17"/>
          <w:szCs w:val="17"/>
          <w:b w:val="1"/>
          <w:bCs w:val="1"/>
          <w:color w:val="auto"/>
        </w:rPr>
      </w:pPr>
      <w:r>
        <w:rPr>
          <w:rFonts w:ascii="Arial" w:cs="Arial" w:eastAsia="Arial" w:hAnsi="Arial"/>
          <w:sz w:val="17"/>
          <w:szCs w:val="17"/>
          <w:color w:val="auto"/>
        </w:rPr>
        <w:t xml:space="preserve">If, and only if, the option given pursuant to Section 11(a)(ii) is not exercised, the Transfer proposed in the notice given pursuant to Section 11(a)(i) may take place;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Transfer must, in all respects, be exactly as proposed in said notice except that such Transfer may not take place either before the 10</w:t>
      </w:r>
      <w:r>
        <w:rPr>
          <w:rFonts w:ascii="Arial" w:cs="Arial" w:eastAsia="Arial" w:hAnsi="Arial"/>
          <w:sz w:val="14"/>
          <w:szCs w:val="14"/>
          <w:color w:val="auto"/>
        </w:rPr>
        <w:t>th</w:t>
      </w:r>
      <w:r>
        <w:rPr>
          <w:rFonts w:ascii="Arial" w:cs="Arial" w:eastAsia="Arial" w:hAnsi="Arial"/>
          <w:sz w:val="17"/>
          <w:szCs w:val="17"/>
          <w:color w:val="auto"/>
        </w:rPr>
        <w:t xml:space="preserve"> calendar day after the expiration of the 30 day option exercise period or after the ninetieth 90</w:t>
      </w:r>
      <w:r>
        <w:rPr>
          <w:rFonts w:ascii="Arial" w:cs="Arial" w:eastAsia="Arial" w:hAnsi="Arial"/>
          <w:sz w:val="14"/>
          <w:szCs w:val="14"/>
          <w:color w:val="auto"/>
        </w:rPr>
        <w:t>th</w:t>
      </w:r>
      <w:r>
        <w:rPr>
          <w:rFonts w:ascii="Arial" w:cs="Arial" w:eastAsia="Arial" w:hAnsi="Arial"/>
          <w:sz w:val="17"/>
          <w:szCs w:val="17"/>
          <w:color w:val="auto"/>
        </w:rPr>
        <w:t xml:space="preserve"> calendar day after the expiration of the 30 day option exercise period, and if such Transfer has not taken place prior to said 90</w:t>
      </w:r>
      <w:r>
        <w:rPr>
          <w:rFonts w:ascii="Arial" w:cs="Arial" w:eastAsia="Arial" w:hAnsi="Arial"/>
          <w:sz w:val="14"/>
          <w:szCs w:val="14"/>
          <w:color w:val="auto"/>
        </w:rPr>
        <w:t>th</w:t>
      </w:r>
      <w:r>
        <w:rPr>
          <w:rFonts w:ascii="Arial" w:cs="Arial" w:eastAsia="Arial" w:hAnsi="Arial"/>
          <w:sz w:val="17"/>
          <w:szCs w:val="17"/>
          <w:color w:val="auto"/>
        </w:rPr>
        <w:t xml:space="preserve">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177" w:lineRule="exact"/>
        <w:rPr>
          <w:rFonts w:ascii="Arial" w:cs="Arial" w:eastAsia="Arial" w:hAnsi="Arial"/>
          <w:sz w:val="17"/>
          <w:szCs w:val="17"/>
          <w:b w:val="1"/>
          <w:bCs w:val="1"/>
          <w:color w:val="auto"/>
        </w:rPr>
      </w:pPr>
    </w:p>
    <w:p>
      <w:pPr>
        <w:ind w:firstLine="987"/>
        <w:spacing w:after="0" w:line="254" w:lineRule="auto"/>
        <w:tabs>
          <w:tab w:leader="none" w:pos="1316"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As used in this Section 11, the term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means any sale, encumbrance, pledge, gift or other form of disposition or transfer of shares of Common Stock or any legal or equitable interest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11. As used herein, the term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pacing w:after="0" w:line="194" w:lineRule="exact"/>
        <w:rPr>
          <w:rFonts w:ascii="Arial" w:cs="Arial" w:eastAsia="Arial" w:hAnsi="Arial"/>
          <w:sz w:val="18"/>
          <w:szCs w:val="18"/>
          <w:b w:val="1"/>
          <w:bCs w:val="1"/>
          <w:color w:val="auto"/>
        </w:rPr>
      </w:pPr>
    </w:p>
    <w:p>
      <w:pPr>
        <w:jc w:val="both"/>
        <w:ind w:right="200" w:firstLine="987"/>
        <w:spacing w:after="0" w:line="259" w:lineRule="auto"/>
        <w:tabs>
          <w:tab w:leader="none" w:pos="1296"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 of stock evidencing shares of Common Stock purchased on exercise of your option will bear an appropriate legend referring to the transfer restrictions imposed by this Section 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28" w:name="page529"/>
    <w:bookmarkEnd w:id="528"/>
    <w:p>
      <w:pPr>
        <w:ind w:left="-20" w:firstLine="987"/>
        <w:spacing w:after="0" w:line="270" w:lineRule="auto"/>
        <w:tabs>
          <w:tab w:leader="none" w:pos="1296" w:val="left"/>
        </w:tabs>
        <w:numPr>
          <w:ilvl w:val="1"/>
          <w:numId w:val="28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ensure that the shares subject to the Company’s Right of First Refusal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30 days after payment by the Company for the Offered Shares, the escrow agent will deliver the Offered Shares that the Company has repurchased to the Company and will deliver the payment received from the Company to you.</w:t>
      </w:r>
    </w:p>
    <w:p>
      <w:pPr>
        <w:spacing w:after="0" w:line="176" w:lineRule="exact"/>
        <w:rPr>
          <w:rFonts w:ascii="Arial" w:cs="Arial" w:eastAsia="Arial" w:hAnsi="Arial"/>
          <w:sz w:val="17"/>
          <w:szCs w:val="17"/>
          <w:b w:val="1"/>
          <w:bCs w:val="1"/>
          <w:color w:val="auto"/>
        </w:rPr>
      </w:pPr>
    </w:p>
    <w:p>
      <w:pPr>
        <w:ind w:left="-20" w:right="120" w:firstLine="436"/>
        <w:spacing w:after="0" w:line="303" w:lineRule="auto"/>
        <w:tabs>
          <w:tab w:leader="none" w:pos="825"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Option not a Service Contract</w:t>
      </w:r>
      <w:r>
        <w:rPr>
          <w:rFonts w:ascii="Arial" w:cs="Arial" w:eastAsia="Arial" w:hAnsi="Arial"/>
          <w:sz w:val="16"/>
          <w:szCs w:val="16"/>
          <w:color w:val="auto"/>
        </w:rPr>
        <w:t>. Your option is not an employment or service contract, and nothing in your option will be deemed to create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58" w:lineRule="exact"/>
        <w:rPr>
          <w:rFonts w:ascii="Arial" w:cs="Arial" w:eastAsia="Arial" w:hAnsi="Arial"/>
          <w:sz w:val="16"/>
          <w:szCs w:val="16"/>
          <w:b w:val="1"/>
          <w:bCs w:val="1"/>
          <w:color w:val="auto"/>
        </w:rPr>
      </w:pPr>
    </w:p>
    <w:p>
      <w:pPr>
        <w:ind w:left="820" w:hanging="404"/>
        <w:spacing w:after="0"/>
        <w:tabs>
          <w:tab w:leader="none" w:pos="8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40" w:firstLine="987"/>
        <w:spacing w:after="0" w:line="257" w:lineRule="auto"/>
        <w:tabs>
          <w:tab w:leader="none" w:pos="1286"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7" w:lineRule="exact"/>
        <w:rPr>
          <w:rFonts w:ascii="Arial" w:cs="Arial" w:eastAsia="Arial" w:hAnsi="Arial"/>
          <w:sz w:val="18"/>
          <w:szCs w:val="18"/>
          <w:b w:val="1"/>
          <w:bCs w:val="1"/>
          <w:color w:val="auto"/>
        </w:rPr>
      </w:pPr>
    </w:p>
    <w:p>
      <w:pPr>
        <w:ind w:left="-20" w:right="20" w:firstLine="987"/>
        <w:spacing w:after="0" w:line="269" w:lineRule="auto"/>
        <w:tabs>
          <w:tab w:leader="none" w:pos="1296" w:val="left"/>
        </w:tabs>
        <w:numPr>
          <w:ilvl w:val="1"/>
          <w:numId w:val="283"/>
        </w:numPr>
        <w:rPr>
          <w:rFonts w:ascii="Arial" w:cs="Arial" w:eastAsia="Arial" w:hAnsi="Arial"/>
          <w:sz w:val="17"/>
          <w:szCs w:val="17"/>
          <w:b w:val="1"/>
          <w:bCs w:val="1"/>
          <w:color w:val="auto"/>
        </w:rPr>
      </w:pPr>
      <w:r>
        <w:rPr>
          <w:rFonts w:ascii="Arial" w:cs="Arial" w:eastAsia="Arial" w:hAnsi="Arial"/>
          <w:sz w:val="17"/>
          <w:szCs w:val="17"/>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3" w:right="459" w:bottom="1440" w:gutter="0" w:footer="0" w:header="0"/>
        </w:sectPr>
      </w:pPr>
    </w:p>
    <w:bookmarkStart w:id="529" w:name="page530"/>
    <w:bookmarkEnd w:id="529"/>
    <w:p>
      <w:pPr>
        <w:ind w:left="-20" w:right="60" w:firstLine="987"/>
        <w:spacing w:after="0" w:line="259" w:lineRule="auto"/>
        <w:tabs>
          <w:tab w:leader="none" w:pos="1276"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82" w:lineRule="exact"/>
        <w:rPr>
          <w:rFonts w:ascii="Arial" w:cs="Arial" w:eastAsia="Arial" w:hAnsi="Arial"/>
          <w:sz w:val="18"/>
          <w:szCs w:val="18"/>
          <w:b w:val="1"/>
          <w:bCs w:val="1"/>
          <w:color w:val="auto"/>
        </w:rPr>
      </w:pPr>
    </w:p>
    <w:p>
      <w:pPr>
        <w:ind w:left="-20" w:firstLine="436"/>
        <w:spacing w:after="0" w:line="270" w:lineRule="auto"/>
        <w:tabs>
          <w:tab w:leader="none" w:pos="822"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Tax Consequences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76" w:lineRule="exact"/>
        <w:rPr>
          <w:rFonts w:ascii="Arial" w:cs="Arial" w:eastAsia="Arial" w:hAnsi="Arial"/>
          <w:sz w:val="17"/>
          <w:szCs w:val="17"/>
          <w:b w:val="1"/>
          <w:bCs w:val="1"/>
          <w:color w:val="auto"/>
        </w:rPr>
      </w:pPr>
    </w:p>
    <w:p>
      <w:pPr>
        <w:ind w:left="-20" w:right="420" w:firstLine="436"/>
        <w:spacing w:after="0" w:line="294" w:lineRule="auto"/>
        <w:tabs>
          <w:tab w:leader="none" w:pos="825"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notices provided for in your option or the Plan will be given in writing (including electronically) and will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59" w:lineRule="exact"/>
        <w:rPr>
          <w:rFonts w:ascii="Arial" w:cs="Arial" w:eastAsia="Arial" w:hAnsi="Arial"/>
          <w:sz w:val="16"/>
          <w:szCs w:val="16"/>
          <w:b w:val="1"/>
          <w:bCs w:val="1"/>
          <w:color w:val="auto"/>
        </w:rPr>
      </w:pPr>
    </w:p>
    <w:p>
      <w:pPr>
        <w:ind w:left="-20" w:right="100" w:firstLine="436"/>
        <w:spacing w:after="0" w:line="314" w:lineRule="auto"/>
        <w:tabs>
          <w:tab w:leader="none" w:pos="825"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Plan Document</w:t>
      </w:r>
      <w:r>
        <w:rPr>
          <w:rFonts w:ascii="Arial" w:cs="Arial" w:eastAsia="Arial" w:hAnsi="Arial"/>
          <w:sz w:val="16"/>
          <w:szCs w:val="16"/>
          <w:color w:val="auto"/>
        </w:rPr>
        <w:t>. Your option is subject to all the provisions of the Plan, the provisions of which are hereby made a part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3" w:right="479" w:bottom="1440" w:gutter="0" w:footer="0" w:header="0"/>
        </w:sectPr>
      </w:pPr>
    </w:p>
    <w:bookmarkStart w:id="530" w:name="page531"/>
    <w:bookmarkEnd w:id="53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NOTICE OF EXERCISE</w:t>
      </w:r>
    </w:p>
    <w:p>
      <w:pPr>
        <w:spacing w:after="0" w:line="207"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 xml:space="preserve">This constitutes notice to </w:t>
      </w:r>
      <w:r>
        <w:rPr>
          <w:rFonts w:ascii="Arial" w:cs="Arial" w:eastAsia="Arial" w:hAnsi="Arial"/>
          <w:sz w:val="18"/>
          <w:szCs w:val="18"/>
          <w:b w:val="1"/>
          <w:bCs w:val="1"/>
          <w:color w:val="auto"/>
        </w:rPr>
        <w:t>Taysha Gene Therapies,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Option Information</w:t>
      </w:r>
    </w:p>
    <w:p>
      <w:pPr>
        <w:spacing w:after="0" w:line="196" w:lineRule="exact"/>
        <w:rPr>
          <w:sz w:val="20"/>
          <w:szCs w:val="20"/>
          <w:color w:val="auto"/>
        </w:rPr>
      </w:pPr>
    </w:p>
    <w:p>
      <w:pPr>
        <w:ind w:left="4"/>
        <w:spacing w:after="0" w:line="207" w:lineRule="exact"/>
        <w:tabs>
          <w:tab w:leader="none" w:pos="6644" w:val="left"/>
          <w:tab w:leader="none" w:pos="7924" w:val="left"/>
        </w:tabs>
        <w:rPr>
          <w:sz w:val="20"/>
          <w:szCs w:val="20"/>
          <w:color w:val="auto"/>
        </w:rPr>
      </w:pPr>
      <w:r>
        <w:rPr>
          <w:rFonts w:ascii="Arial" w:cs="Arial" w:eastAsia="Arial" w:hAnsi="Arial"/>
          <w:sz w:val="18"/>
          <w:szCs w:val="18"/>
          <w:color w:val="auto"/>
        </w:rPr>
        <w:t>Type of option (check one):</w:t>
      </w:r>
      <w:r>
        <w:rPr>
          <w:sz w:val="20"/>
          <w:szCs w:val="20"/>
          <w:color w:val="auto"/>
        </w:rPr>
        <w:tab/>
      </w:r>
      <w:r>
        <w:rPr>
          <w:rFonts w:ascii="Arial" w:cs="Arial" w:eastAsia="Arial" w:hAnsi="Arial"/>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Nonstatutory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35560</wp:posOffset>
            </wp:positionV>
            <wp:extent cx="398589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option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10160</wp:posOffset>
            </wp:positionV>
            <wp:extent cx="398589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Certificates to be issued in name of:</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Exercise Information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Cash:</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14605</wp:posOffset>
            </wp:positionV>
            <wp:extent cx="398589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tbl>
      <w:tblPr>
        <w:tblLayout w:type="fixed"/>
        <w:tblInd w:w="36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w w:val="90"/>
              </w:rPr>
              <w:t>Value of</w:t>
            </w: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w w:val="89"/>
              </w:rPr>
              <w:t>Shares delivered with this notice:</w:t>
            </w:r>
            <w:r>
              <w:rPr>
                <w:rFonts w:ascii="Arial" w:cs="Arial" w:eastAsia="Arial" w:hAnsi="Arial"/>
                <w:sz w:val="15"/>
                <w:szCs w:val="15"/>
                <w:color w:val="auto"/>
                <w:w w:val="89"/>
              </w:rPr>
              <w:t>6</w:t>
            </w:r>
          </w:p>
        </w:tc>
      </w:tr>
      <w:tr>
        <w:trPr>
          <w:trHeight w:val="223"/>
        </w:trPr>
        <w:tc>
          <w:tcPr>
            <w:tcW w:w="640" w:type="dxa"/>
            <w:vAlign w:val="bottom"/>
          </w:tcPr>
          <w:p>
            <w:pPr>
              <w:spacing w:after="0"/>
              <w:rPr>
                <w:sz w:val="20"/>
                <w:szCs w:val="20"/>
                <w:color w:val="auto"/>
              </w:rPr>
            </w:pPr>
            <w:r>
              <w:rPr>
                <w:rFonts w:ascii="Arial" w:cs="Arial" w:eastAsia="Arial" w:hAnsi="Arial"/>
                <w:sz w:val="18"/>
                <w:szCs w:val="18"/>
                <w:color w:val="auto"/>
                <w:w w:val="90"/>
              </w:rPr>
              <w:t>Value of</w:t>
            </w:r>
          </w:p>
        </w:tc>
        <w:tc>
          <w:tcPr>
            <w:tcW w:w="900" w:type="dxa"/>
            <w:vAlign w:val="bottom"/>
          </w:tcPr>
          <w:p>
            <w:pPr>
              <w:spacing w:after="0"/>
              <w:rPr>
                <w:sz w:val="19"/>
                <w:szCs w:val="19"/>
                <w:color w:val="auto"/>
              </w:rPr>
            </w:pPr>
          </w:p>
        </w:tc>
        <w:tc>
          <w:tcPr>
            <w:tcW w:w="2560" w:type="dxa"/>
            <w:vAlign w:val="bottom"/>
            <w:gridSpan w:val="2"/>
          </w:tcPr>
          <w:p>
            <w:pPr>
              <w:ind w:left="40"/>
              <w:spacing w:after="0"/>
              <w:rPr>
                <w:sz w:val="20"/>
                <w:szCs w:val="20"/>
                <w:color w:val="auto"/>
              </w:rPr>
            </w:pPr>
            <w:r>
              <w:rPr>
                <w:rFonts w:ascii="Arial" w:cs="Arial" w:eastAsia="Arial" w:hAnsi="Arial"/>
                <w:sz w:val="18"/>
                <w:szCs w:val="18"/>
                <w:color w:val="auto"/>
                <w:w w:val="93"/>
              </w:rPr>
              <w:t>Shares pursuant to net exercise:</w:t>
            </w:r>
            <w:r>
              <w:rPr>
                <w:rFonts w:ascii="Arial" w:cs="Arial" w:eastAsia="Arial" w:hAnsi="Arial"/>
                <w:sz w:val="15"/>
                <w:szCs w:val="15"/>
                <w:color w:val="auto"/>
                <w:w w:val="93"/>
              </w:rPr>
              <w:t>7</w:t>
            </w: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3008630</wp:posOffset>
            </wp:positionH>
            <wp:positionV relativeFrom="paragraph">
              <wp:posOffset>-136525</wp:posOffset>
            </wp:positionV>
            <wp:extent cx="398589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3008630</wp:posOffset>
            </wp:positionH>
            <wp:positionV relativeFrom="paragraph">
              <wp:posOffset>17145</wp:posOffset>
            </wp:positionV>
            <wp:extent cx="398589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36"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By this exercise, I agree (i) to provide such additional documents as you may require pursuant to the terms of the 2020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166"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70"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I acknowledge that the Shares have not been registered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7152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5" w:lineRule="exact"/>
        <w:rPr>
          <w:sz w:val="20"/>
          <w:szCs w:val="20"/>
          <w:color w:val="auto"/>
        </w:rPr>
      </w:pPr>
    </w:p>
    <w:p>
      <w:pPr>
        <w:ind w:left="424" w:hanging="424"/>
        <w:spacing w:after="0"/>
        <w:tabs>
          <w:tab w:leader="none" w:pos="424" w:val="left"/>
        </w:tabs>
        <w:numPr>
          <w:ilvl w:val="0"/>
          <w:numId w:val="286"/>
        </w:numPr>
        <w:rPr>
          <w:rFonts w:ascii="Arial" w:cs="Arial" w:eastAsia="Arial" w:hAnsi="Arial"/>
          <w:sz w:val="15"/>
          <w:szCs w:val="15"/>
          <w:color w:val="auto"/>
        </w:rPr>
      </w:pPr>
      <w:r>
        <w:rPr>
          <w:rFonts w:ascii="Arial" w:cs="Arial" w:eastAsia="Arial" w:hAnsi="Arial"/>
          <w:sz w:val="18"/>
          <w:szCs w:val="18"/>
          <w:color w:val="auto"/>
        </w:rPr>
        <w:t>If left blank, will be issued in the name of the option holder.</w:t>
      </w:r>
    </w:p>
    <w:p>
      <w:pPr>
        <w:spacing w:after="0" w:line="22"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5"/>
          <w:szCs w:val="15"/>
          <w:color w:val="auto"/>
        </w:rPr>
      </w:pPr>
      <w:r>
        <w:rPr>
          <w:rFonts w:ascii="Arial" w:cs="Arial" w:eastAsia="Arial" w:hAnsi="Arial"/>
          <w:sz w:val="18"/>
          <w:szCs w:val="18"/>
          <w:color w:val="auto"/>
        </w:rPr>
        <w:t>Cash may be in the form of cash, check, bank draft, electronic funds transfer or money order payment.</w:t>
      </w:r>
    </w:p>
    <w:p>
      <w:pPr>
        <w:spacing w:after="0" w:line="9" w:lineRule="exact"/>
        <w:rPr>
          <w:sz w:val="20"/>
          <w:szCs w:val="20"/>
          <w:color w:val="auto"/>
        </w:rPr>
      </w:pPr>
    </w:p>
    <w:p>
      <w:pPr>
        <w:ind w:left="424" w:hanging="424"/>
        <w:spacing w:after="0"/>
        <w:tabs>
          <w:tab w:leader="none" w:pos="424" w:val="left"/>
        </w:tabs>
        <w:numPr>
          <w:ilvl w:val="0"/>
          <w:numId w:val="288"/>
        </w:numPr>
        <w:rPr>
          <w:rFonts w:ascii="Arial" w:cs="Arial" w:eastAsia="Arial" w:hAnsi="Arial"/>
          <w:sz w:val="14"/>
          <w:szCs w:val="14"/>
          <w:color w:val="auto"/>
        </w:rPr>
      </w:pPr>
      <w:r>
        <w:rPr>
          <w:rFonts w:ascii="Arial" w:cs="Arial" w:eastAsia="Arial" w:hAnsi="Arial"/>
          <w:sz w:val="17"/>
          <w:szCs w:val="17"/>
          <w:color w:val="auto"/>
        </w:rPr>
        <w:t>Subject to Company and/or Board consent and must meet the public trading and other requirements set forth in the Option Agreement.</w:t>
      </w:r>
    </w:p>
    <w:p>
      <w:pPr>
        <w:spacing w:after="0" w:line="21" w:lineRule="exact"/>
        <w:rPr>
          <w:sz w:val="20"/>
          <w:szCs w:val="20"/>
          <w:color w:val="auto"/>
        </w:rPr>
      </w:pPr>
    </w:p>
    <w:p>
      <w:pPr>
        <w:ind w:left="424" w:hanging="424"/>
        <w:spacing w:after="0"/>
        <w:tabs>
          <w:tab w:leader="none" w:pos="424" w:val="left"/>
        </w:tabs>
        <w:numPr>
          <w:ilvl w:val="0"/>
          <w:numId w:val="289"/>
        </w:numPr>
        <w:rPr>
          <w:rFonts w:ascii="Arial" w:cs="Arial" w:eastAsia="Arial" w:hAnsi="Arial"/>
          <w:sz w:val="13"/>
          <w:szCs w:val="13"/>
          <w:color w:val="auto"/>
        </w:rPr>
      </w:pPr>
      <w:r>
        <w:rPr>
          <w:rFonts w:ascii="Arial" w:cs="Arial" w:eastAsia="Arial" w:hAnsi="Arial"/>
          <w:sz w:val="16"/>
          <w:szCs w:val="16"/>
          <w:color w:val="auto"/>
        </w:rPr>
        <w:t>Subject to Company and/or Board consent and must meet the public trading and other requirements set forth in the Option Agreement. Shares</w:t>
      </w:r>
    </w:p>
    <w:p>
      <w:pPr>
        <w:spacing w:after="0" w:line="33" w:lineRule="exact"/>
        <w:rPr>
          <w:sz w:val="20"/>
          <w:szCs w:val="20"/>
          <w:color w:val="auto"/>
        </w:rPr>
      </w:pPr>
    </w:p>
    <w:p>
      <w:pPr>
        <w:ind w:left="424" w:right="140"/>
        <w:spacing w:after="0" w:line="264" w:lineRule="auto"/>
        <w:rPr>
          <w:sz w:val="20"/>
          <w:szCs w:val="20"/>
          <w:color w:val="auto"/>
        </w:rPr>
      </w:pPr>
      <w:r>
        <w:rPr>
          <w:rFonts w:ascii="Arial" w:cs="Arial" w:eastAsia="Arial" w:hAnsi="Arial"/>
          <w:sz w:val="17"/>
          <w:szCs w:val="17"/>
          <w:color w:val="auto"/>
        </w:rPr>
        <w:t>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1" w:lineRule="exact"/>
        <w:rPr>
          <w:sz w:val="20"/>
          <w:szCs w:val="20"/>
          <w:color w:val="auto"/>
        </w:rPr>
      </w:pPr>
    </w:p>
    <w:p>
      <w:pPr>
        <w:ind w:left="424" w:hanging="424"/>
        <w:spacing w:after="0"/>
        <w:tabs>
          <w:tab w:leader="none" w:pos="424" w:val="left"/>
        </w:tabs>
        <w:numPr>
          <w:ilvl w:val="0"/>
          <w:numId w:val="290"/>
        </w:numPr>
        <w:rPr>
          <w:rFonts w:ascii="Arial" w:cs="Arial" w:eastAsia="Arial" w:hAnsi="Arial"/>
          <w:sz w:val="15"/>
          <w:szCs w:val="15"/>
          <w:color w:val="auto"/>
        </w:rPr>
      </w:pPr>
      <w:r>
        <w:rPr>
          <w:rFonts w:ascii="Arial" w:cs="Arial" w:eastAsia="Arial" w:hAnsi="Arial"/>
          <w:sz w:val="18"/>
          <w:szCs w:val="18"/>
          <w:color w:val="auto"/>
        </w:rPr>
        <w:t>Subject to Company and/or Board consent and must be a Nonstatutory Option.</w:t>
      </w:r>
    </w:p>
    <w:p>
      <w:pPr>
        <w:sectPr>
          <w:pgSz w:w="11900" w:h="16838" w:orient="portrait"/>
          <w:cols w:equalWidth="0" w:num="1">
            <w:col w:w="10984"/>
          </w:cols>
          <w:pgMar w:left="436" w:top="269" w:right="479" w:bottom="1440" w:gutter="0" w:footer="0" w:header="0"/>
        </w:sectPr>
      </w:pPr>
    </w:p>
    <w:bookmarkStart w:id="531" w:name="page532"/>
    <w:bookmarkEnd w:id="531"/>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Arial" w:cs="Arial" w:eastAsia="Arial" w:hAnsi="Arial"/>
          <w:sz w:val="17"/>
          <w:szCs w:val="17"/>
          <w:b w:val="1"/>
          <w:bCs w:val="1"/>
          <w:i w:val="1"/>
          <w:iCs w:val="1"/>
          <w:color w:val="auto"/>
        </w:rPr>
        <w:t>Inspection Rights</w:t>
      </w:r>
      <w:r>
        <w:rPr>
          <w:rFonts w:ascii="Arial" w:cs="Arial" w:eastAsia="Arial" w:hAnsi="Arial"/>
          <w:sz w:val="17"/>
          <w:szCs w:val="17"/>
          <w:color w:val="auto"/>
        </w:rPr>
        <w:t>”). I hereby covenant and agree never to directly or indirectly commence, voluntarily aid in any way, prosecute, assign, transfer, or cause to be commenced any claim, action, cause of action, or other proceeding to pursue or exercise the Inspection Rights.</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 further acknowledge that I will not be able to resell the Shares for at least 90 days after the stock of the Company becomes publicly traded (</w:t>
      </w:r>
      <w:r>
        <w:rPr>
          <w:rFonts w:ascii="Arial" w:cs="Arial" w:eastAsia="Arial" w:hAnsi="Arial"/>
          <w:sz w:val="18"/>
          <w:szCs w:val="18"/>
          <w:i w:val="1"/>
          <w:iCs w:val="1"/>
          <w:color w:val="auto"/>
        </w:rPr>
        <w:t>i.e.,</w:t>
      </w:r>
      <w:r>
        <w:rPr>
          <w:rFonts w:ascii="Arial" w:cs="Arial" w:eastAsia="Arial" w:hAnsi="Arial"/>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offering of any securities of the Company under the Securities Act, I will not sell, dispose of, transfer, make any short sale of, grant any option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of, or enter into any hedging or similar transaction with the same economic effect as a sale with respect to any shares of Common Stock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securities of the Company for a period of 180 days following the effective date of a registration statement of the Company filed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(or such longer period as the underwriters or the Company will request to facilitate compliance with applicable FINRA rules)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I further agree to execute and deliver such other agreements as may be reasonably requested by the Company or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are consistent with the foregoing or that are necessary to give further effect thereto. In order to enforce the foregoing covenant, the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impose stop-transfer instructions with respect to securities subject to the foregoing restrictions until the end of such period. I further agree that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obligations contained in this paragraph shall also, if so determined by the Company’s Board of Directors, apply in the Company’s initial listing of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on a national securities exchange by means of a registration statement on Form S-1 under the Securities Act (or any successor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form under the Securities Act subsequently adopted by the Securities and Exchange Commission) filed by the Company with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Exchange Commission that registers shares of existing capital stock of the Company for resale (a “</w:t>
      </w:r>
      <w:r>
        <w:rPr>
          <w:rFonts w:ascii="Arial" w:cs="Arial" w:eastAsia="Arial" w:hAnsi="Arial"/>
          <w:sz w:val="16"/>
          <w:szCs w:val="16"/>
          <w:b w:val="1"/>
          <w:bCs w:val="1"/>
          <w:i w:val="1"/>
          <w:iCs w:val="1"/>
          <w:color w:val="auto"/>
        </w:rPr>
        <w:t>Direct Listing</w:t>
      </w:r>
      <w:r>
        <w:rPr>
          <w:rFonts w:ascii="Arial" w:cs="Arial" w:eastAsia="Arial" w:hAnsi="Arial"/>
          <w:sz w:val="16"/>
          <w:szCs w:val="16"/>
          <w:color w:val="auto"/>
        </w:rPr>
        <w:t>”), provided that all holders of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5% of the Company’s outstanding Common Stock (after giving effect to the conversion into Common Stock of any outstanding Preferred Stock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are subject to substantially similar obligations with respect to such Direct Listing.</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306070</wp:posOffset>
            </wp:positionV>
            <wp:extent cx="297434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288925</wp:posOffset>
            </wp:positionV>
            <wp:extent cx="297434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Name (Please Print)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14605</wp:posOffset>
            </wp:positionV>
            <wp:extent cx="297434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168910</wp:posOffset>
            </wp:positionV>
            <wp:extent cx="297434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323215</wp:posOffset>
            </wp:positionV>
            <wp:extent cx="297434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14605</wp:posOffset>
            </wp:positionV>
            <wp:extent cx="297434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ectPr>
          <w:pgSz w:w="11900" w:h="16838" w:orient="portrait"/>
          <w:cols w:equalWidth="0" w:num="1">
            <w:col w:w="11000"/>
          </w:cols>
          <w:pgMar w:left="440" w:top="273" w:right="459" w:bottom="1440" w:gutter="0" w:footer="0" w:header="0"/>
        </w:sectPr>
      </w:pPr>
    </w:p>
    <w:bookmarkStart w:id="532" w:name="page533"/>
    <w:bookmarkEnd w:id="5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EARLY EXERCISE STOCK PURCHASE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2020 EQUITY INCENTIVE PLAN</w:t>
      </w:r>
    </w:p>
    <w:p>
      <w:pPr>
        <w:spacing w:after="0" w:line="207"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by and between</w:t>
      </w:r>
      <w:r>
        <w:rPr>
          <w:rFonts w:ascii="Arial" w:cs="Arial" w:eastAsia="Arial" w:hAnsi="Arial"/>
          <w:sz w:val="18"/>
          <w:szCs w:val="18"/>
          <w:b w:val="1"/>
          <w:bCs w:val="1"/>
          <w:color w:val="auto"/>
        </w:rPr>
        <w:t xml:space="preserve"> Taysha Gene Therapies,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signature page hereto as a Purchaser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tabs>
          <w:tab w:leader="none" w:pos="780" w:val="left"/>
          <w:tab w:leader="none" w:pos="4760" w:val="left"/>
          <w:tab w:leader="none" w:pos="66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Purchaser holds a stock option, granted on</w:t>
      </w:r>
      <w:r>
        <w:rPr>
          <w:sz w:val="20"/>
          <w:szCs w:val="20"/>
          <w:color w:val="auto"/>
        </w:rPr>
        <w:tab/>
      </w:r>
      <w:r>
        <w:rPr>
          <w:rFonts w:ascii="Arial" w:cs="Arial" w:eastAsia="Arial" w:hAnsi="Arial"/>
          <w:sz w:val="18"/>
          <w:szCs w:val="18"/>
          <w:color w:val="auto"/>
        </w:rPr>
        <w:t>, to purchase</w:t>
      </w:r>
      <w:r>
        <w:rPr>
          <w:sz w:val="20"/>
          <w:szCs w:val="20"/>
          <w:color w:val="auto"/>
        </w:rPr>
        <w:tab/>
      </w:r>
      <w:r>
        <w:rPr>
          <w:rFonts w:ascii="Arial" w:cs="Arial" w:eastAsia="Arial" w:hAnsi="Arial"/>
          <w:sz w:val="16"/>
          <w:szCs w:val="16"/>
          <w:color w:val="auto"/>
        </w:rPr>
        <w:t>shares of common stock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pursuant to the Company’s 2020 Equity Incentive Plan (as amended and/or restated,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211" w:lineRule="exact"/>
        <w:rPr>
          <w:sz w:val="20"/>
          <w:szCs w:val="20"/>
          <w:color w:val="auto"/>
        </w:rPr>
      </w:pPr>
    </w:p>
    <w:p>
      <w:pPr>
        <w:ind w:left="780" w:hanging="344"/>
        <w:spacing w:after="0"/>
        <w:tabs>
          <w:tab w:leader="none" w:pos="78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The Option consists of a Stock Option Grant Notice and a Stock Option Agreement.</w:t>
      </w:r>
    </w:p>
    <w:p>
      <w:pPr>
        <w:spacing w:after="0" w:line="225" w:lineRule="exact"/>
        <w:rPr>
          <w:rFonts w:ascii="Arial" w:cs="Arial" w:eastAsia="Arial" w:hAnsi="Arial"/>
          <w:sz w:val="18"/>
          <w:szCs w:val="18"/>
          <w:b w:val="1"/>
          <w:bCs w:val="1"/>
          <w:color w:val="auto"/>
        </w:rPr>
      </w:pPr>
    </w:p>
    <w:p>
      <w:pPr>
        <w:ind w:left="800" w:hanging="364"/>
        <w:spacing w:after="0"/>
        <w:tabs>
          <w:tab w:leader="none" w:pos="800"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Purchaser desires to exercise the Option on the terms and conditions contained herein.</w:t>
      </w:r>
    </w:p>
    <w:p>
      <w:pPr>
        <w:spacing w:after="0" w:line="225" w:lineRule="exact"/>
        <w:rPr>
          <w:rFonts w:ascii="Arial" w:cs="Arial" w:eastAsia="Arial" w:hAnsi="Arial"/>
          <w:sz w:val="18"/>
          <w:szCs w:val="18"/>
          <w:b w:val="1"/>
          <w:bCs w:val="1"/>
          <w:color w:val="auto"/>
        </w:rPr>
      </w:pPr>
    </w:p>
    <w:p>
      <w:pPr>
        <w:ind w:left="440" w:right="680" w:hanging="4"/>
        <w:spacing w:after="0" w:line="498" w:lineRule="auto"/>
        <w:tabs>
          <w:tab w:leader="none" w:pos="795"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t>Purchaser wishes to take advantage of the early exercise provision of Purchaser’s Option and therefore to enter into this Agreement. The parties agree as follows:</w:t>
      </w:r>
    </w:p>
    <w:p>
      <w:pPr>
        <w:spacing w:after="0" w:line="1" w:lineRule="exact"/>
        <w:rPr>
          <w:sz w:val="20"/>
          <w:szCs w:val="20"/>
          <w:color w:val="auto"/>
        </w:rPr>
      </w:pPr>
    </w:p>
    <w:p>
      <w:pPr>
        <w:ind w:firstLine="436"/>
        <w:spacing w:after="0" w:line="258" w:lineRule="auto"/>
        <w:tabs>
          <w:tab w:leader="none" w:pos="845"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Plan and Option by Reference. </w:t>
      </w:r>
      <w:r>
        <w:rPr>
          <w:rFonts w:ascii="Arial" w:cs="Arial" w:eastAsia="Arial" w:hAnsi="Arial"/>
          <w:sz w:val="18"/>
          <w:szCs w:val="18"/>
          <w:color w:val="auto"/>
        </w:rPr>
        <w:t>This Agreement is subject to all of the terms and conditions as set forth in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If there is a conflict between the terms of this Agreement and/or the Option and the terms of the Plan, the terms of the Plan will control. If there is a conflict between the terms of this Agreement and the terms of the Option, the terms of the Option will control. Defined terms not explicitly defined in this Agreement but defined in the Plan will have the same definitions as in the Plan. Defined terms not explicitly defined in this Agreement or the Plan but defined in the Option will have the same definitions as in the Option.</w:t>
      </w:r>
    </w:p>
    <w:p>
      <w:pPr>
        <w:spacing w:after="0" w:line="291" w:lineRule="exact"/>
        <w:rPr>
          <w:rFonts w:ascii="Arial" w:cs="Arial" w:eastAsia="Arial" w:hAnsi="Arial"/>
          <w:sz w:val="18"/>
          <w:szCs w:val="18"/>
          <w:b w:val="1"/>
          <w:bCs w:val="1"/>
          <w:color w:val="auto"/>
        </w:rPr>
      </w:pPr>
    </w:p>
    <w:p>
      <w:pPr>
        <w:ind w:left="840" w:hanging="404"/>
        <w:spacing w:after="0"/>
        <w:tabs>
          <w:tab w:leader="none" w:pos="8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Common Stock.</w:t>
      </w:r>
    </w:p>
    <w:p>
      <w:pPr>
        <w:spacing w:after="0" w:line="117" w:lineRule="exact"/>
        <w:rPr>
          <w:rFonts w:ascii="Arial" w:cs="Arial" w:eastAsia="Arial" w:hAnsi="Arial"/>
          <w:sz w:val="18"/>
          <w:szCs w:val="18"/>
          <w:b w:val="1"/>
          <w:bCs w:val="1"/>
          <w:color w:val="auto"/>
        </w:rPr>
      </w:pPr>
    </w:p>
    <w:p>
      <w:pPr>
        <w:ind w:right="60" w:firstLine="987"/>
        <w:spacing w:after="0" w:line="266" w:lineRule="auto"/>
        <w:tabs>
          <w:tab w:leader="none" w:pos="1296" w:val="left"/>
        </w:tabs>
        <w:numPr>
          <w:ilvl w:val="1"/>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to purchase and sell Common Stock. </w:t>
      </w:r>
      <w:r>
        <w:rPr>
          <w:rFonts w:ascii="Arial" w:cs="Arial" w:eastAsia="Arial" w:hAnsi="Arial"/>
          <w:sz w:val="18"/>
          <w:szCs w:val="18"/>
          <w:color w:val="auto"/>
        </w:rPr>
        <w:t>Purchaser hereby agrees to purchase from the Company, and the Company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sell to Purchaser, shares of the Common Stock of the Company in accordance with the Notice of Exercise duly executed by Purchaser and attached hereto as Exhibit A.</w:t>
      </w:r>
    </w:p>
    <w:p>
      <w:pPr>
        <w:spacing w:after="0" w:line="175" w:lineRule="exact"/>
        <w:rPr>
          <w:rFonts w:ascii="Arial" w:cs="Arial" w:eastAsia="Arial" w:hAnsi="Arial"/>
          <w:sz w:val="18"/>
          <w:szCs w:val="18"/>
          <w:b w:val="1"/>
          <w:bCs w:val="1"/>
          <w:color w:val="auto"/>
        </w:rPr>
      </w:pPr>
    </w:p>
    <w:p>
      <w:pPr>
        <w:ind w:right="60" w:firstLine="987"/>
        <w:spacing w:after="0" w:line="258" w:lineRule="auto"/>
        <w:tabs>
          <w:tab w:leader="none" w:pos="1316" w:val="left"/>
        </w:tabs>
        <w:numPr>
          <w:ilvl w:val="1"/>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The closing hereunder, including payment for and delivery of the Common Stock, will occur at the offices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following the execution of this Agreement, or at such other time and place as the parties may mutually agree;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stockholder approval of the Plan is required before the Option may be exercised, then the Option may not be exercised, and the closing will be delayed, until such stockholder approval is obtained. If such stockholder approval is not obtained within the time limit specified in the Plan, then this Agreement is null and void.</w:t>
      </w:r>
    </w:p>
    <w:p>
      <w:pPr>
        <w:spacing w:after="0" w:line="291" w:lineRule="exact"/>
        <w:rPr>
          <w:rFonts w:ascii="Arial" w:cs="Arial" w:eastAsia="Arial" w:hAnsi="Arial"/>
          <w:sz w:val="18"/>
          <w:szCs w:val="18"/>
          <w:b w:val="1"/>
          <w:bCs w:val="1"/>
          <w:color w:val="auto"/>
        </w:rPr>
      </w:pPr>
    </w:p>
    <w:p>
      <w:pPr>
        <w:ind w:left="840" w:hanging="404"/>
        <w:spacing w:after="0"/>
        <w:tabs>
          <w:tab w:leader="none" w:pos="8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Unvested Share Repurchase Option.</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92"/>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Option</w:t>
      </w:r>
      <w:r>
        <w:rPr>
          <w:rFonts w:ascii="Arial" w:cs="Arial" w:eastAsia="Arial" w:hAnsi="Arial"/>
          <w:sz w:val="17"/>
          <w:szCs w:val="17"/>
          <w:color w:val="auto"/>
        </w:rPr>
        <w:t>. In the event Purchaser’s Continuous Service terminates, then the Company has an irrevocable option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 for a period of six months after</w:t>
      </w:r>
    </w:p>
    <w:p>
      <w:pPr>
        <w:sectPr>
          <w:pgSz w:w="11900" w:h="16838" w:orient="portrait"/>
          <w:cols w:equalWidth="0" w:num="1">
            <w:col w:w="10980"/>
          </w:cols>
          <w:pgMar w:left="440" w:top="269" w:right="479" w:bottom="1440" w:gutter="0" w:footer="0" w:header="0"/>
        </w:sectPr>
      </w:pPr>
    </w:p>
    <w:bookmarkStart w:id="533" w:name="page534"/>
    <w:bookmarkEnd w:id="53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said termination (or in the case of shares issued upon exercise of the Option after such date of termination, within six months after the date of the exercise), or such longer period as may be agreed to by the Company and Purchaser (the “</w:t>
      </w:r>
      <w:r>
        <w:rPr>
          <w:rFonts w:ascii="Arial" w:cs="Arial" w:eastAsia="Arial" w:hAnsi="Arial"/>
          <w:sz w:val="18"/>
          <w:szCs w:val="18"/>
          <w:b w:val="1"/>
          <w:bCs w:val="1"/>
          <w:i w:val="1"/>
          <w:iCs w:val="1"/>
          <w:color w:val="auto"/>
        </w:rPr>
        <w:t>Repurchase Period</w:t>
      </w:r>
      <w:r>
        <w:rPr>
          <w:rFonts w:ascii="Arial" w:cs="Arial" w:eastAsia="Arial" w:hAnsi="Arial"/>
          <w:sz w:val="18"/>
          <w:szCs w:val="18"/>
          <w:color w:val="auto"/>
        </w:rPr>
        <w:t>”), to repurchase from Purchaser or Purchaser’s personal representative, as the case may be, those shares that Purchaser received pursuant to the exercise of the Option that have not as yet vested as of such termination date in accordance with the Vesting Schedule indicated on Purchaser’s Stock Option Grant Notice (the “</w:t>
      </w:r>
      <w:r>
        <w:rPr>
          <w:rFonts w:ascii="Arial" w:cs="Arial" w:eastAsia="Arial" w:hAnsi="Arial"/>
          <w:sz w:val="18"/>
          <w:szCs w:val="18"/>
          <w:b w:val="1"/>
          <w:bCs w:val="1"/>
          <w:i w:val="1"/>
          <w:iCs w:val="1"/>
          <w:color w:val="auto"/>
        </w:rPr>
        <w:t>Unvested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firstLine="987"/>
        <w:spacing w:after="0" w:line="266" w:lineRule="auto"/>
        <w:tabs>
          <w:tab w:leader="none" w:pos="1316"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Repurchase Price. </w:t>
      </w:r>
      <w:r>
        <w:rPr>
          <w:rFonts w:ascii="Arial" w:cs="Arial" w:eastAsia="Arial" w:hAnsi="Arial"/>
          <w:sz w:val="18"/>
          <w:szCs w:val="18"/>
          <w:color w:val="auto"/>
        </w:rPr>
        <w:t>The Company may repurchase all or any of the Unvested Shares at the lower of (i) the Fair Market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such shares (as determined under the Plan) on the date of repurchase, or (ii) the price equal to Purchaser’s Exercise Price for such shares as indicated on Purchaser’s Stock Option Grant Notice.</w:t>
      </w:r>
    </w:p>
    <w:p>
      <w:pPr>
        <w:spacing w:after="0" w:line="175" w:lineRule="exact"/>
        <w:rPr>
          <w:rFonts w:ascii="Arial" w:cs="Arial" w:eastAsia="Arial" w:hAnsi="Arial"/>
          <w:sz w:val="18"/>
          <w:szCs w:val="18"/>
          <w:b w:val="1"/>
          <w:bCs w:val="1"/>
          <w:color w:val="auto"/>
        </w:rPr>
      </w:pPr>
    </w:p>
    <w:p>
      <w:pPr>
        <w:ind w:firstLine="436"/>
        <w:spacing w:after="0" w:line="288" w:lineRule="auto"/>
        <w:tabs>
          <w:tab w:leader="none" w:pos="845"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Repurchase Option. </w:t>
      </w:r>
      <w:r>
        <w:rPr>
          <w:rFonts w:ascii="Arial" w:cs="Arial" w:eastAsia="Arial" w:hAnsi="Arial"/>
          <w:sz w:val="16"/>
          <w:szCs w:val="16"/>
          <w:color w:val="auto"/>
        </w:rPr>
        <w:t>The Repurchase Option will be exercised by written notice signed by such person as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delivered or mailed as provided herein. Such notice will identify the number of shares of Common Stock to be purchased and will notify Purchaser of the time, place and date for settlement of such purchase, which will be scheduled by the Company within the term of the Repurchase Option set forth above. In addition, the Company will be deemed to have exercised the Repurchase Option as of the last day of the Repurchase Period, unless an officer of the Company notifies the holder of the Unvested Shares during the Repurchase Period in writing (delivered or mailed as provided herein) that the Company expressly declines to exercise its Repurchase Option for some or all of the Unvested Shares. The Company will be entitled to pay for any shares of Common Stock purchased pursuant to its Repurchase Option at the Company’s option in cash or by offset against any indebtedness owing to the Company by Purchaser (including without limitation any Promissory Note given in payment for the Common Stock), or by a combination of both. Upon exercise of the Repurchase Option and payment of the purchase price in any of the ways described above, the Company will become the legal and beneficial owner of the Common Stock being repurchased and all rights and interest therein or related thereto, and the Company will have the right to transfer to its own name the Common Stock being repurchased by the Company, without further action by Purchaser.</w:t>
      </w:r>
    </w:p>
    <w:p>
      <w:pPr>
        <w:spacing w:after="0" w:line="163" w:lineRule="exact"/>
        <w:rPr>
          <w:rFonts w:ascii="Arial" w:cs="Arial" w:eastAsia="Arial" w:hAnsi="Arial"/>
          <w:sz w:val="16"/>
          <w:szCs w:val="16"/>
          <w:b w:val="1"/>
          <w:bCs w:val="1"/>
          <w:color w:val="auto"/>
        </w:rPr>
      </w:pPr>
    </w:p>
    <w:p>
      <w:pPr>
        <w:ind w:right="20" w:firstLine="436"/>
        <w:spacing w:after="0" w:line="256" w:lineRule="auto"/>
        <w:tabs>
          <w:tab w:leader="none" w:pos="845"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Adjustments to Common Stock. </w:t>
      </w:r>
      <w:r>
        <w:rPr>
          <w:rFonts w:ascii="Arial" w:cs="Arial" w:eastAsia="Arial" w:hAnsi="Arial"/>
          <w:sz w:val="18"/>
          <w:szCs w:val="18"/>
          <w:color w:val="auto"/>
        </w:rPr>
        <w:t>In the event of a Capitalization Adjustment, then any and all new, substituted or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other property to which Purchaser is entitled by reason of Purchaser’s ownership of Common Stock will be immediately subject to the Repurchase Option and be included in the word “Common Stock” for all purposes of the Repurchase Option with the same force and effect as the shares of the Common Stock presently subject to the Repurchase Option, but only to the extent the Common Stock is, at the time, covered by such Repurchase Option. While the total Option Price will remain the same after each such event, the Option Price per share of Common Stock upon exercise of the Repurchase Option will be appropriately adjusted.</w:t>
      </w:r>
    </w:p>
    <w:p>
      <w:pPr>
        <w:spacing w:after="0" w:line="187" w:lineRule="exact"/>
        <w:rPr>
          <w:rFonts w:ascii="Arial" w:cs="Arial" w:eastAsia="Arial" w:hAnsi="Arial"/>
          <w:sz w:val="18"/>
          <w:szCs w:val="18"/>
          <w:b w:val="1"/>
          <w:bCs w:val="1"/>
          <w:color w:val="auto"/>
        </w:rPr>
      </w:pPr>
    </w:p>
    <w:p>
      <w:pPr>
        <w:ind w:right="160" w:firstLine="436"/>
        <w:spacing w:after="0" w:line="294" w:lineRule="auto"/>
        <w:tabs>
          <w:tab w:leader="none" w:pos="845"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In the event of a Corporate Transaction, then the Repurchase Option may be assigned by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 of the Company (or such successor’s parent company), if any, in connection with such Corporate Transaction. To the extent the Repurchase Option remains in effect following such Corporate Transaction, it will apply to the new capital stock or other property received in exchange for the Common Stock in consummation of the Corporate Transaction, but only to the extent the Common Stock was at the time covered by such right. Appropriate adjustments will be made to the price per share payable upon exercise of the Repurchase Option to reflect the Corporate Transaction upon the Company’s capital structure;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price payable upon exercise of the Repurchase Option remains the same.</w:t>
      </w:r>
    </w:p>
    <w:p>
      <w:pPr>
        <w:spacing w:after="0" w:line="159" w:lineRule="exact"/>
        <w:rPr>
          <w:rFonts w:ascii="Arial" w:cs="Arial" w:eastAsia="Arial" w:hAnsi="Arial"/>
          <w:sz w:val="16"/>
          <w:szCs w:val="16"/>
          <w:b w:val="1"/>
          <w:bCs w:val="1"/>
          <w:color w:val="auto"/>
        </w:rPr>
      </w:pPr>
    </w:p>
    <w:p>
      <w:pPr>
        <w:jc w:val="both"/>
        <w:ind w:right="360" w:firstLine="436"/>
        <w:spacing w:after="0" w:line="266" w:lineRule="auto"/>
        <w:tabs>
          <w:tab w:leader="none" w:pos="845"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Escrow of Unvested Common Stock. </w:t>
      </w:r>
      <w:r>
        <w:rPr>
          <w:rFonts w:ascii="Arial" w:cs="Arial" w:eastAsia="Arial" w:hAnsi="Arial"/>
          <w:sz w:val="18"/>
          <w:szCs w:val="18"/>
          <w:color w:val="auto"/>
        </w:rPr>
        <w:t>As security for Purchaser’s faithful performance of the terms of this Agreement and to insure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for delivery of Purchaser’s Common Stock upon exercise of the Repurchase Option herein provided for, Purchaser agrees, at the closing hereunder,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534" w:name="page535"/>
    <w:bookmarkEnd w:id="534"/>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 to and deposit with the Secretary of the Company or the Secretary’s designee (“</w:t>
      </w:r>
      <w:r>
        <w:rPr>
          <w:rFonts w:ascii="Arial" w:cs="Arial" w:eastAsia="Arial" w:hAnsi="Arial"/>
          <w:sz w:val="17"/>
          <w:szCs w:val="17"/>
          <w:b w:val="1"/>
          <w:bCs w:val="1"/>
          <w:i w:val="1"/>
          <w:iCs w:val="1"/>
          <w:color w:val="auto"/>
        </w:rPr>
        <w:t>Escrow Agent</w:t>
      </w:r>
      <w:r>
        <w:rPr>
          <w:rFonts w:ascii="Arial" w:cs="Arial" w:eastAsia="Arial" w:hAnsi="Arial"/>
          <w:sz w:val="17"/>
          <w:szCs w:val="17"/>
          <w:color w:val="auto"/>
        </w:rPr>
        <w:t>”), as Escrow Agent in this transaction, three stock assignments duly endorsed (with date and number of shares blank) in the form attached hereto as Exhibit B, together with a certificate or certificates evidencing all of the Common Stock subject to the Repurchase Option; said documents are to be held by the Escrow Agent and delivered by said Escrow Agent pursuant to the Joint Escrow Instructions of the Company and Purchaser set forth in Exhibit C, attached hereto and incorporated by this reference, which instructions also will be delivered to the Escrow Agent at the closing hereunder.</w:t>
      </w:r>
    </w:p>
    <w:p>
      <w:pPr>
        <w:spacing w:after="0" w:line="172" w:lineRule="exact"/>
        <w:rPr>
          <w:sz w:val="20"/>
          <w:szCs w:val="20"/>
          <w:color w:val="auto"/>
        </w:rPr>
      </w:pPr>
    </w:p>
    <w:p>
      <w:pPr>
        <w:ind w:right="20" w:firstLine="436"/>
        <w:spacing w:after="0" w:line="261" w:lineRule="auto"/>
        <w:tabs>
          <w:tab w:leader="none" w:pos="845"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Purchaser. </w:t>
      </w:r>
      <w:r>
        <w:rPr>
          <w:rFonts w:ascii="Arial" w:cs="Arial" w:eastAsia="Arial" w:hAnsi="Arial"/>
          <w:sz w:val="18"/>
          <w:szCs w:val="18"/>
          <w:color w:val="auto"/>
        </w:rPr>
        <w:t>Subject to the provisions of the Option, Purchaser will exercise all rights and privileges of a stockholder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shares deposited in escrow. Purchaser will be deemed to be the holder of the shares for purposes of receiving any dividends that may be paid with respect to such shares and for purposes of exercising any voting rights relating to such shares, even if some or all of such shares have not yet vested and been released from the Company’s Repurchase Option.</w:t>
      </w:r>
    </w:p>
    <w:p>
      <w:pPr>
        <w:spacing w:after="0" w:line="179" w:lineRule="exact"/>
        <w:rPr>
          <w:rFonts w:ascii="Arial" w:cs="Arial" w:eastAsia="Arial" w:hAnsi="Arial"/>
          <w:sz w:val="18"/>
          <w:szCs w:val="18"/>
          <w:b w:val="1"/>
          <w:bCs w:val="1"/>
          <w:color w:val="auto"/>
        </w:rPr>
      </w:pPr>
    </w:p>
    <w:p>
      <w:pPr>
        <w:ind w:firstLine="436"/>
        <w:spacing w:after="0" w:line="256" w:lineRule="auto"/>
        <w:tabs>
          <w:tab w:leader="none" w:pos="845"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Transfer. </w:t>
      </w:r>
      <w:r>
        <w:rPr>
          <w:rFonts w:ascii="Arial" w:cs="Arial" w:eastAsia="Arial" w:hAnsi="Arial"/>
          <w:sz w:val="18"/>
          <w:szCs w:val="18"/>
          <w:color w:val="auto"/>
        </w:rPr>
        <w:t>In addition to any other limitation on transfer created by applicable securities laws, Purchaser will not sell, assign,</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 donate, encumber or otherwise dispose of any interest in the Common Stock while the Common Stock is subject to the Repurchase Option. After any Common Stock has been released from the Repurchase Option, Purchaser will not sell, assign, hypothecate, donate, encumber or otherwise dispose of any interest in the Common Stock except in compliance with the provisions herein and applicable securities laws. Furthermore, the Common Stock is subject to any right of first refusal in favor of the Company or its assignees or other transfer restrictions that may be contained in the Company’s Bylaws.</w:t>
      </w:r>
    </w:p>
    <w:p>
      <w:pPr>
        <w:spacing w:after="0" w:line="187" w:lineRule="exact"/>
        <w:rPr>
          <w:rFonts w:ascii="Arial" w:cs="Arial" w:eastAsia="Arial" w:hAnsi="Arial"/>
          <w:sz w:val="18"/>
          <w:szCs w:val="18"/>
          <w:b w:val="1"/>
          <w:bCs w:val="1"/>
          <w:color w:val="auto"/>
        </w:rPr>
      </w:pPr>
    </w:p>
    <w:p>
      <w:pPr>
        <w:ind w:right="380" w:firstLine="436"/>
        <w:spacing w:after="0" w:line="282" w:lineRule="auto"/>
        <w:tabs>
          <w:tab w:leader="none" w:pos="845"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Legends. </w:t>
      </w:r>
      <w:r>
        <w:rPr>
          <w:rFonts w:ascii="Arial" w:cs="Arial" w:eastAsia="Arial" w:hAnsi="Arial"/>
          <w:sz w:val="18"/>
          <w:szCs w:val="18"/>
          <w:color w:val="auto"/>
        </w:rPr>
        <w:t>All certificates representing the Common Stock will have endorsed thereon legends in substantially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forms (in addition to any other legend which may be required by other agreements between the parties hereto):</w:t>
      </w:r>
    </w:p>
    <w:p>
      <w:pPr>
        <w:spacing w:after="0" w:line="165" w:lineRule="exact"/>
        <w:rPr>
          <w:rFonts w:ascii="Arial" w:cs="Arial" w:eastAsia="Arial" w:hAnsi="Arial"/>
          <w:sz w:val="18"/>
          <w:szCs w:val="18"/>
          <w:b w:val="1"/>
          <w:bCs w:val="1"/>
          <w:color w:val="auto"/>
        </w:rPr>
      </w:pPr>
    </w:p>
    <w:p>
      <w:pPr>
        <w:jc w:val="both"/>
        <w:ind w:right="160" w:firstLine="987"/>
        <w:spacing w:after="0" w:line="279" w:lineRule="auto"/>
        <w:tabs>
          <w:tab w:leader="none" w:pos="1306" w:val="left"/>
        </w:tabs>
        <w:numPr>
          <w:ilvl w:val="1"/>
          <w:numId w:val="295"/>
        </w:numPr>
        <w:rPr>
          <w:rFonts w:ascii="Arial" w:cs="Arial" w:eastAsia="Arial" w:hAnsi="Arial"/>
          <w:sz w:val="17"/>
          <w:szCs w:val="17"/>
          <w:b w:val="1"/>
          <w:bCs w:val="1"/>
          <w:color w:val="auto"/>
        </w:rPr>
      </w:pPr>
      <w:r>
        <w:rPr>
          <w:rFonts w:ascii="Arial" w:cs="Arial" w:eastAsia="Arial" w:hAnsi="Arial"/>
          <w:sz w:val="17"/>
          <w:szCs w:val="17"/>
          <w:color w:val="auto"/>
        </w:rPr>
        <w:t>“THE SHARES REPRESENTED BY THIS CERTIFICATE ARE SUBJECT TO AN OPTION SET FORTH IN AN AGREEMENT BETWEEN THE COMPANY AND THE REGISTERED HOLDER, OR SUCH HOLDER’S PREDECESSOR IN INTEREST, A COPY OF WHICH IS ON FILE AT THE PRINCIPAL OFFICE OF THIS COMPANY. ANY TRANSFER OR ATTEMPTED TRANSFER OF ANY SHARES SUBJECT TO SUCH OPTION IS VOID WITHOUT THE PRIOR EXPRESS WRITTEN CONSENT OF THE COMPANY.”</w:t>
      </w:r>
    </w:p>
    <w:p>
      <w:pPr>
        <w:spacing w:after="0" w:line="171" w:lineRule="exact"/>
        <w:rPr>
          <w:rFonts w:ascii="Arial" w:cs="Arial" w:eastAsia="Arial" w:hAnsi="Arial"/>
          <w:sz w:val="17"/>
          <w:szCs w:val="17"/>
          <w:b w:val="1"/>
          <w:bCs w:val="1"/>
          <w:color w:val="auto"/>
        </w:rPr>
      </w:pPr>
    </w:p>
    <w:p>
      <w:pPr>
        <w:ind w:right="200" w:firstLine="987"/>
        <w:spacing w:after="0" w:line="259" w:lineRule="auto"/>
        <w:tabs>
          <w:tab w:leader="none" w:pos="1316"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“THE SHARES REPRESENTED BY THIS CERTIFICATE HAVE NOT BEEN REGISTERED UNDER THE SECURITIES ACT OF 1933 AS AMENDED. THEY MAY NOT BE SOLD, OFFERED FOR SALE, PLEDGED OR HYPOTHECATED IN THE ABSENCE OF AN EFFECTIVE REGISTRATION STATEMENT AS TO THE SECURITIES UNDER SAID ACT OR AN OPINION OF COUNSEL SATISFACTORY TO THE COMPANY THAT SUCH REGISTRATION IS NOT REQUIRED.”</w:t>
      </w:r>
    </w:p>
    <w:p>
      <w:pPr>
        <w:spacing w:after="0" w:line="186" w:lineRule="exact"/>
        <w:rPr>
          <w:rFonts w:ascii="Arial" w:cs="Arial" w:eastAsia="Arial" w:hAnsi="Arial"/>
          <w:sz w:val="18"/>
          <w:szCs w:val="18"/>
          <w:b w:val="1"/>
          <w:bCs w:val="1"/>
          <w:color w:val="auto"/>
        </w:rPr>
      </w:pPr>
    </w:p>
    <w:p>
      <w:pPr>
        <w:ind w:right="280" w:firstLine="987"/>
        <w:spacing w:after="0" w:line="263" w:lineRule="auto"/>
        <w:tabs>
          <w:tab w:leader="none" w:pos="1296"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“THE SHARES REPRESENTED BY THIS CERTIFICATE ARE SUBJECT TO A RIGHT OF FIRST REFUSAL OPTION IN FAVOR OF THE COMPANY AND/OR ITS ASSIGNEE(S) AS PROVIDED IN THE BYLAWS OF THE COMPANY AND IN AN AGREEMENT WITH THE COMPANY.”</w:t>
      </w:r>
    </w:p>
    <w:p>
      <w:pPr>
        <w:spacing w:after="0" w:line="179" w:lineRule="exact"/>
        <w:rPr>
          <w:rFonts w:ascii="Arial" w:cs="Arial" w:eastAsia="Arial" w:hAnsi="Arial"/>
          <w:sz w:val="18"/>
          <w:szCs w:val="18"/>
          <w:b w:val="1"/>
          <w:bCs w:val="1"/>
          <w:color w:val="auto"/>
        </w:rPr>
      </w:pPr>
    </w:p>
    <w:p>
      <w:pPr>
        <w:ind w:right="880" w:firstLine="987"/>
        <w:spacing w:after="0" w:line="282" w:lineRule="auto"/>
        <w:tabs>
          <w:tab w:leader="none" w:pos="1316"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 xml:space="preserve">“THE SHARES REPRESENTED BY THIS CERTIFICATE WERE ISSUED PURSUANT TO THE EXERCISE OF </w:t>
      </w:r>
      <w:r>
        <w:rPr>
          <w:rFonts w:ascii="Arial" w:cs="Arial" w:eastAsia="Arial" w:hAnsi="Arial"/>
          <w:sz w:val="18"/>
          <w:szCs w:val="18"/>
          <w:b w:val="1"/>
          <w:bCs w:val="1"/>
          <w:color w:val="auto"/>
        </w:rPr>
        <w:t>[AN</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STOCK OPTION/ A NONSTATUTORY STOCK OPTION]</w:t>
      </w:r>
      <w:r>
        <w:rPr>
          <w:rFonts w:ascii="Arial" w:cs="Arial" w:eastAsia="Arial" w:hAnsi="Arial"/>
          <w:sz w:val="18"/>
          <w:szCs w:val="18"/>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3" w:right="459" w:bottom="1440" w:gutter="0" w:footer="0" w:header="0"/>
        </w:sectPr>
      </w:pPr>
    </w:p>
    <w:bookmarkStart w:id="535" w:name="page536"/>
    <w:bookmarkEnd w:id="535"/>
    <w:p>
      <w:pPr>
        <w:ind w:firstLine="987"/>
        <w:spacing w:after="0" w:line="277" w:lineRule="auto"/>
        <w:tabs>
          <w:tab w:leader="none" w:pos="1296"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BY THIS CERTIFICATE ARE SUBJECT TO A TRANSFER RESTRICTION, AS PROVIDED IN THE BYLAWS OF THE COMPANY.”</w:t>
      </w:r>
    </w:p>
    <w:p>
      <w:pPr>
        <w:spacing w:after="0" w:line="170" w:lineRule="exact"/>
        <w:rPr>
          <w:rFonts w:ascii="Arial" w:cs="Arial" w:eastAsia="Arial" w:hAnsi="Arial"/>
          <w:sz w:val="18"/>
          <w:szCs w:val="18"/>
          <w:b w:val="1"/>
          <w:bCs w:val="1"/>
          <w:color w:val="auto"/>
        </w:rPr>
      </w:pPr>
    </w:p>
    <w:p>
      <w:pPr>
        <w:ind w:left="1280" w:hanging="293"/>
        <w:spacing w:after="0"/>
        <w:tabs>
          <w:tab w:leader="none" w:pos="1280"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Any legend required by appropriate blue sky officials.</w:t>
      </w:r>
    </w:p>
    <w:p>
      <w:pPr>
        <w:spacing w:after="0" w:line="221" w:lineRule="exact"/>
        <w:rPr>
          <w:rFonts w:ascii="Arial" w:cs="Arial" w:eastAsia="Arial" w:hAnsi="Arial"/>
          <w:sz w:val="18"/>
          <w:szCs w:val="18"/>
          <w:b w:val="1"/>
          <w:bCs w:val="1"/>
          <w:color w:val="auto"/>
        </w:rPr>
      </w:pPr>
    </w:p>
    <w:p>
      <w:pPr>
        <w:ind w:left="840" w:hanging="404"/>
        <w:spacing w:after="0"/>
        <w:tabs>
          <w:tab w:leader="none" w:pos="840"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Representations. </w:t>
      </w:r>
      <w:r>
        <w:rPr>
          <w:rFonts w:ascii="Arial" w:cs="Arial" w:eastAsia="Arial" w:hAnsi="Arial"/>
          <w:sz w:val="16"/>
          <w:szCs w:val="16"/>
          <w:color w:val="auto"/>
        </w:rPr>
        <w:t>In connection with the purchase of the Common Stock, Purchaser represents to the Company the following:</w:t>
      </w:r>
    </w:p>
    <w:p>
      <w:pPr>
        <w:spacing w:after="0" w:line="252" w:lineRule="exact"/>
        <w:rPr>
          <w:rFonts w:ascii="Arial" w:cs="Arial" w:eastAsia="Arial" w:hAnsi="Arial"/>
          <w:sz w:val="16"/>
          <w:szCs w:val="16"/>
          <w:b w:val="1"/>
          <w:bCs w:val="1"/>
          <w:color w:val="auto"/>
        </w:rPr>
      </w:pPr>
    </w:p>
    <w:p>
      <w:pPr>
        <w:ind w:right="20" w:firstLine="987"/>
        <w:spacing w:after="0" w:line="259" w:lineRule="auto"/>
        <w:tabs>
          <w:tab w:leader="none" w:pos="1306"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Purchaser is aware of the Company’s business affairs and financial condition and has acquired sufficient information about the Company to reach an informed and knowledgeable decision to acquire the Common Stock. Purchaser is acquiring the Common Stock for investment for Purchaser’s own account only and not with a view to, or for resale in connection with, any “distribution” thereof within the meaning of the Securities Act.</w:t>
      </w:r>
    </w:p>
    <w:p>
      <w:pPr>
        <w:spacing w:after="0" w:line="186" w:lineRule="exact"/>
        <w:rPr>
          <w:rFonts w:ascii="Arial" w:cs="Arial" w:eastAsia="Arial" w:hAnsi="Arial"/>
          <w:sz w:val="18"/>
          <w:szCs w:val="18"/>
          <w:b w:val="1"/>
          <w:bCs w:val="1"/>
          <w:color w:val="auto"/>
        </w:rPr>
      </w:pPr>
    </w:p>
    <w:p>
      <w:pPr>
        <w:ind w:right="380" w:firstLine="987"/>
        <w:spacing w:after="0" w:line="342" w:lineRule="auto"/>
        <w:tabs>
          <w:tab w:leader="none" w:pos="1316" w:val="left"/>
        </w:tabs>
        <w:numPr>
          <w:ilvl w:val="1"/>
          <w:numId w:val="297"/>
        </w:numPr>
        <w:rPr>
          <w:rFonts w:ascii="Arial" w:cs="Arial" w:eastAsia="Arial" w:hAnsi="Arial"/>
          <w:sz w:val="16"/>
          <w:szCs w:val="16"/>
          <w:b w:val="1"/>
          <w:bCs w:val="1"/>
          <w:color w:val="auto"/>
        </w:rPr>
      </w:pPr>
      <w:r>
        <w:rPr>
          <w:rFonts w:ascii="Arial" w:cs="Arial" w:eastAsia="Arial" w:hAnsi="Arial"/>
          <w:sz w:val="16"/>
          <w:szCs w:val="16"/>
          <w:color w:val="auto"/>
        </w:rPr>
        <w:t>Purchaser understands that the Common Stock has not been registered under the Securities Act by reason of a specific exemption therefrom, which exemption depends upon, among other things, the bona fide nature of Purchaser’s investment intent as expressed herein.</w:t>
      </w:r>
    </w:p>
    <w:p>
      <w:pPr>
        <w:spacing w:after="0" w:line="123" w:lineRule="exact"/>
        <w:rPr>
          <w:rFonts w:ascii="Arial" w:cs="Arial" w:eastAsia="Arial" w:hAnsi="Arial"/>
          <w:sz w:val="16"/>
          <w:szCs w:val="16"/>
          <w:b w:val="1"/>
          <w:bCs w:val="1"/>
          <w:color w:val="auto"/>
        </w:rPr>
      </w:pPr>
    </w:p>
    <w:p>
      <w:pPr>
        <w:ind w:right="40" w:firstLine="987"/>
        <w:spacing w:after="0" w:line="257" w:lineRule="auto"/>
        <w:tabs>
          <w:tab w:leader="none" w:pos="1296"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Purchaser further acknowledges and understands that the Common Stock must be held indefinitely unless the Common Stock is subsequently registered under the Securities Act or an exemption from such registration is available. Purchaser further acknowledges and understands that the Company is under no obligation to register the Common Stock. Purchaser understands that the certificate evidencing the Common Stock will be imprinted with a legend that prohibits the transfer of the Common Stock unless the Common Stock is registered or such registration is not required in the opinion of counsel for the Company.</w:t>
      </w:r>
    </w:p>
    <w:p>
      <w:pPr>
        <w:spacing w:after="0" w:line="187" w:lineRule="exact"/>
        <w:rPr>
          <w:rFonts w:ascii="Arial" w:cs="Arial" w:eastAsia="Arial" w:hAnsi="Arial"/>
          <w:sz w:val="18"/>
          <w:szCs w:val="18"/>
          <w:b w:val="1"/>
          <w:bCs w:val="1"/>
          <w:color w:val="auto"/>
        </w:rPr>
      </w:pPr>
    </w:p>
    <w:p>
      <w:pPr>
        <w:ind w:right="100" w:firstLine="987"/>
        <w:spacing w:after="0" w:line="254" w:lineRule="auto"/>
        <w:tabs>
          <w:tab w:leader="none" w:pos="1316"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Purchaser is familiar with the provisions of Rules 144 and 701, under the Securities Act, as in effect from time to time, which, in substance, permit limited public resale of “restricted securities” acquired, directly or indirectly, from the issuer thereof (or from an affiliate of such issuer), in a non-public offering subject to the satisfaction of certain conditions. Rule 701 provides that if the issuer qualifies under Rule 701 at the time of issuance of the securities, such issuance will be exempt from registration under the Securities Act. In the event the Company becomes subject to the reporting requirements of Section 13 or 15(d) of the Securities Exchange Act of 1934, the securities exempt under Rule 701 may be sold by Purchaser 90 days thereafter, subject to the satisfaction of certain of the conditions specified by Rule 144 and the market stand-off provision described in Purchaser’s Stock Option Agreement.</w:t>
      </w:r>
    </w:p>
    <w:p>
      <w:pPr>
        <w:spacing w:after="0" w:line="194" w:lineRule="exact"/>
        <w:rPr>
          <w:rFonts w:ascii="Arial" w:cs="Arial" w:eastAsia="Arial" w:hAnsi="Arial"/>
          <w:sz w:val="18"/>
          <w:szCs w:val="18"/>
          <w:b w:val="1"/>
          <w:bCs w:val="1"/>
          <w:color w:val="auto"/>
        </w:rPr>
      </w:pPr>
    </w:p>
    <w:p>
      <w:pPr>
        <w:jc w:val="both"/>
        <w:ind w:right="100" w:firstLine="987"/>
        <w:spacing w:after="0" w:line="279" w:lineRule="auto"/>
        <w:tabs>
          <w:tab w:leader="none" w:pos="1296" w:val="left"/>
        </w:tabs>
        <w:numPr>
          <w:ilvl w:val="1"/>
          <w:numId w:val="297"/>
        </w:numPr>
        <w:rPr>
          <w:rFonts w:ascii="Arial" w:cs="Arial" w:eastAsia="Arial" w:hAnsi="Arial"/>
          <w:sz w:val="17"/>
          <w:szCs w:val="17"/>
          <w:b w:val="1"/>
          <w:bCs w:val="1"/>
          <w:color w:val="auto"/>
        </w:rPr>
      </w:pPr>
      <w:r>
        <w:rPr>
          <w:rFonts w:ascii="Arial" w:cs="Arial" w:eastAsia="Arial" w:hAnsi="Arial"/>
          <w:sz w:val="17"/>
          <w:szCs w:val="17"/>
          <w:color w:val="auto"/>
        </w:rPr>
        <w:t>In the event that the sale of the Common Stock does not qualify under Rule 701 at the time of purchase, then the Common Stock may be resold by Purchaser in certain limited circumstances subject to the provisions of Rule 144, which requires, among other things: (i) the availability of certain public information about the Company, and (ii) the resale occurring following the required holding period under Rule 144 after Purchaser has purchased, and made full payment of (within the meaning of Rule 144), the securities to be sold.</w:t>
      </w:r>
    </w:p>
    <w:p>
      <w:pPr>
        <w:spacing w:after="0" w:line="171" w:lineRule="exact"/>
        <w:rPr>
          <w:rFonts w:ascii="Arial" w:cs="Arial" w:eastAsia="Arial" w:hAnsi="Arial"/>
          <w:sz w:val="17"/>
          <w:szCs w:val="17"/>
          <w:b w:val="1"/>
          <w:bCs w:val="1"/>
          <w:color w:val="auto"/>
        </w:rPr>
      </w:pPr>
    </w:p>
    <w:p>
      <w:pPr>
        <w:ind w:right="120" w:firstLine="987"/>
        <w:spacing w:after="0" w:line="259" w:lineRule="auto"/>
        <w:tabs>
          <w:tab w:leader="none" w:pos="1276"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Purchaser further understands that at the time Purchaser wishes to sell the Common Stock there may be no public market upon which to make such a sale, and that, even if such a public market then exists, the Company may not be satisfying the current public current information requirements of Rule 144 or 701, and that, in such event, Purchaser would be precluded from selling the Common Stock under Rule 144 or 701 even if the minimum holding period requirement had been satisfied.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536" w:name="page537"/>
    <w:bookmarkEnd w:id="536"/>
    <w:p>
      <w:pPr>
        <w:ind w:right="140" w:firstLine="987"/>
        <w:spacing w:after="0" w:line="257" w:lineRule="auto"/>
        <w:tabs>
          <w:tab w:leader="none" w:pos="1306" w:val="left"/>
        </w:tabs>
        <w:numPr>
          <w:ilvl w:val="1"/>
          <w:numId w:val="2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further warrants and represents that Purchaser has either (i) preexisting personal or business relationships, with the Company or any of its officers, directors or controlling persons, or (ii) the capacity to protect his own interests in connection with the purchase of the Common Stock by virtue of the business or financial expertise of Purchaser or of professional advisors to Purchaser who are unaffiliated with and who are not compensated by the Company or any of its affiliates, directly or indirectly. Purchaser further warrants and represents that Purchaser’s purchase the Common Stock was not accomplished by the publication of any advertisement.</w:t>
      </w:r>
    </w:p>
    <w:p>
      <w:pPr>
        <w:spacing w:after="0" w:line="183" w:lineRule="exact"/>
        <w:rPr>
          <w:rFonts w:ascii="Arial" w:cs="Arial" w:eastAsia="Arial" w:hAnsi="Arial"/>
          <w:sz w:val="18"/>
          <w:szCs w:val="18"/>
          <w:b w:val="1"/>
          <w:bCs w:val="1"/>
          <w:color w:val="auto"/>
        </w:rPr>
      </w:pPr>
    </w:p>
    <w:p>
      <w:pPr>
        <w:ind w:firstLine="436"/>
        <w:spacing w:after="0" w:line="286" w:lineRule="auto"/>
        <w:tabs>
          <w:tab w:leader="none" w:pos="845"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83(b) Election. </w:t>
      </w:r>
      <w:r>
        <w:rPr>
          <w:rFonts w:ascii="Arial" w:cs="Arial" w:eastAsia="Arial" w:hAnsi="Arial"/>
          <w:sz w:val="16"/>
          <w:szCs w:val="16"/>
          <w:color w:val="auto"/>
        </w:rPr>
        <w:t>Purchaser understands that Section 83(a) of the Code taxes as ordinary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Common Stock and the fair market value of the Common Stock as of the date any restrictions on the Common Stock lapse. In this context, “restriction” includes the right of the Company to buy back the Common Stock pursuant to the Repurchase Option set forth above. Purchaser understands that Purchaser may elect to be taxed at the time the Common Stock is purchased, rather than when and as the Repurchase Option expires, by filing an election under Section 83(b) (an “</w:t>
      </w:r>
      <w:r>
        <w:rPr>
          <w:rFonts w:ascii="Arial" w:cs="Arial" w:eastAsia="Arial" w:hAnsi="Arial"/>
          <w:sz w:val="16"/>
          <w:szCs w:val="16"/>
          <w:b w:val="1"/>
          <w:bCs w:val="1"/>
          <w:i w:val="1"/>
          <w:iCs w:val="1"/>
          <w:color w:val="auto"/>
        </w:rPr>
        <w:t>83(b) Election</w:t>
      </w:r>
      <w:r>
        <w:rPr>
          <w:rFonts w:ascii="Arial" w:cs="Arial" w:eastAsia="Arial" w:hAnsi="Arial"/>
          <w:sz w:val="16"/>
          <w:szCs w:val="16"/>
          <w:color w:val="auto"/>
        </w:rPr>
        <w:t>”) of the Code with the Internal Revenue Service within 30 days of the date of purchase, a copy of which is included as Exhibit D. Even if the fair market value of the Common Stock at the time of the execution of this Agreement equals the amount paid for the Common Stock, the 83(b) Election must be made to avoid income under Section 83(a) in the future. Purchaser understands that failure to file such an 83(b) Election in a timely manner may result in adverse tax consequences for Purchaser. Purchaser further understands that Purchaser must file an additional copy of such 83(b) Election with his or her federal income tax return for the calendar year in which the date of this Agreement falls. Purchaser acknowledges that the foregoing is only a summary of the effect of United States federal income taxation with respect to purchase of the Common Stock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 Purchaser assumes all responsibility for filing an 83(b) Election and paying all taxes resulting from such election or the lapse of the restrictions on the Common Stock.</w:t>
      </w:r>
    </w:p>
    <w:p>
      <w:pPr>
        <w:spacing w:after="0" w:line="170" w:lineRule="exact"/>
        <w:rPr>
          <w:rFonts w:ascii="Arial" w:cs="Arial" w:eastAsia="Arial" w:hAnsi="Arial"/>
          <w:sz w:val="16"/>
          <w:szCs w:val="16"/>
          <w:b w:val="1"/>
          <w:bCs w:val="1"/>
          <w:color w:val="auto"/>
        </w:rPr>
      </w:pPr>
    </w:p>
    <w:p>
      <w:pPr>
        <w:ind w:right="160" w:firstLine="436"/>
        <w:spacing w:after="0" w:line="266" w:lineRule="auto"/>
        <w:tabs>
          <w:tab w:leader="none" w:pos="84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Refusal to Transfer. </w:t>
      </w:r>
      <w:r>
        <w:rPr>
          <w:rFonts w:ascii="Arial" w:cs="Arial" w:eastAsia="Arial" w:hAnsi="Arial"/>
          <w:sz w:val="18"/>
          <w:szCs w:val="18"/>
          <w:color w:val="auto"/>
        </w:rPr>
        <w:t>The Company is not required (a) to transfer on its books any shares of Common Stock of the Company which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transferred in violation of any of the provisions set forth in this Agreement, or (b) to treat as owner of such shares or to accord the right to vote as such owner or to pay dividends to any transferee to whom such shares have been so transferred.</w:t>
      </w:r>
    </w:p>
    <w:p>
      <w:pPr>
        <w:spacing w:after="0" w:line="175" w:lineRule="exact"/>
        <w:rPr>
          <w:rFonts w:ascii="Arial" w:cs="Arial" w:eastAsia="Arial" w:hAnsi="Arial"/>
          <w:sz w:val="18"/>
          <w:szCs w:val="18"/>
          <w:b w:val="1"/>
          <w:bCs w:val="1"/>
          <w:color w:val="auto"/>
        </w:rPr>
      </w:pPr>
    </w:p>
    <w:p>
      <w:pPr>
        <w:jc w:val="both"/>
        <w:ind w:right="180" w:firstLine="436"/>
        <w:spacing w:after="0" w:line="266" w:lineRule="auto"/>
        <w:tabs>
          <w:tab w:leader="none" w:pos="84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Rights. </w:t>
      </w:r>
      <w:r>
        <w:rPr>
          <w:rFonts w:ascii="Arial" w:cs="Arial" w:eastAsia="Arial" w:hAnsi="Arial"/>
          <w:sz w:val="18"/>
          <w:szCs w:val="18"/>
          <w:color w:val="auto"/>
        </w:rPr>
        <w:t>This Agreement is not an employment contract and nothing in this Agreement affects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or power of the Company or its Affiliates to terminate Purchaser’s employment for any reason at any time, with or without cause and with or without notice.</w:t>
      </w:r>
    </w:p>
    <w:p>
      <w:pPr>
        <w:spacing w:after="0" w:line="283" w:lineRule="exact"/>
        <w:rPr>
          <w:rFonts w:ascii="Arial" w:cs="Arial" w:eastAsia="Arial" w:hAnsi="Arial"/>
          <w:sz w:val="18"/>
          <w:szCs w:val="18"/>
          <w:b w:val="1"/>
          <w:bCs w:val="1"/>
          <w:color w:val="auto"/>
        </w:rPr>
      </w:pPr>
    </w:p>
    <w:p>
      <w:pPr>
        <w:ind w:left="840" w:hanging="404"/>
        <w:spacing w:after="0"/>
        <w:tabs>
          <w:tab w:leader="none" w:pos="8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right="40" w:firstLine="987"/>
        <w:spacing w:after="0" w:line="294" w:lineRule="auto"/>
        <w:tabs>
          <w:tab w:leader="none" w:pos="1306" w:val="left"/>
        </w:tabs>
        <w:numPr>
          <w:ilvl w:val="1"/>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required or permitted hereunder will be in writing and will be deemed effectively given: (i)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to the party to be notified, (ii) when sent by confirmed facsimile if sent during normal business hours of the recipient, and if not during normal business hours of the recipient, then on the next business day, (iii) five calendar days after having been sent by registered or certified mail, return receipt requested, postage prepaid, or (iv) one business day after deposit with a nationally recognized overnight courier, specifying next day delivery, with written verification of receipt. All communications will be sent to the other party hereto at such party’s address hereinafter set forth on the signature page hereof, or at such other address as such party may designate by 10 days advance written notice to the other party hereto.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537" w:name="page538"/>
    <w:bookmarkEnd w:id="537"/>
    <w:p>
      <w:pPr>
        <w:ind w:right="220" w:firstLine="987"/>
        <w:spacing w:after="0" w:line="266" w:lineRule="auto"/>
        <w:tabs>
          <w:tab w:leader="none" w:pos="131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Successors and Assigns. </w:t>
      </w:r>
      <w:r>
        <w:rPr>
          <w:rFonts w:ascii="Arial" w:cs="Arial" w:eastAsia="Arial" w:hAnsi="Arial"/>
          <w:sz w:val="18"/>
          <w:szCs w:val="18"/>
          <w:color w:val="auto"/>
        </w:rPr>
        <w:t>This Agreement will inure to the benefit of the successors and assigns of the Company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herein set forth, be binding upon Purchaser, Purchaser’s successors, and assigns. The Company may assign the Repurchase Option hereunder at any time or from time to time, in whole or in part.</w:t>
      </w:r>
    </w:p>
    <w:p>
      <w:pPr>
        <w:spacing w:after="0" w:line="175" w:lineRule="exact"/>
        <w:rPr>
          <w:rFonts w:ascii="Arial" w:cs="Arial" w:eastAsia="Arial" w:hAnsi="Arial"/>
          <w:sz w:val="18"/>
          <w:szCs w:val="18"/>
          <w:b w:val="1"/>
          <w:bCs w:val="1"/>
          <w:color w:val="auto"/>
        </w:rPr>
      </w:pPr>
    </w:p>
    <w:p>
      <w:pPr>
        <w:ind w:right="80" w:firstLine="987"/>
        <w:spacing w:after="0" w:line="273" w:lineRule="auto"/>
        <w:tabs>
          <w:tab w:leader="none" w:pos="1286"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Attorneys’ Fees; Specific Performance. </w:t>
      </w:r>
      <w:r>
        <w:rPr>
          <w:rFonts w:ascii="Arial" w:cs="Arial" w:eastAsia="Arial" w:hAnsi="Arial"/>
          <w:sz w:val="17"/>
          <w:szCs w:val="17"/>
          <w:color w:val="auto"/>
        </w:rPr>
        <w:t>Purchaser will reimburse the Company for all costs incurred by the Company in enforcing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performance of, or protecting its rights under, any part of this Agreement, including reasonable costs of investigation and attorneys’ fees. It is the intention of the parties that the Company, upon exercise of the Repurchase Option and payment for the shares repurchased, pursuant to the terms of this Agreement, will be entitled to receive the Common Stock, </w:t>
      </w:r>
      <w:r>
        <w:rPr>
          <w:rFonts w:ascii="Arial" w:cs="Arial" w:eastAsia="Arial" w:hAnsi="Arial"/>
          <w:sz w:val="17"/>
          <w:szCs w:val="17"/>
          <w:i w:val="1"/>
          <w:iCs w:val="1"/>
          <w:color w:val="auto"/>
        </w:rPr>
        <w:t>in specie,</w:t>
      </w:r>
      <w:r>
        <w:rPr>
          <w:rFonts w:ascii="Arial" w:cs="Arial" w:eastAsia="Arial" w:hAnsi="Arial"/>
          <w:sz w:val="17"/>
          <w:szCs w:val="17"/>
          <w:color w:val="auto"/>
        </w:rPr>
        <w:t xml:space="preserve"> in order to have such Common Stock available for future issuance without dilution of the holdings of other stockholders. Furthermore, it is expressly agreed between the parties that money damages are inadequate to compensate the Company for the Common Stock and that the Company will, upon proper exercise of the Repurchase Option, be entitled to specific enforcement of its rights to purchase and receive said Common Stock.</w:t>
      </w:r>
    </w:p>
    <w:p>
      <w:pPr>
        <w:spacing w:after="0" w:line="171" w:lineRule="exact"/>
        <w:rPr>
          <w:rFonts w:ascii="Arial" w:cs="Arial" w:eastAsia="Arial" w:hAnsi="Arial"/>
          <w:sz w:val="17"/>
          <w:szCs w:val="17"/>
          <w:b w:val="1"/>
          <w:bCs w:val="1"/>
          <w:color w:val="auto"/>
        </w:rPr>
      </w:pPr>
    </w:p>
    <w:p>
      <w:pPr>
        <w:ind w:firstLine="987"/>
        <w:spacing w:after="0" w:line="261" w:lineRule="auto"/>
        <w:tabs>
          <w:tab w:leader="none" w:pos="131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This Agreement will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any action brought by either party to interpret or enforce any provision of this Agreement will be brought in, and each party agrees to, and does hereby, submit to the jurisdiction and venue of, the appropriate state or federal court for the district encompassing the Company’s principal place of business.</w:t>
      </w:r>
    </w:p>
    <w:p>
      <w:pPr>
        <w:spacing w:after="0" w:line="179" w:lineRule="exact"/>
        <w:rPr>
          <w:rFonts w:ascii="Arial" w:cs="Arial" w:eastAsia="Arial" w:hAnsi="Arial"/>
          <w:sz w:val="18"/>
          <w:szCs w:val="18"/>
          <w:b w:val="1"/>
          <w:bCs w:val="1"/>
          <w:color w:val="auto"/>
        </w:rPr>
      </w:pPr>
    </w:p>
    <w:p>
      <w:pPr>
        <w:ind w:right="140" w:firstLine="987"/>
        <w:spacing w:after="0" w:line="266" w:lineRule="auto"/>
        <w:tabs>
          <w:tab w:leader="none" w:pos="129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Execution. </w:t>
      </w:r>
      <w:r>
        <w:rPr>
          <w:rFonts w:ascii="Arial" w:cs="Arial" w:eastAsia="Arial" w:hAnsi="Arial"/>
          <w:sz w:val="18"/>
          <w:szCs w:val="18"/>
          <w:color w:val="auto"/>
        </w:rPr>
        <w:t>The parties agree to take all such further action(s) as may reasonably be necessary to carry out and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soon as practicable, and to take whatever steps may be necessary to obtain any governmental approval in connection with or otherwise qualify the issuance of the securities that are the subject of this Agreement.</w:t>
      </w:r>
    </w:p>
    <w:p>
      <w:pPr>
        <w:spacing w:after="0" w:line="175" w:lineRule="exact"/>
        <w:rPr>
          <w:rFonts w:ascii="Arial" w:cs="Arial" w:eastAsia="Arial" w:hAnsi="Arial"/>
          <w:sz w:val="18"/>
          <w:szCs w:val="18"/>
          <w:b w:val="1"/>
          <w:bCs w:val="1"/>
          <w:color w:val="auto"/>
        </w:rPr>
      </w:pPr>
    </w:p>
    <w:p>
      <w:pPr>
        <w:ind w:right="100" w:firstLine="987"/>
        <w:spacing w:after="0" w:line="266" w:lineRule="auto"/>
        <w:tabs>
          <w:tab w:leader="none" w:pos="127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Independent Counsel. </w:t>
      </w:r>
      <w:r>
        <w:rPr>
          <w:rFonts w:ascii="Arial" w:cs="Arial" w:eastAsia="Arial" w:hAnsi="Arial"/>
          <w:sz w:val="18"/>
          <w:szCs w:val="18"/>
          <w:color w:val="auto"/>
        </w:rPr>
        <w:t>Purchaser acknowledges that this Agreement has been prepared on behalf of the Company by Cooley LLP,</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to the Company and that Cooley LLP does not represent, and is not acting on behalf of, Purchaser in any capacity. Purchaser has been provided with an opportunity to consult with Purchaser’s own counsel with respect to this Agreement.</w:t>
      </w:r>
    </w:p>
    <w:p>
      <w:pPr>
        <w:spacing w:after="0" w:line="175" w:lineRule="exact"/>
        <w:rPr>
          <w:rFonts w:ascii="Arial" w:cs="Arial" w:eastAsia="Arial" w:hAnsi="Arial"/>
          <w:sz w:val="18"/>
          <w:szCs w:val="18"/>
          <w:b w:val="1"/>
          <w:bCs w:val="1"/>
          <w:color w:val="auto"/>
        </w:rPr>
      </w:pPr>
    </w:p>
    <w:p>
      <w:pPr>
        <w:ind w:right="320" w:firstLine="987"/>
        <w:spacing w:after="0" w:line="289" w:lineRule="auto"/>
        <w:tabs>
          <w:tab w:leader="none" w:pos="1306"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Amendment. </w:t>
      </w:r>
      <w:r>
        <w:rPr>
          <w:rFonts w:ascii="Arial" w:cs="Arial" w:eastAsia="Arial" w:hAnsi="Arial"/>
          <w:sz w:val="17"/>
          <w:szCs w:val="17"/>
          <w:color w:val="auto"/>
        </w:rPr>
        <w:t>This Agreement constitutes the entire agreement between the parties with respect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hereof and supersedes and merges all prior agreements or understandings, whether written or oral. This Agreement may not be amended, modified or revoked, in whole or in part, except by an agreement in writing signed by each of the parties hereto.</w:t>
      </w:r>
    </w:p>
    <w:p>
      <w:pPr>
        <w:spacing w:after="0" w:line="157" w:lineRule="exact"/>
        <w:rPr>
          <w:rFonts w:ascii="Arial" w:cs="Arial" w:eastAsia="Arial" w:hAnsi="Arial"/>
          <w:sz w:val="17"/>
          <w:szCs w:val="17"/>
          <w:b w:val="1"/>
          <w:bCs w:val="1"/>
          <w:color w:val="auto"/>
        </w:rPr>
      </w:pPr>
    </w:p>
    <w:p>
      <w:pPr>
        <w:ind w:right="20" w:firstLine="987"/>
        <w:spacing w:after="0" w:line="261" w:lineRule="auto"/>
        <w:tabs>
          <w:tab w:leader="none" w:pos="131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one or more provisions of this Agreement are held to be unenforceable under applicable law,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(i) such provision will be excluded from this Agreement, (ii) the balance of the Agreement will be interpreted as if such provision were so excluded and (iii) the balance of the Agreement will be enforceable in accordance with its terms.</w:t>
      </w:r>
    </w:p>
    <w:p>
      <w:pPr>
        <w:spacing w:after="0" w:line="179" w:lineRule="exact"/>
        <w:rPr>
          <w:rFonts w:ascii="Arial" w:cs="Arial" w:eastAsia="Arial" w:hAnsi="Arial"/>
          <w:sz w:val="18"/>
          <w:szCs w:val="18"/>
          <w:b w:val="1"/>
          <w:bCs w:val="1"/>
          <w:color w:val="auto"/>
        </w:rPr>
      </w:pPr>
    </w:p>
    <w:p>
      <w:pPr>
        <w:ind w:firstLine="987"/>
        <w:spacing w:after="0" w:line="303" w:lineRule="auto"/>
        <w:tabs>
          <w:tab w:leader="none" w:pos="1266"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two or more counterparts, each of which will be deemed an original, but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9" w:right="459" w:bottom="1440" w:gutter="0" w:footer="0" w:header="0"/>
        </w:sectPr>
      </w:pPr>
    </w:p>
    <w:bookmarkStart w:id="538" w:name="page539"/>
    <w:bookmarkEnd w:id="5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page intentionally left blank]</w:t>
      </w:r>
    </w:p>
    <w:p>
      <w:pPr>
        <w:spacing w:after="0" w:line="15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79"/>
          </w:cols>
          <w:pgMar w:left="880" w:top="273" w:right="1440" w:bottom="1440" w:gutter="0" w:footer="0" w:header="0"/>
        </w:sectPr>
      </w:pPr>
    </w:p>
    <w:bookmarkStart w:id="539" w:name="page540"/>
    <w:bookmarkEnd w:id="539"/>
    <w:p>
      <w:pPr>
        <w:spacing w:after="0"/>
        <w:tabs>
          <w:tab w:leader="none" w:pos="4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hereto have executed this Agreement as of</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AYSHA</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HERAPIES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14605</wp:posOffset>
            </wp:positionV>
            <wp:extent cx="24345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14605</wp:posOffset>
            </wp:positionV>
            <wp:extent cx="20656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14605</wp:posOffset>
            </wp:positionV>
            <wp:extent cx="20656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14605</wp:posOffset>
            </wp:positionV>
            <wp:extent cx="24345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9579"/>
          </w:cols>
          <w:pgMar w:left="880" w:top="273" w:right="1440" w:bottom="1440" w:gutter="0" w:footer="0" w:header="0"/>
        </w:sectPr>
      </w:pPr>
    </w:p>
    <w:bookmarkStart w:id="540" w:name="page541"/>
    <w:bookmarkEnd w:id="5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TAYSHA GENE THERAPIES,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AWARD GRANT NOTICE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EQUITY INCENTIVE PLAN)</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Taysha Gene Therapies, Inc.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awards to Participant, in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past or future services actually or to be rendered to the Company, the number of shares of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set forth below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of the terms and conditions as set forth in this Restricted Stock Award Grant Notice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the attached Restricted Stock Award Terms and Conditions (together with the Grant Notice,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and the Plan,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attached to this Grant Notice and incorporated into this Grant Notice in their entirety. Capitalized terms not explicitly defined in the Award Agreement but defined in the Plan will have the meanings provided in the Plan.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wp:posOffset>
            </wp:positionV>
            <wp:extent cx="34632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wp:posOffset>
            </wp:positionV>
            <wp:extent cx="34632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wp:posOffset>
            </wp:positionV>
            <wp:extent cx="34632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ectPr>
          <w:pgSz w:w="11900" w:h="16838" w:orient="portrait"/>
          <w:cols w:equalWidth="0" w:num="1">
            <w:col w:w="10980"/>
          </w:cols>
          <w:pgMar w:left="440" w:top="269" w:right="47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Subject to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[Participant’s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34632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2640" w:space="700"/>
            <w:col w:w="7640"/>
          </w:cols>
          <w:pgMar w:left="440" w:top="269" w:right="479" w:bottom="1440" w:gutter="0" w:footer="0" w:header="0"/>
          <w:type w:val="continuous"/>
        </w:sectPr>
      </w:pPr>
    </w:p>
    <w:p>
      <w:pPr>
        <w:spacing w:after="0" w:line="34" w:lineRule="exact"/>
        <w:rPr>
          <w:sz w:val="20"/>
          <w:szCs w:val="20"/>
          <w:color w:val="auto"/>
        </w:rPr>
      </w:pPr>
    </w:p>
    <w:p>
      <w:pPr>
        <w:ind w:left="1660" w:right="100" w:hanging="1659"/>
        <w:spacing w:after="0" w:line="261" w:lineRule="auto"/>
        <w:tabs>
          <w:tab w:leader="none" w:pos="164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Sample of standard vesting.</w:t>
      </w:r>
      <w:r>
        <w:rPr>
          <w:rFonts w:ascii="Arial" w:cs="Arial" w:eastAsia="Arial" w:hAnsi="Arial"/>
          <w:sz w:val="18"/>
          <w:szCs w:val="18"/>
          <w:color w:val="auto"/>
        </w:rPr>
        <w:t xml:space="preserve"> 12/48ths of the total shares will vest on the one-year anniversary of the Vesting Commencement Date, and 1/48th of the total shares will vest each month thereafter on the same day of the month as the Vesting Commencement Date (or if there is no corresponding day, on the last day of the month), subject to Participant’s Continuous Service as of each such date].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Participant acknowledges receipt of a copy of the Plan and represents that he or she is familiar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thereof, and hereby accepts this Award subject to all of the terms and provisions of the Plan and this Award Agreement (including all attachments and exhibits) and has had an opportunity to obtain the advice of counsel prior to executing and accepting the Award. By accepting this Award, Participant hereby agrees to accept as binding, conclusive and final all decisions or interpretations of the Board upon any questions arising under the Plan or this Award.</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Participant further consents to receive any documents related to the Plan by electronic delivery and to participate in the Plan through an online or electronic system established and maintained by the Company or a third party designated by the Company.</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Participant further acknowledges that as of the Date of Grant, this Award Agreement and the Plan set forth the entire understanding between Participant and the Company regarding the acquisition of stock in the Company and supersede all prior oral and written agreements on that subject, with the exception of (i) options, restricted stock awards or other compensatory stock awards previously granted and delivered to Participant, and (ii) any written employment or severance arrangement that would provide for vesting acceleration of this Award upon the terms and conditions set forth therein.</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Participant further acknowledges that this Award Agreement has been prepared on behalf of the Company by Cooley LLP, counsel to the Company and that Cooley LLP does not represent, and is not acting on behalf of, Participant in any capacity. Participant has been provided with an opportunity to consult with Participant’s own counsel with respect to this Award Agreement.</w:t>
      </w:r>
    </w:p>
    <w:p>
      <w:pPr>
        <w:sectPr>
          <w:pgSz w:w="11900" w:h="16838" w:orient="portrait"/>
          <w:cols w:equalWidth="0" w:num="1">
            <w:col w:w="10980"/>
          </w:cols>
          <w:pgMar w:left="440" w:top="269" w:right="479" w:bottom="1440" w:gutter="0" w:footer="0" w:header="0"/>
          <w:type w:val="continuous"/>
        </w:sectPr>
      </w:pPr>
    </w:p>
    <w:bookmarkStart w:id="541" w:name="page542"/>
    <w:bookmarkEnd w:id="541"/>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Award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Taysha Gene Therapies, Inc.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3" w:right="439" w:bottom="1440" w:gutter="0" w:footer="0" w:header="0"/>
        </w:sectPr>
      </w:pPr>
    </w:p>
    <w:bookmarkStart w:id="542" w:name="page543"/>
    <w:bookmarkEnd w:id="54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9"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THIS EXECUTIVE EMPLOYMENT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signed and effective as of April 1,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Taysha Gene Therapies,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R.A. Session II, an individual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4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desires to employ the Executive, and the Executive is willing to be employed by the Company, upon the terms and subject to the conditions contained herein.</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intending to be legally bound, the Company agrees to employ Executive, and Executive hereby agrees to be employed by the Company, upon the following terms and conditions:</w:t>
      </w:r>
    </w:p>
    <w:p>
      <w:pPr>
        <w:spacing w:after="0" w:line="170" w:lineRule="exact"/>
        <w:rPr>
          <w:sz w:val="20"/>
          <w:szCs w:val="20"/>
          <w:color w:val="auto"/>
        </w:rPr>
      </w:pPr>
    </w:p>
    <w:p>
      <w:pPr>
        <w:jc w:val="both"/>
        <w:ind w:right="60" w:firstLine="436"/>
        <w:spacing w:after="0" w:line="259" w:lineRule="auto"/>
        <w:tabs>
          <w:tab w:leader="none" w:pos="755"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Until the Executive resigns from the Company or is terminated, the Executive shall serve as the Company’s Chief Executive Officer and President. The Executive shall perform those duties generally required of persons in such position as well as such other duties assigned to Executive from time to time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its designee. The Executive shall be subject to the authority of the Board and shall comply with all Company policies.</w:t>
      </w:r>
    </w:p>
    <w:p>
      <w:pPr>
        <w:spacing w:after="0" w:line="186" w:lineRule="exact"/>
        <w:rPr>
          <w:rFonts w:ascii="Arial" w:cs="Arial" w:eastAsia="Arial" w:hAnsi="Arial"/>
          <w:sz w:val="18"/>
          <w:szCs w:val="18"/>
          <w:color w:val="auto"/>
        </w:rPr>
      </w:pPr>
    </w:p>
    <w:p>
      <w:pPr>
        <w:ind w:right="380" w:firstLine="436"/>
        <w:spacing w:after="0" w:line="259" w:lineRule="auto"/>
        <w:tabs>
          <w:tab w:leader="none" w:pos="755"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Scope of Services</w:t>
      </w:r>
      <w:r>
        <w:rPr>
          <w:rFonts w:ascii="Arial" w:cs="Arial" w:eastAsia="Arial" w:hAnsi="Arial"/>
          <w:sz w:val="18"/>
          <w:szCs w:val="18"/>
          <w:color w:val="auto"/>
        </w:rPr>
        <w:t>. During the Executive’s employment with the Company, the Executive agrees to devote substantially all of Executive’s business time, attention, skills and efforts to the business of the Company, subject to the terms set forth herein. The Company acknowledges that Executive will continue to serve on the following Boards of Directors: (i) ReCode Therapeutics, Inc.; (ii) Sandhill Therapeutics, Inc.; and (iii) Lung Therapeutics, Inc.</w:t>
      </w:r>
    </w:p>
    <w:p>
      <w:pPr>
        <w:spacing w:after="0" w:line="294" w:lineRule="exact"/>
        <w:rPr>
          <w:rFonts w:ascii="Arial" w:cs="Arial" w:eastAsia="Arial" w:hAnsi="Arial"/>
          <w:sz w:val="18"/>
          <w:szCs w:val="18"/>
          <w:color w:val="auto"/>
        </w:rPr>
      </w:pPr>
    </w:p>
    <w:p>
      <w:pPr>
        <w:ind w:left="760" w:hanging="324"/>
        <w:spacing w:after="0"/>
        <w:tabs>
          <w:tab w:leader="none" w:pos="76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Salary, Compensation and Benefits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Base Salary</w:t>
      </w:r>
      <w:r>
        <w:rPr>
          <w:rFonts w:ascii="Arial" w:cs="Arial" w:eastAsia="Arial" w:hAnsi="Arial"/>
          <w:sz w:val="16"/>
          <w:szCs w:val="16"/>
          <w:color w:val="auto"/>
        </w:rPr>
        <w:t>. The Company agrees to pay, and the Executive agrees to accept, as the Executive’s salary for all services to be rendered by the Executive hereunder, an annual base salary of $450,000 (“</w:t>
      </w: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payable at the same time that the Company pays its executives generally, but no less frequently than monthly;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Salary shall be subject to adjustment in the discretion of the Board.</w:t>
      </w:r>
    </w:p>
    <w:p>
      <w:pPr>
        <w:spacing w:after="0" w:line="149"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Performance Bonus</w:t>
      </w:r>
      <w:r>
        <w:rPr>
          <w:rFonts w:ascii="Arial" w:cs="Arial" w:eastAsia="Arial" w:hAnsi="Arial"/>
          <w:sz w:val="17"/>
          <w:szCs w:val="17"/>
          <w:color w:val="auto"/>
        </w:rPr>
        <w:t>. During the period the Executive is employed by the Company, the Executive will be eligible to earn, in the discretion of the Board, an annual performance bonus in an amount equal to fifty percent (50%) of the Executive’s Base Salary for the applicable year (the “</w:t>
      </w:r>
      <w:r>
        <w:rPr>
          <w:rFonts w:ascii="Arial" w:cs="Arial" w:eastAsia="Arial" w:hAnsi="Arial"/>
          <w:sz w:val="17"/>
          <w:szCs w:val="17"/>
          <w:u w:val="single" w:color="auto"/>
          <w:color w:val="auto"/>
        </w:rPr>
        <w:t>Performance Bonus</w:t>
      </w:r>
      <w:r>
        <w:rPr>
          <w:rFonts w:ascii="Arial" w:cs="Arial" w:eastAsia="Arial" w:hAnsi="Arial"/>
          <w:sz w:val="17"/>
          <w:szCs w:val="17"/>
          <w:color w:val="auto"/>
        </w:rPr>
        <w:t>”). Whether or not the Executive earns any Performance Bonus will be dependent upon (a) the Executive’s continuous performance of services to the Company through the end of the period with respect to which performance is being reviewed; and (b) achievement of Company and individual performance goals (the “</w:t>
      </w:r>
      <w:r>
        <w:rPr>
          <w:rFonts w:ascii="Arial" w:cs="Arial" w:eastAsia="Arial" w:hAnsi="Arial"/>
          <w:sz w:val="17"/>
          <w:szCs w:val="17"/>
          <w:u w:val="single" w:color="auto"/>
          <w:color w:val="auto"/>
        </w:rPr>
        <w:t>Performance Goals</w:t>
      </w:r>
      <w:r>
        <w:rPr>
          <w:rFonts w:ascii="Arial" w:cs="Arial" w:eastAsia="Arial" w:hAnsi="Arial"/>
          <w:sz w:val="17"/>
          <w:szCs w:val="17"/>
          <w:color w:val="auto"/>
        </w:rPr>
        <w:t xml:space="preserve">”). Any Performance Bonus with respect to a calendar year, if earned, shall be paid between January 1 and March 15 of the immediately following calendar year; and provided further that, except as provided in </w:t>
      </w:r>
      <w:r>
        <w:rPr>
          <w:rFonts w:ascii="Arial" w:cs="Arial" w:eastAsia="Arial" w:hAnsi="Arial"/>
          <w:sz w:val="17"/>
          <w:szCs w:val="17"/>
          <w:u w:val="single" w:color="auto"/>
          <w:color w:val="auto"/>
        </w:rPr>
        <w:t>Section 4.3</w:t>
      </w:r>
      <w:r>
        <w:rPr>
          <w:rFonts w:ascii="Arial" w:cs="Arial" w:eastAsia="Arial" w:hAnsi="Arial"/>
          <w:sz w:val="17"/>
          <w:szCs w:val="17"/>
          <w:color w:val="auto"/>
        </w:rPr>
        <w:t>, in no event shall the Executive be eligible for a Performance Bonus with respect to a calendar year if the Executive separates from service with the Company prior to the date on which such Performance Bonus is paid. The Performance Goals will be set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4318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0"/>
          </w:cols>
          <w:pgMar w:left="440" w:top="121" w:right="439" w:bottom="1440" w:gutter="0" w:footer="0" w:header="0"/>
        </w:sectPr>
      </w:pPr>
    </w:p>
    <w:bookmarkStart w:id="543" w:name="page544"/>
    <w:bookmarkEnd w:id="543"/>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advance in writing and revised annually, semi-annually, or quarterly by the Board together with input from the Executive, and the Board will in its sole discretion assess the performance of the Executive and the Company against these Performance Goals in its determination of what amount, if any, of the Performance Bonus will be awarded. The Board will inform the Executive of the Performance Goals upon Executive’s request.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ind w:left="980"/>
              <w:spacing w:after="0"/>
              <w:rPr>
                <w:sz w:val="20"/>
                <w:szCs w:val="20"/>
                <w:color w:val="auto"/>
              </w:rPr>
            </w:pPr>
            <w:r>
              <w:rPr>
                <w:rFonts w:ascii="Arial" w:cs="Arial" w:eastAsia="Arial" w:hAnsi="Arial"/>
                <w:sz w:val="18"/>
                <w:szCs w:val="18"/>
                <w:color w:val="auto"/>
              </w:rPr>
              <w:t>3.3</w:t>
            </w:r>
          </w:p>
        </w:tc>
        <w:tc>
          <w:tcPr>
            <w:tcW w:w="1760" w:type="dxa"/>
            <w:vAlign w:val="bottom"/>
            <w:gridSpan w:val="5"/>
          </w:tcPr>
          <w:p>
            <w:pPr>
              <w:spacing w:after="0"/>
              <w:rPr>
                <w:sz w:val="20"/>
                <w:szCs w:val="20"/>
                <w:color w:val="auto"/>
              </w:rPr>
            </w:pPr>
            <w:r>
              <w:rPr>
                <w:rFonts w:ascii="Arial" w:cs="Arial" w:eastAsia="Arial" w:hAnsi="Arial"/>
                <w:sz w:val="18"/>
                <w:szCs w:val="18"/>
                <w:color w:val="auto"/>
              </w:rPr>
              <w:t>Equity Incentives.</w:t>
            </w:r>
          </w:p>
        </w:tc>
        <w:tc>
          <w:tcPr>
            <w:tcW w:w="9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tcBorders>
              <w:left w:val="single" w:sz="8" w:color="auto"/>
            </w:tcBorders>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44"/>
        </w:trPr>
        <w:tc>
          <w:tcPr>
            <w:tcW w:w="1400" w:type="dxa"/>
            <w:vAlign w:val="bottom"/>
          </w:tcPr>
          <w:p>
            <w:pPr>
              <w:ind w:left="980"/>
              <w:spacing w:after="0"/>
              <w:rPr>
                <w:sz w:val="20"/>
                <w:szCs w:val="20"/>
                <w:color w:val="auto"/>
              </w:rPr>
            </w:pPr>
            <w:r>
              <w:rPr>
                <w:rFonts w:ascii="Arial" w:cs="Arial" w:eastAsia="Arial" w:hAnsi="Arial"/>
                <w:sz w:val="18"/>
                <w:szCs w:val="18"/>
                <w:color w:val="auto"/>
                <w:w w:val="99"/>
              </w:rPr>
              <w:t>3.3.1</w:t>
            </w:r>
          </w:p>
        </w:tc>
        <w:tc>
          <w:tcPr>
            <w:tcW w:w="560" w:type="dxa"/>
            <w:vAlign w:val="bottom"/>
          </w:tcPr>
          <w:p>
            <w:pPr>
              <w:spacing w:after="0"/>
              <w:rPr>
                <w:sz w:val="24"/>
                <w:szCs w:val="24"/>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2"/>
              </w:rPr>
              <w:t>Upon approval of any incentive plan for Company employees by the Board, the Company will grant the Executive restricted</w:t>
            </w:r>
          </w:p>
        </w:tc>
      </w:tr>
      <w:tr>
        <w:trPr>
          <w:trHeight w:val="190"/>
        </w:trPr>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60" w:type="dxa"/>
            <w:vAlign w:val="bottom"/>
            <w:gridSpan w:val="12"/>
          </w:tcPr>
          <w:p>
            <w:pPr>
              <w:spacing w:after="0" w:line="190" w:lineRule="exact"/>
              <w:rPr>
                <w:sz w:val="20"/>
                <w:szCs w:val="20"/>
                <w:color w:val="auto"/>
              </w:rPr>
            </w:pPr>
            <w:r>
              <w:rPr>
                <w:rFonts w:ascii="Arial" w:cs="Arial" w:eastAsia="Arial" w:hAnsi="Arial"/>
                <w:sz w:val="18"/>
                <w:szCs w:val="18"/>
                <w:color w:val="auto"/>
                <w:w w:val="94"/>
              </w:rPr>
              <w:t>shares equal to 3% of the Company’s then outstanding Common Stock (the “Grant”). The Grant will vest one-third on the</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first anniversary of the date of this Agreement, with the remainder of the Grant vesting monthly over a period of two years,</w:t>
            </w:r>
          </w:p>
        </w:tc>
      </w:tr>
      <w:tr>
        <w:trPr>
          <w:trHeight w:val="190"/>
        </w:trPr>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60" w:type="dxa"/>
            <w:vAlign w:val="bottom"/>
            <w:gridSpan w:val="12"/>
          </w:tcPr>
          <w:p>
            <w:pPr>
              <w:spacing w:after="0" w:line="190" w:lineRule="exact"/>
              <w:rPr>
                <w:sz w:val="20"/>
                <w:szCs w:val="20"/>
                <w:color w:val="auto"/>
              </w:rPr>
            </w:pPr>
            <w:r>
              <w:rPr>
                <w:rFonts w:ascii="Arial" w:cs="Arial" w:eastAsia="Arial" w:hAnsi="Arial"/>
                <w:sz w:val="18"/>
                <w:szCs w:val="18"/>
                <w:color w:val="auto"/>
                <w:w w:val="91"/>
              </w:rPr>
              <w:t>subject to the Executive’s continuous service to the Company on each such date; provided, that, subject to the remainder of</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5"/>
              </w:rPr>
              <w:t>this Agreement, if (i) the Company undergoes a Change in Control (as defined below), (ii) the Company (or any parent,</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4"/>
              </w:rPr>
              <w:t>subsidiary or affiliate of the Company or successor in interest to this Agreement) terminates the Executive’s employment</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rPr>
              <w:t>with or engagement by the Company other than for Cause (as defined below), (iii) the Executive dies or becomes</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2"/>
              </w:rPr>
              <w:t>permanently disabled (as determined reasonably by his physician), or (iv) the Executive terminates his employment with or</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rPr>
              <w:t>engagement by the Company (or any parent, subsidiary or affiliate of the Company or successor in interest to this</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Agreement) for Good Reason (as defined below), then vesting of all shares underlying the Grant, along with the vesting of</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any other Company stock or other equity incentives of the Company held by the Executive on the Date of Termination (as</w:t>
            </w:r>
          </w:p>
        </w:tc>
      </w:tr>
      <w:tr>
        <w:trPr>
          <w:trHeight w:val="190"/>
        </w:trPr>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60" w:type="dxa"/>
            <w:vAlign w:val="bottom"/>
            <w:gridSpan w:val="12"/>
          </w:tcPr>
          <w:p>
            <w:pPr>
              <w:spacing w:after="0" w:line="190" w:lineRule="exact"/>
              <w:rPr>
                <w:sz w:val="20"/>
                <w:szCs w:val="20"/>
                <w:color w:val="auto"/>
              </w:rPr>
            </w:pPr>
            <w:r>
              <w:rPr>
                <w:rFonts w:ascii="Arial" w:cs="Arial" w:eastAsia="Arial" w:hAnsi="Arial"/>
                <w:sz w:val="18"/>
                <w:szCs w:val="18"/>
                <w:color w:val="auto"/>
                <w:w w:val="98"/>
              </w:rPr>
              <w:t>defined below) that remain unvested on the Date of Termination, shall accelerate in full (the “Acceleration Benefit”).</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1400" w:type="dxa"/>
            <w:vAlign w:val="bottom"/>
          </w:tcPr>
          <w:p>
            <w:pPr>
              <w:ind w:left="980"/>
              <w:spacing w:after="0"/>
              <w:rPr>
                <w:sz w:val="20"/>
                <w:szCs w:val="20"/>
                <w:color w:val="auto"/>
              </w:rPr>
            </w:pPr>
            <w:r>
              <w:rPr>
                <w:rFonts w:ascii="Arial" w:cs="Arial" w:eastAsia="Arial" w:hAnsi="Arial"/>
                <w:sz w:val="18"/>
                <w:szCs w:val="18"/>
                <w:color w:val="auto"/>
                <w:w w:val="99"/>
              </w:rPr>
              <w:t>3.3.2</w:t>
            </w:r>
          </w:p>
        </w:tc>
        <w:tc>
          <w:tcPr>
            <w:tcW w:w="560" w:type="dxa"/>
            <w:vAlign w:val="bottom"/>
          </w:tcPr>
          <w:p>
            <w:pPr>
              <w:spacing w:after="0"/>
              <w:rPr>
                <w:sz w:val="24"/>
                <w:szCs w:val="24"/>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“Cause” shall mean termination for one or more of the following reasons: (i) material failure to follow any proper and lawful</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directive of the Board that remains uncured more than thirty (30) days after a written demand is delivered to the Executive</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that specifically identifies the manner in which the Board believes that the Executive has failed to follow such instructions,</w:t>
            </w:r>
          </w:p>
        </w:tc>
      </w:tr>
      <w:tr>
        <w:trPr>
          <w:trHeight w:val="190"/>
        </w:trPr>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60" w:type="dxa"/>
            <w:vAlign w:val="bottom"/>
            <w:gridSpan w:val="12"/>
          </w:tcPr>
          <w:p>
            <w:pPr>
              <w:spacing w:after="0" w:line="190" w:lineRule="exact"/>
              <w:rPr>
                <w:sz w:val="20"/>
                <w:szCs w:val="20"/>
                <w:color w:val="auto"/>
              </w:rPr>
            </w:pPr>
            <w:r>
              <w:rPr>
                <w:rFonts w:ascii="Arial" w:cs="Arial" w:eastAsia="Arial" w:hAnsi="Arial"/>
                <w:sz w:val="18"/>
                <w:szCs w:val="18"/>
                <w:color w:val="auto"/>
                <w:w w:val="99"/>
              </w:rPr>
              <w:t>provided, that failure to meet performance targets shall not, in and of itself, be deemed a failure to follow any such</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3"/>
              </w:rPr>
              <w:t>instructions; (ii) the Executive’s commission of an act of (a) fraud, embezzlement, or theft or (b) dishonesty that injures the</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1"/>
              </w:rPr>
              <w:t>business, business reputation or business relationships of the Company; (iii) the Executive’s conviction of, or pleading guilty</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6"/>
              </w:rPr>
              <w:t>or nolo contendere to, a felony; and (iv) material violation of any agreement between the Executive and Company that</w:t>
            </w:r>
          </w:p>
        </w:tc>
      </w:tr>
      <w:tr>
        <w:trPr>
          <w:trHeight w:val="216"/>
        </w:trPr>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4"/>
              </w:rPr>
              <w:t>remains uncured more than thirty (30) days after written notice thereof is delivered to Executive that specifically identities</w:t>
            </w:r>
          </w:p>
        </w:tc>
      </w:tr>
      <w:tr>
        <w:trPr>
          <w:trHeight w:val="190"/>
        </w:trPr>
        <w:tc>
          <w:tcPr>
            <w:tcW w:w="1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60" w:type="dxa"/>
            <w:vAlign w:val="bottom"/>
            <w:gridSpan w:val="12"/>
          </w:tcPr>
          <w:p>
            <w:pPr>
              <w:spacing w:after="0" w:line="190" w:lineRule="exact"/>
              <w:rPr>
                <w:sz w:val="20"/>
                <w:szCs w:val="20"/>
                <w:color w:val="auto"/>
              </w:rPr>
            </w:pPr>
            <w:r>
              <w:rPr>
                <w:rFonts w:ascii="Arial" w:cs="Arial" w:eastAsia="Arial" w:hAnsi="Arial"/>
                <w:sz w:val="18"/>
                <w:szCs w:val="18"/>
                <w:color w:val="auto"/>
                <w:w w:val="92"/>
              </w:rPr>
              <w:t>such violation. “Good Reason” shall mean a termination by the Executive within thirty (30) days after the occurrence of one</w:t>
            </w:r>
          </w:p>
        </w:tc>
      </w:tr>
      <w:tr>
        <w:trPr>
          <w:trHeight w:val="20"/>
        </w:trPr>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w w:val="94"/>
              </w:rPr>
              <w:t>or more of the following events without the consent of the Executive: (A) a material breach of an agreement between the</w:t>
            </w:r>
          </w:p>
        </w:tc>
      </w:tr>
      <w:tr>
        <w:trPr>
          <w:trHeight w:val="230"/>
        </w:trPr>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60" w:type="dxa"/>
            <w:vAlign w:val="bottom"/>
            <w:gridSpan w:val="12"/>
          </w:tcPr>
          <w:p>
            <w:pPr>
              <w:spacing w:after="0"/>
              <w:rPr>
                <w:sz w:val="20"/>
                <w:szCs w:val="20"/>
                <w:color w:val="auto"/>
              </w:rPr>
            </w:pPr>
            <w:r>
              <w:rPr>
                <w:rFonts w:ascii="Arial" w:cs="Arial" w:eastAsia="Arial" w:hAnsi="Arial"/>
                <w:sz w:val="18"/>
                <w:szCs w:val="18"/>
                <w:color w:val="auto"/>
              </w:rPr>
              <w:t>Company and the Executive by the Company that remains uncured more than thirty (30) days</w:t>
            </w:r>
          </w:p>
        </w:tc>
      </w:tr>
      <w:tr>
        <w:trPr>
          <w:trHeight w:val="216"/>
        </w:trPr>
        <w:tc>
          <w:tcPr>
            <w:tcW w:w="1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68"/>
        </w:trPr>
        <w:tc>
          <w:tcPr>
            <w:tcW w:w="1960" w:type="dxa"/>
            <w:vAlign w:val="bottom"/>
            <w:gridSpan w:val="2"/>
            <w:shd w:val="clear" w:color="auto" w:fill="622423"/>
          </w:tcPr>
          <w:p>
            <w:pPr>
              <w:spacing w:after="0"/>
              <w:rPr>
                <w:sz w:val="5"/>
                <w:szCs w:val="5"/>
                <w:color w:val="auto"/>
              </w:rPr>
            </w:pPr>
          </w:p>
        </w:tc>
        <w:tc>
          <w:tcPr>
            <w:tcW w:w="80" w:type="dxa"/>
            <w:vAlign w:val="bottom"/>
            <w:shd w:val="clear" w:color="auto" w:fill="622423"/>
          </w:tcPr>
          <w:p>
            <w:pPr>
              <w:spacing w:after="0"/>
              <w:rPr>
                <w:sz w:val="5"/>
                <w:szCs w:val="5"/>
                <w:color w:val="auto"/>
              </w:rPr>
            </w:pPr>
          </w:p>
        </w:tc>
        <w:tc>
          <w:tcPr>
            <w:tcW w:w="440" w:type="dxa"/>
            <w:vAlign w:val="bottom"/>
            <w:shd w:val="clear" w:color="auto" w:fill="622423"/>
          </w:tcPr>
          <w:p>
            <w:pPr>
              <w:spacing w:after="0"/>
              <w:rPr>
                <w:sz w:val="5"/>
                <w:szCs w:val="5"/>
                <w:color w:val="auto"/>
              </w:rPr>
            </w:pPr>
          </w:p>
        </w:tc>
        <w:tc>
          <w:tcPr>
            <w:tcW w:w="120" w:type="dxa"/>
            <w:vAlign w:val="bottom"/>
            <w:shd w:val="clear" w:color="auto" w:fill="622423"/>
          </w:tcPr>
          <w:p>
            <w:pPr>
              <w:spacing w:after="0"/>
              <w:rPr>
                <w:sz w:val="5"/>
                <w:szCs w:val="5"/>
                <w:color w:val="auto"/>
              </w:rPr>
            </w:pPr>
          </w:p>
        </w:tc>
        <w:tc>
          <w:tcPr>
            <w:tcW w:w="560" w:type="dxa"/>
            <w:vAlign w:val="bottom"/>
            <w:tcBorders>
              <w:left w:val="single" w:sz="8" w:color="622423"/>
            </w:tcBorders>
            <w:shd w:val="clear" w:color="auto" w:fill="622423"/>
          </w:tcPr>
          <w:p>
            <w:pPr>
              <w:spacing w:after="0"/>
              <w:rPr>
                <w:sz w:val="5"/>
                <w:szCs w:val="5"/>
                <w:color w:val="auto"/>
              </w:rPr>
            </w:pPr>
          </w:p>
        </w:tc>
        <w:tc>
          <w:tcPr>
            <w:tcW w:w="960" w:type="dxa"/>
            <w:vAlign w:val="bottom"/>
            <w:shd w:val="clear" w:color="auto" w:fill="622423"/>
          </w:tcPr>
          <w:p>
            <w:pPr>
              <w:spacing w:after="0"/>
              <w:rPr>
                <w:sz w:val="5"/>
                <w:szCs w:val="5"/>
                <w:color w:val="auto"/>
              </w:rPr>
            </w:pPr>
          </w:p>
        </w:tc>
        <w:tc>
          <w:tcPr>
            <w:tcW w:w="3380" w:type="dxa"/>
            <w:vAlign w:val="bottom"/>
            <w:shd w:val="clear" w:color="auto" w:fill="622423"/>
          </w:tcPr>
          <w:p>
            <w:pPr>
              <w:spacing w:after="0"/>
              <w:rPr>
                <w:sz w:val="5"/>
                <w:szCs w:val="5"/>
                <w:color w:val="auto"/>
              </w:rPr>
            </w:pPr>
          </w:p>
        </w:tc>
        <w:tc>
          <w:tcPr>
            <w:tcW w:w="300" w:type="dxa"/>
            <w:vAlign w:val="bottom"/>
            <w:shd w:val="clear" w:color="auto" w:fill="622423"/>
          </w:tcPr>
          <w:p>
            <w:pPr>
              <w:spacing w:after="0"/>
              <w:rPr>
                <w:sz w:val="5"/>
                <w:szCs w:val="5"/>
                <w:color w:val="auto"/>
              </w:rPr>
            </w:pPr>
          </w:p>
        </w:tc>
        <w:tc>
          <w:tcPr>
            <w:tcW w:w="120" w:type="dxa"/>
            <w:vAlign w:val="bottom"/>
            <w:shd w:val="clear" w:color="auto" w:fill="622423"/>
          </w:tcPr>
          <w:p>
            <w:pPr>
              <w:spacing w:after="0"/>
              <w:rPr>
                <w:sz w:val="5"/>
                <w:szCs w:val="5"/>
                <w:color w:val="auto"/>
              </w:rPr>
            </w:pPr>
          </w:p>
        </w:tc>
        <w:tc>
          <w:tcPr>
            <w:tcW w:w="520" w:type="dxa"/>
            <w:vAlign w:val="bottom"/>
            <w:shd w:val="clear" w:color="auto" w:fill="622423"/>
          </w:tcPr>
          <w:p>
            <w:pPr>
              <w:spacing w:after="0"/>
              <w:rPr>
                <w:sz w:val="5"/>
                <w:szCs w:val="5"/>
                <w:color w:val="auto"/>
              </w:rPr>
            </w:pPr>
          </w:p>
        </w:tc>
        <w:tc>
          <w:tcPr>
            <w:tcW w:w="260" w:type="dxa"/>
            <w:vAlign w:val="bottom"/>
            <w:shd w:val="clear" w:color="auto" w:fill="622423"/>
          </w:tcPr>
          <w:p>
            <w:pPr>
              <w:spacing w:after="0"/>
              <w:rPr>
                <w:sz w:val="5"/>
                <w:szCs w:val="5"/>
                <w:color w:val="auto"/>
              </w:rPr>
            </w:pPr>
          </w:p>
        </w:tc>
        <w:tc>
          <w:tcPr>
            <w:tcW w:w="1500" w:type="dxa"/>
            <w:vAlign w:val="bottom"/>
            <w:shd w:val="clear" w:color="auto" w:fill="622423"/>
          </w:tcPr>
          <w:p>
            <w:pPr>
              <w:spacing w:after="0"/>
              <w:rPr>
                <w:sz w:val="5"/>
                <w:szCs w:val="5"/>
                <w:color w:val="auto"/>
              </w:rPr>
            </w:pPr>
          </w:p>
        </w:tc>
        <w:tc>
          <w:tcPr>
            <w:tcW w:w="820" w:type="dxa"/>
            <w:vAlign w:val="bottom"/>
            <w:shd w:val="clear" w:color="auto" w:fill="622423"/>
          </w:tcPr>
          <w:p>
            <w:pPr>
              <w:spacing w:after="0"/>
              <w:rPr>
                <w:sz w:val="5"/>
                <w:szCs w:val="5"/>
                <w:color w:val="auto"/>
              </w:rPr>
            </w:pPr>
          </w:p>
        </w:tc>
      </w:tr>
      <w:tr>
        <w:trPr>
          <w:trHeight w:val="257"/>
        </w:trPr>
        <w:tc>
          <w:tcPr>
            <w:tcW w:w="3160" w:type="dxa"/>
            <w:vAlign w:val="bottom"/>
            <w:gridSpan w:val="6"/>
          </w:tcPr>
          <w:p>
            <w:pPr>
              <w:spacing w:after="0"/>
              <w:rPr>
                <w:sz w:val="20"/>
                <w:szCs w:val="20"/>
                <w:color w:val="auto"/>
              </w:rPr>
            </w:pPr>
            <w:r>
              <w:rPr>
                <w:rFonts w:ascii="Arial" w:cs="Arial" w:eastAsia="Arial" w:hAnsi="Arial"/>
                <w:sz w:val="18"/>
                <w:szCs w:val="18"/>
                <w:color w:val="auto"/>
              </w:rPr>
              <w:t>Executive Employment Agreement</w:t>
            </w:r>
          </w:p>
        </w:tc>
        <w:tc>
          <w:tcPr>
            <w:tcW w:w="4340" w:type="dxa"/>
            <w:vAlign w:val="bottom"/>
            <w:gridSpan w:val="2"/>
          </w:tcPr>
          <w:p>
            <w:pPr>
              <w:jc w:val="right"/>
              <w:ind w:right="19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ectPr>
          <w:pgSz w:w="11900" w:h="16838" w:orient="portrait"/>
          <w:cols w:equalWidth="0" w:num="1">
            <w:col w:w="11020"/>
          </w:cols>
          <w:pgMar w:left="440" w:top="273" w:right="439" w:bottom="1440" w:gutter="0" w:footer="0" w:header="0"/>
        </w:sectPr>
      </w:pPr>
    </w:p>
    <w:bookmarkStart w:id="544" w:name="page545"/>
    <w:bookmarkEnd w:id="544"/>
    <w:p>
      <w:pPr>
        <w:ind w:left="1960"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written notice thereof is delivered to the Company that specifically identities such breach; (B) the Company significantly reduces the Executive’s Base Salary or the percentage eligibility established for the Executive’s Performance Bonus, other than any Company-wide reduction in compensation of employees; (C) the Company significantly reduces the Executive’s duties, authority or responsibilities relative to Executive’s duties, authority or responsibilities in effect immediately prior to such reduction; or (D) the Company relocates the facility that is the Executive’s principal place of business with the Company to a location more than fifty (50) miles from the immediately preceding location (excluding regular travel in the ordinary course of business). “</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any one or more of the following events: (x) any person (within the meaning of Section 13(d) or 14(d) of the Securities Exchange Act of 1934, as amended) becomes the owner, directly or indirectly, of securities of the Company representing more than fifty percent of the combined voting power of the Company’s then outstanding securities (other than in connection with a transaction involving the issuance of securities by the Company the principal purpose of which is to raise capital for the Company); (y) there is consummated a merger, consolidation or similar transaction to which the Company is a party and the stockholders of the Company immediately prior thereto do not own outstanding voting securities representing more than fifty percent of the combined outstanding voting power of the surviving entity immediately following such merger, consolidation or similar transaction or more than fifty percent of the combined outstanding voting power of the parent of the surviving entity immediately following such merger, consolidation or similar transaction; or (z) there is consummated a sale, lease, exclusive license or other disposition of all or substantially all of the consolidated assets of the Company and its subsidiaries, other than a sale, lease or other disposition of all or substantially all of the consolidated assets of the Company and its subsidiaries to an entity more than fifty percent (50%) of the combined voting power of which is owned immediately following such disposition by the stockholders of the Company immediately prior thereto.</w:t>
      </w:r>
    </w:p>
    <w:p>
      <w:pPr>
        <w:spacing w:after="0" w:line="182"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terms of this Agreement and the terms of any Grant documentation, including without limitation vesting terms or the definition of “Cause,” the terms of this Agreement shall govern.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Vacation</w:t>
      </w:r>
      <w:r>
        <w:rPr>
          <w:rFonts w:ascii="Arial" w:cs="Arial" w:eastAsia="Arial" w:hAnsi="Arial"/>
          <w:sz w:val="18"/>
          <w:szCs w:val="18"/>
          <w:color w:val="auto"/>
        </w:rPr>
        <w:t>. In addition to statutory holidays, the Executive shall be entitled to such number of days of paid vacation each calendar year that the Company provides to executive-level employees, which, if the Company’s accrues vacation time, shall accrue ratably each month and be administered in accordance with the Company’s policies in effect from time to time. No unused vacation time of the Executive may be carried forward to the next year unless the Company has a policy requiring or allowing otherwise.</w:t>
      </w:r>
    </w:p>
    <w:p>
      <w:pPr>
        <w:spacing w:after="0" w:line="187"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Benefits</w:t>
      </w:r>
      <w:r>
        <w:rPr>
          <w:rFonts w:ascii="Arial" w:cs="Arial" w:eastAsia="Arial" w:hAnsi="Arial"/>
          <w:sz w:val="18"/>
          <w:szCs w:val="18"/>
          <w:color w:val="auto"/>
        </w:rPr>
        <w:t>. During the period the Executive is employed by the Company, the Executive shall be entitled to participate in such employee benefits that the Company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431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980"/>
          </w:cols>
          <w:pgMar w:left="440" w:top="273" w:right="479" w:bottom="1440" w:gutter="0" w:footer="0" w:header="0"/>
        </w:sectPr>
      </w:pPr>
    </w:p>
    <w:bookmarkStart w:id="545" w:name="page546"/>
    <w:bookmarkEnd w:id="545"/>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available from time to time to executive-level employees generally, on a basis no less favorable than such executive-level employees, subject to the terms and conditions applicable to such benefits or benefit plans.</w:t>
      </w:r>
    </w:p>
    <w:p>
      <w:pPr>
        <w:spacing w:after="0" w:line="170"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Reimbursement</w:t>
      </w:r>
      <w:r>
        <w:rPr>
          <w:rFonts w:ascii="Arial" w:cs="Arial" w:eastAsia="Arial" w:hAnsi="Arial"/>
          <w:sz w:val="17"/>
          <w:szCs w:val="17"/>
          <w:color w:val="auto"/>
        </w:rPr>
        <w:t>. The Company shall reimburse the Executive for (or, in the Company’s sole discretion, shall pay directly) reasonable out-of-pocket expenses incurred by the Executive in accordance with any expense reimbursement policy adopted by the Company relating to the business or affairs of the Company or the performance of the Executive’s duties hereunder, including, without limitation, reasonable expenses with respect to entertainment, travel and similar items. All reimbursements shall be paid as soon as administratively practicable, but in no event shall any reimbursement be paid after the last day of the taxable year following the taxable year in which the expense was incurred.</w:t>
      </w:r>
    </w:p>
    <w:p>
      <w:pPr>
        <w:spacing w:after="0" w:line="17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will withhold from the Executive’s compensation all applicable amounts required by law or authorized by the Executive.</w:t>
      </w:r>
    </w:p>
    <w:p>
      <w:pPr>
        <w:spacing w:after="0" w:line="278" w:lineRule="exact"/>
        <w:rPr>
          <w:sz w:val="20"/>
          <w:szCs w:val="20"/>
          <w:color w:val="auto"/>
        </w:rPr>
      </w:pPr>
    </w:p>
    <w:p>
      <w:pPr>
        <w:ind w:left="760" w:hanging="324"/>
        <w:spacing w:after="0"/>
        <w:tabs>
          <w:tab w:leader="none" w:pos="76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Payments Upon Termination of Employment</w:t>
      </w:r>
      <w:r>
        <w:rPr>
          <w:rFonts w:ascii="Arial" w:cs="Arial" w:eastAsia="Arial" w:hAnsi="Arial"/>
          <w:sz w:val="18"/>
          <w:szCs w:val="18"/>
          <w:color w:val="auto"/>
        </w:rPr>
        <w:t>.</w:t>
      </w:r>
    </w:p>
    <w:p>
      <w:pPr>
        <w:spacing w:after="0" w:line="117" w:lineRule="exact"/>
        <w:rPr>
          <w:sz w:val="20"/>
          <w:szCs w:val="20"/>
          <w:color w:val="auto"/>
        </w:rPr>
      </w:pPr>
    </w:p>
    <w:p>
      <w:pPr>
        <w:ind w:right="440" w:firstLine="991"/>
        <w:spacing w:after="0" w:line="31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Termination for Any Reason</w:t>
      </w:r>
      <w:r>
        <w:rPr>
          <w:rFonts w:ascii="Arial" w:cs="Arial" w:eastAsia="Arial" w:hAnsi="Arial"/>
          <w:sz w:val="16"/>
          <w:szCs w:val="16"/>
          <w:color w:val="auto"/>
        </w:rPr>
        <w:t>. In the event that the Executive’s employment with the Company terminates for any reason, the Company shall pay to the Executive any unpaid Base Salary earned through the Executive’s last day of employment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in accordance with this Agreement and expense reimbursements accrued but unpaid as of the Date of Termination (the “</w:t>
      </w:r>
      <w:r>
        <w:rPr>
          <w:rFonts w:ascii="Arial" w:cs="Arial" w:eastAsia="Arial" w:hAnsi="Arial"/>
          <w:sz w:val="16"/>
          <w:szCs w:val="16"/>
          <w:u w:val="single" w:color="auto"/>
          <w:color w:val="auto"/>
        </w:rPr>
        <w:t>Accrued Benefit</w:t>
      </w:r>
      <w:r>
        <w:rPr>
          <w:rFonts w:ascii="Arial" w:cs="Arial" w:eastAsia="Arial" w:hAnsi="Arial"/>
          <w:sz w:val="16"/>
          <w:szCs w:val="16"/>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6"/>
          </w:tcPr>
          <w:p>
            <w:pPr>
              <w:ind w:left="980"/>
              <w:spacing w:after="0"/>
              <w:rPr>
                <w:sz w:val="20"/>
                <w:szCs w:val="20"/>
                <w:color w:val="auto"/>
              </w:rPr>
            </w:pPr>
            <w:r>
              <w:rPr>
                <w:rFonts w:ascii="Arial" w:cs="Arial" w:eastAsia="Arial" w:hAnsi="Arial"/>
                <w:sz w:val="18"/>
                <w:szCs w:val="18"/>
                <w:color w:val="auto"/>
              </w:rPr>
              <w:t>4.2  Benefits Upon Termination Without Cause.</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4"/>
        </w:trPr>
        <w:tc>
          <w:tcPr>
            <w:tcW w:w="1400" w:type="dxa"/>
            <w:vAlign w:val="bottom"/>
          </w:tcPr>
          <w:p>
            <w:pPr>
              <w:ind w:left="980"/>
              <w:spacing w:after="0"/>
              <w:rPr>
                <w:sz w:val="20"/>
                <w:szCs w:val="20"/>
                <w:color w:val="auto"/>
              </w:rPr>
            </w:pPr>
            <w:r>
              <w:rPr>
                <w:rFonts w:ascii="Arial" w:cs="Arial" w:eastAsia="Arial" w:hAnsi="Arial"/>
                <w:sz w:val="18"/>
                <w:szCs w:val="18"/>
                <w:color w:val="auto"/>
                <w:w w:val="99"/>
              </w:rPr>
              <w:t>4.2.1</w:t>
            </w: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3"/>
              </w:rPr>
              <w:t>If the Company terminates the Executive’s employment for a reason other than for Cause, or the Executive terminates his</w:t>
            </w:r>
          </w:p>
        </w:tc>
      </w:tr>
      <w:tr>
        <w:trPr>
          <w:trHeight w:val="216"/>
        </w:trPr>
        <w:tc>
          <w:tcPr>
            <w:tcW w:w="1400" w:type="dxa"/>
            <w:vAlign w:val="bottom"/>
          </w:tcPr>
          <w:p>
            <w:pPr>
              <w:spacing w:after="0"/>
              <w:rPr>
                <w:sz w:val="18"/>
                <w:szCs w:val="18"/>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2"/>
              </w:rPr>
              <w:t>employment with the Company for Good Reason, the Company will provide the Executive with the Acceleration Benefit and</w:t>
            </w:r>
          </w:p>
        </w:tc>
      </w:tr>
      <w:tr>
        <w:trPr>
          <w:trHeight w:val="190"/>
        </w:trPr>
        <w:tc>
          <w:tcPr>
            <w:tcW w:w="1400" w:type="dxa"/>
            <w:vAlign w:val="bottom"/>
          </w:tcPr>
          <w:p>
            <w:pPr>
              <w:spacing w:after="0"/>
              <w:rPr>
                <w:sz w:val="16"/>
                <w:szCs w:val="16"/>
                <w:color w:val="auto"/>
              </w:rPr>
            </w:pPr>
          </w:p>
        </w:tc>
        <w:tc>
          <w:tcPr>
            <w:tcW w:w="9620" w:type="dxa"/>
            <w:vAlign w:val="bottom"/>
            <w:gridSpan w:val="12"/>
          </w:tcPr>
          <w:p>
            <w:pPr>
              <w:ind w:left="560"/>
              <w:spacing w:after="0" w:line="190" w:lineRule="exact"/>
              <w:rPr>
                <w:sz w:val="20"/>
                <w:szCs w:val="20"/>
                <w:color w:val="auto"/>
              </w:rPr>
            </w:pPr>
            <w:r>
              <w:rPr>
                <w:rFonts w:ascii="Arial" w:cs="Arial" w:eastAsia="Arial" w:hAnsi="Arial"/>
                <w:sz w:val="18"/>
                <w:szCs w:val="18"/>
                <w:color w:val="auto"/>
                <w:w w:val="98"/>
              </w:rPr>
              <w:t>the following “Salary Continuation Payments” (collectively, the “Severance Benefit”), provided, that: (i) the Executive</w:t>
            </w:r>
          </w:p>
        </w:tc>
      </w:tr>
      <w:tr>
        <w:trPr>
          <w:trHeight w:val="20"/>
        </w:trPr>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1"/>
              </w:rPr>
              <w:t>complies with the provisions set forth in Section 4.2.4, (ii) the Executive enters into a general release reasonably acceptable</w:t>
            </w:r>
          </w:p>
        </w:tc>
      </w:tr>
      <w:tr>
        <w:trPr>
          <w:trHeight w:val="190"/>
        </w:trPr>
        <w:tc>
          <w:tcPr>
            <w:tcW w:w="1400" w:type="dxa"/>
            <w:vAlign w:val="bottom"/>
          </w:tcPr>
          <w:p>
            <w:pPr>
              <w:spacing w:after="0"/>
              <w:rPr>
                <w:sz w:val="16"/>
                <w:szCs w:val="16"/>
                <w:color w:val="auto"/>
              </w:rPr>
            </w:pPr>
          </w:p>
        </w:tc>
        <w:tc>
          <w:tcPr>
            <w:tcW w:w="9620" w:type="dxa"/>
            <w:vAlign w:val="bottom"/>
            <w:gridSpan w:val="12"/>
          </w:tcPr>
          <w:p>
            <w:pPr>
              <w:ind w:left="560"/>
              <w:spacing w:after="0" w:line="190" w:lineRule="exact"/>
              <w:rPr>
                <w:sz w:val="20"/>
                <w:szCs w:val="20"/>
                <w:color w:val="auto"/>
              </w:rPr>
            </w:pPr>
            <w:r>
              <w:rPr>
                <w:rFonts w:ascii="Arial" w:cs="Arial" w:eastAsia="Arial" w:hAnsi="Arial"/>
                <w:sz w:val="18"/>
                <w:szCs w:val="18"/>
                <w:color w:val="auto"/>
                <w:w w:val="94"/>
              </w:rPr>
              <w:t>to the Company (the “Release”), and (iii) such general release becomes effective and irrevocable prior to the Executive’s</w:t>
            </w:r>
          </w:p>
        </w:tc>
      </w:tr>
      <w:tr>
        <w:trPr>
          <w:trHeight w:val="20"/>
        </w:trPr>
        <w:tc>
          <w:tcPr>
            <w:tcW w:w="1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r>
      <w:tr>
        <w:trPr>
          <w:trHeight w:val="222"/>
        </w:trPr>
        <w:tc>
          <w:tcPr>
            <w:tcW w:w="1400" w:type="dxa"/>
            <w:vAlign w:val="bottom"/>
          </w:tcPr>
          <w:p>
            <w:pPr>
              <w:spacing w:after="0"/>
              <w:rPr>
                <w:sz w:val="19"/>
                <w:szCs w:val="19"/>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8"/>
              </w:rPr>
              <w:t>receipt of any Severance Benefits: continuation of the Executive’s Base Salary for the twelve (12) month period that</w:t>
            </w:r>
          </w:p>
        </w:tc>
      </w:tr>
      <w:tr>
        <w:trPr>
          <w:trHeight w:val="190"/>
        </w:trPr>
        <w:tc>
          <w:tcPr>
            <w:tcW w:w="1400" w:type="dxa"/>
            <w:vAlign w:val="bottom"/>
          </w:tcPr>
          <w:p>
            <w:pPr>
              <w:spacing w:after="0"/>
              <w:rPr>
                <w:sz w:val="16"/>
                <w:szCs w:val="16"/>
                <w:color w:val="auto"/>
              </w:rPr>
            </w:pPr>
          </w:p>
        </w:tc>
        <w:tc>
          <w:tcPr>
            <w:tcW w:w="9620" w:type="dxa"/>
            <w:vAlign w:val="bottom"/>
            <w:gridSpan w:val="12"/>
          </w:tcPr>
          <w:p>
            <w:pPr>
              <w:ind w:left="560"/>
              <w:spacing w:after="0" w:line="190" w:lineRule="exact"/>
              <w:rPr>
                <w:sz w:val="20"/>
                <w:szCs w:val="20"/>
                <w:color w:val="auto"/>
              </w:rPr>
            </w:pPr>
            <w:r>
              <w:rPr>
                <w:rFonts w:ascii="Arial" w:cs="Arial" w:eastAsia="Arial" w:hAnsi="Arial"/>
                <w:sz w:val="18"/>
                <w:szCs w:val="18"/>
                <w:color w:val="auto"/>
              </w:rPr>
              <w:t>immediately follows the Date of Termination (the “Severance Period”).</w:t>
            </w:r>
          </w:p>
        </w:tc>
      </w:tr>
      <w:tr>
        <w:trPr>
          <w:trHeight w:val="20"/>
        </w:trPr>
        <w:tc>
          <w:tcPr>
            <w:tcW w:w="140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r>
      <w:tr>
        <w:trPr>
          <w:trHeight w:val="344"/>
        </w:trPr>
        <w:tc>
          <w:tcPr>
            <w:tcW w:w="1400" w:type="dxa"/>
            <w:vAlign w:val="bottom"/>
          </w:tcPr>
          <w:p>
            <w:pPr>
              <w:ind w:left="980"/>
              <w:spacing w:after="0"/>
              <w:rPr>
                <w:sz w:val="20"/>
                <w:szCs w:val="20"/>
                <w:color w:val="auto"/>
              </w:rPr>
            </w:pPr>
            <w:r>
              <w:rPr>
                <w:rFonts w:ascii="Arial" w:cs="Arial" w:eastAsia="Arial" w:hAnsi="Arial"/>
                <w:sz w:val="18"/>
                <w:szCs w:val="18"/>
                <w:color w:val="auto"/>
                <w:w w:val="99"/>
              </w:rPr>
              <w:t>4.2.2</w:t>
            </w: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1"/>
              </w:rPr>
              <w:t>The Severance Benefit will be subject to standard payroll deductions and withholdings and will payable in equal installments</w:t>
            </w:r>
          </w:p>
        </w:tc>
      </w:tr>
      <w:tr>
        <w:trPr>
          <w:trHeight w:val="216"/>
        </w:trPr>
        <w:tc>
          <w:tcPr>
            <w:tcW w:w="1400" w:type="dxa"/>
            <w:vAlign w:val="bottom"/>
          </w:tcPr>
          <w:p>
            <w:pPr>
              <w:spacing w:after="0"/>
              <w:rPr>
                <w:sz w:val="18"/>
                <w:szCs w:val="18"/>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2"/>
              </w:rPr>
              <w:t>over the Severance Period on the Company’s ordinary payroll dates, beginning no later than the Company’s second payroll</w:t>
            </w:r>
          </w:p>
        </w:tc>
      </w:tr>
      <w:tr>
        <w:trPr>
          <w:trHeight w:val="216"/>
        </w:trPr>
        <w:tc>
          <w:tcPr>
            <w:tcW w:w="1400" w:type="dxa"/>
            <w:vAlign w:val="bottom"/>
          </w:tcPr>
          <w:p>
            <w:pPr>
              <w:spacing w:after="0"/>
              <w:rPr>
                <w:sz w:val="18"/>
                <w:szCs w:val="18"/>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w w:val="91"/>
              </w:rPr>
              <w:t>date that occurs after the effective date of the Release, with the remaining installments occurring on the Company’s regularly</w:t>
            </w:r>
          </w:p>
        </w:tc>
      </w:tr>
      <w:tr>
        <w:trPr>
          <w:trHeight w:val="230"/>
        </w:trPr>
        <w:tc>
          <w:tcPr>
            <w:tcW w:w="1400" w:type="dxa"/>
            <w:vAlign w:val="bottom"/>
          </w:tcPr>
          <w:p>
            <w:pPr>
              <w:spacing w:after="0"/>
              <w:rPr>
                <w:sz w:val="20"/>
                <w:szCs w:val="20"/>
                <w:color w:val="auto"/>
              </w:rPr>
            </w:pPr>
          </w:p>
        </w:tc>
        <w:tc>
          <w:tcPr>
            <w:tcW w:w="9620" w:type="dxa"/>
            <w:vAlign w:val="bottom"/>
            <w:gridSpan w:val="12"/>
          </w:tcPr>
          <w:p>
            <w:pPr>
              <w:ind w:left="560"/>
              <w:spacing w:after="0"/>
              <w:rPr>
                <w:sz w:val="20"/>
                <w:szCs w:val="20"/>
                <w:color w:val="auto"/>
              </w:rPr>
            </w:pPr>
            <w:r>
              <w:rPr>
                <w:rFonts w:ascii="Arial" w:cs="Arial" w:eastAsia="Arial" w:hAnsi="Arial"/>
                <w:sz w:val="18"/>
                <w:szCs w:val="18"/>
                <w:color w:val="auto"/>
              </w:rPr>
              <w:t>scheduled payroll dates thereafter, in cash or immediately available funds.</w:t>
            </w:r>
          </w:p>
        </w:tc>
      </w:tr>
      <w:tr>
        <w:trPr>
          <w:trHeight w:val="216"/>
        </w:trPr>
        <w:tc>
          <w:tcPr>
            <w:tcW w:w="30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68"/>
        </w:trPr>
        <w:tc>
          <w:tcPr>
            <w:tcW w:w="3060" w:type="dxa"/>
            <w:vAlign w:val="bottom"/>
            <w:gridSpan w:val="2"/>
            <w:shd w:val="clear" w:color="auto" w:fill="622423"/>
          </w:tcPr>
          <w:p>
            <w:pPr>
              <w:spacing w:after="0"/>
              <w:rPr>
                <w:sz w:val="5"/>
                <w:szCs w:val="5"/>
                <w:color w:val="auto"/>
              </w:rPr>
            </w:pPr>
          </w:p>
        </w:tc>
        <w:tc>
          <w:tcPr>
            <w:tcW w:w="500" w:type="dxa"/>
            <w:vAlign w:val="bottom"/>
            <w:shd w:val="clear" w:color="auto" w:fill="622423"/>
          </w:tcPr>
          <w:p>
            <w:pPr>
              <w:spacing w:after="0"/>
              <w:rPr>
                <w:sz w:val="5"/>
                <w:szCs w:val="5"/>
                <w:color w:val="auto"/>
              </w:rPr>
            </w:pPr>
          </w:p>
        </w:tc>
        <w:tc>
          <w:tcPr>
            <w:tcW w:w="560" w:type="dxa"/>
            <w:vAlign w:val="bottom"/>
            <w:shd w:val="clear" w:color="auto" w:fill="622423"/>
          </w:tcPr>
          <w:p>
            <w:pPr>
              <w:spacing w:after="0"/>
              <w:rPr>
                <w:sz w:val="5"/>
                <w:szCs w:val="5"/>
                <w:color w:val="auto"/>
              </w:rPr>
            </w:pPr>
          </w:p>
        </w:tc>
        <w:tc>
          <w:tcPr>
            <w:tcW w:w="340" w:type="dxa"/>
            <w:vAlign w:val="bottom"/>
            <w:shd w:val="clear" w:color="auto" w:fill="622423"/>
          </w:tcPr>
          <w:p>
            <w:pPr>
              <w:spacing w:after="0"/>
              <w:rPr>
                <w:sz w:val="5"/>
                <w:szCs w:val="5"/>
                <w:color w:val="auto"/>
              </w:rPr>
            </w:pPr>
          </w:p>
        </w:tc>
        <w:tc>
          <w:tcPr>
            <w:tcW w:w="780" w:type="dxa"/>
            <w:vAlign w:val="bottom"/>
            <w:shd w:val="clear" w:color="auto" w:fill="622423"/>
          </w:tcPr>
          <w:p>
            <w:pPr>
              <w:spacing w:after="0"/>
              <w:rPr>
                <w:sz w:val="5"/>
                <w:szCs w:val="5"/>
                <w:color w:val="auto"/>
              </w:rPr>
            </w:pPr>
          </w:p>
        </w:tc>
        <w:tc>
          <w:tcPr>
            <w:tcW w:w="420" w:type="dxa"/>
            <w:vAlign w:val="bottom"/>
            <w:shd w:val="clear" w:color="auto" w:fill="622423"/>
          </w:tcPr>
          <w:p>
            <w:pPr>
              <w:spacing w:after="0"/>
              <w:rPr>
                <w:sz w:val="5"/>
                <w:szCs w:val="5"/>
                <w:color w:val="auto"/>
              </w:rPr>
            </w:pPr>
          </w:p>
        </w:tc>
        <w:tc>
          <w:tcPr>
            <w:tcW w:w="1040" w:type="dxa"/>
            <w:vAlign w:val="bottom"/>
            <w:shd w:val="clear" w:color="auto" w:fill="622423"/>
          </w:tcPr>
          <w:p>
            <w:pPr>
              <w:spacing w:after="0"/>
              <w:rPr>
                <w:sz w:val="5"/>
                <w:szCs w:val="5"/>
                <w:color w:val="auto"/>
              </w:rPr>
            </w:pPr>
          </w:p>
        </w:tc>
        <w:tc>
          <w:tcPr>
            <w:tcW w:w="220" w:type="dxa"/>
            <w:vAlign w:val="bottom"/>
            <w:shd w:val="clear" w:color="auto" w:fill="622423"/>
          </w:tcPr>
          <w:p>
            <w:pPr>
              <w:spacing w:after="0"/>
              <w:rPr>
                <w:sz w:val="5"/>
                <w:szCs w:val="5"/>
                <w:color w:val="auto"/>
              </w:rPr>
            </w:pPr>
          </w:p>
        </w:tc>
        <w:tc>
          <w:tcPr>
            <w:tcW w:w="1080" w:type="dxa"/>
            <w:vAlign w:val="bottom"/>
            <w:shd w:val="clear" w:color="auto" w:fill="622423"/>
          </w:tcPr>
          <w:p>
            <w:pPr>
              <w:spacing w:after="0"/>
              <w:rPr>
                <w:sz w:val="5"/>
                <w:szCs w:val="5"/>
                <w:color w:val="auto"/>
              </w:rPr>
            </w:pPr>
          </w:p>
        </w:tc>
        <w:tc>
          <w:tcPr>
            <w:tcW w:w="240" w:type="dxa"/>
            <w:vAlign w:val="bottom"/>
            <w:shd w:val="clear" w:color="auto" w:fill="622423"/>
          </w:tcPr>
          <w:p>
            <w:pPr>
              <w:spacing w:after="0"/>
              <w:rPr>
                <w:sz w:val="5"/>
                <w:szCs w:val="5"/>
                <w:color w:val="auto"/>
              </w:rPr>
            </w:pPr>
          </w:p>
        </w:tc>
        <w:tc>
          <w:tcPr>
            <w:tcW w:w="640" w:type="dxa"/>
            <w:vAlign w:val="bottom"/>
            <w:shd w:val="clear" w:color="auto" w:fill="622423"/>
          </w:tcPr>
          <w:p>
            <w:pPr>
              <w:spacing w:after="0"/>
              <w:rPr>
                <w:sz w:val="5"/>
                <w:szCs w:val="5"/>
                <w:color w:val="auto"/>
              </w:rPr>
            </w:pPr>
          </w:p>
        </w:tc>
        <w:tc>
          <w:tcPr>
            <w:tcW w:w="2140" w:type="dxa"/>
            <w:vAlign w:val="bottom"/>
            <w:shd w:val="clear" w:color="auto" w:fill="622423"/>
          </w:tcPr>
          <w:p>
            <w:pPr>
              <w:spacing w:after="0"/>
              <w:rPr>
                <w:sz w:val="5"/>
                <w:szCs w:val="5"/>
                <w:color w:val="auto"/>
              </w:rPr>
            </w:pPr>
          </w:p>
        </w:tc>
      </w:tr>
      <w:tr>
        <w:trPr>
          <w:trHeight w:val="257"/>
        </w:trPr>
        <w:tc>
          <w:tcPr>
            <w:tcW w:w="5240" w:type="dxa"/>
            <w:vAlign w:val="bottom"/>
            <w:gridSpan w:val="6"/>
          </w:tcPr>
          <w:p>
            <w:pPr>
              <w:spacing w:after="0"/>
              <w:rPr>
                <w:sz w:val="20"/>
                <w:szCs w:val="20"/>
                <w:color w:val="auto"/>
              </w:rPr>
            </w:pPr>
            <w:r>
              <w:rPr>
                <w:rFonts w:ascii="Arial" w:cs="Arial" w:eastAsia="Arial" w:hAnsi="Arial"/>
                <w:sz w:val="18"/>
                <w:szCs w:val="18"/>
                <w:color w:val="auto"/>
              </w:rPr>
              <w:t>Executive Employment Agreement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40" w:type="dxa"/>
            <w:vAlign w:val="bottom"/>
          </w:tcPr>
          <w:p>
            <w:pPr>
              <w:spacing w:after="0"/>
              <w:rPr>
                <w:sz w:val="22"/>
                <w:szCs w:val="22"/>
                <w:color w:val="auto"/>
              </w:rPr>
            </w:pPr>
          </w:p>
        </w:tc>
      </w:tr>
    </w:tbl>
    <w:p>
      <w:pPr>
        <w:sectPr>
          <w:pgSz w:w="11900" w:h="16838" w:orient="portrait"/>
          <w:cols w:equalWidth="0" w:num="1">
            <w:col w:w="11020"/>
          </w:cols>
          <w:pgMar w:left="440" w:top="273" w:right="439" w:bottom="1440" w:gutter="0" w:footer="0" w:header="0"/>
        </w:sectPr>
      </w:pPr>
    </w:p>
    <w:bookmarkStart w:id="546" w:name="page547"/>
    <w:bookmarkEnd w:id="5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980" w:type="dxa"/>
        <w:tblCellMar>
          <w:top w:w="0" w:type="dxa"/>
          <w:left w:w="0" w:type="dxa"/>
          <w:bottom w:w="0" w:type="dxa"/>
          <w:right w:w="0" w:type="dxa"/>
        </w:tblCellMar>
      </w:tblP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4.2.3</w:t>
            </w: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The Severance Benefit and Acceleration Benefit are further conditioned on the following: (i) if the Executive holds any other</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positions with the Company, including as member of the Board or any boards of directors of any subsidiaries, the Executive</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1"/>
              </w:rPr>
              <w:t>resigns such position(s) to be effective no later than the Date of Termination (or such other date as requested by the Board);</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5"/>
              </w:rPr>
              <w:t>(ii) the Executive returns all Company property; and (iii) the Executive complies with the terms of the Release, including</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rPr>
              <w:t>without limitation any non-disparagement and confidentiality provisions contained therein.</w:t>
            </w:r>
          </w:p>
        </w:tc>
      </w:tr>
      <w:tr>
        <w:trPr>
          <w:trHeight w:val="323"/>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4.2.4</w:t>
            </w:r>
          </w:p>
        </w:tc>
        <w:tc>
          <w:tcPr>
            <w:tcW w:w="9340" w:type="dxa"/>
            <w:vAlign w:val="bottom"/>
          </w:tcPr>
          <w:p>
            <w:pPr>
              <w:ind w:left="300"/>
              <w:spacing w:after="0"/>
              <w:rPr>
                <w:sz w:val="20"/>
                <w:szCs w:val="20"/>
                <w:color w:val="auto"/>
              </w:rPr>
            </w:pPr>
            <w:r>
              <w:rPr>
                <w:rFonts w:ascii="Arial" w:cs="Arial" w:eastAsia="Arial" w:hAnsi="Arial"/>
                <w:sz w:val="18"/>
                <w:szCs w:val="18"/>
                <w:color w:val="auto"/>
                <w:w w:val="90"/>
              </w:rPr>
              <w:t>In exchange for the Severance Benefit and the Acceleration Benefit, Executive agrees that Executive shall not, during and for</w:t>
            </w:r>
          </w:p>
        </w:tc>
      </w:tr>
      <w:tr>
        <w:trPr>
          <w:trHeight w:val="216"/>
        </w:trPr>
        <w:tc>
          <w:tcPr>
            <w:tcW w:w="680" w:type="dxa"/>
            <w:vAlign w:val="bottom"/>
          </w:tcPr>
          <w:p>
            <w:pPr>
              <w:spacing w:after="0"/>
              <w:rPr>
                <w:sz w:val="18"/>
                <w:szCs w:val="18"/>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2"/>
              </w:rPr>
              <w:t>a period of 12 months following the Date of Termination, or, if a court of competent jurisdiction determines that such period</w:t>
            </w:r>
          </w:p>
        </w:tc>
      </w:tr>
      <w:tr>
        <w:trPr>
          <w:trHeight w:val="230"/>
        </w:trPr>
        <w:tc>
          <w:tcPr>
            <w:tcW w:w="680" w:type="dxa"/>
            <w:vAlign w:val="bottom"/>
          </w:tcPr>
          <w:p>
            <w:pPr>
              <w:spacing w:after="0"/>
              <w:rPr>
                <w:sz w:val="20"/>
                <w:szCs w:val="20"/>
                <w:color w:val="auto"/>
              </w:rPr>
            </w:pPr>
          </w:p>
        </w:tc>
        <w:tc>
          <w:tcPr>
            <w:tcW w:w="9340" w:type="dxa"/>
            <w:vAlign w:val="bottom"/>
          </w:tcPr>
          <w:p>
            <w:pPr>
              <w:ind w:left="300"/>
              <w:spacing w:after="0"/>
              <w:rPr>
                <w:sz w:val="20"/>
                <w:szCs w:val="20"/>
                <w:color w:val="auto"/>
              </w:rPr>
            </w:pPr>
            <w:r>
              <w:rPr>
                <w:rFonts w:ascii="Arial" w:cs="Arial" w:eastAsia="Arial" w:hAnsi="Arial"/>
                <w:sz w:val="18"/>
                <w:szCs w:val="18"/>
                <w:color w:val="auto"/>
                <w:w w:val="99"/>
              </w:rPr>
              <w:t>is unenforceable, during and for a period of 9 months following the Date of Termination, or, if a court of competent</w:t>
            </w:r>
          </w:p>
        </w:tc>
      </w:tr>
    </w:tbl>
    <w:p>
      <w:pPr>
        <w:ind w:left="1960"/>
        <w:spacing w:after="0" w:line="302" w:lineRule="auto"/>
        <w:rPr>
          <w:sz w:val="20"/>
          <w:szCs w:val="20"/>
          <w:color w:val="auto"/>
        </w:rPr>
      </w:pPr>
      <w:r>
        <w:rPr>
          <w:rFonts w:ascii="Arial" w:cs="Arial" w:eastAsia="Arial" w:hAnsi="Arial"/>
          <w:sz w:val="16"/>
          <w:szCs w:val="16"/>
          <w:color w:val="auto"/>
        </w:rPr>
        <w:t>jurisdiction determines that such period is unenforceable, during and for a period of 6 months following the Date of Termination, or, if a court of competent jurisdiction determines that such period is unenforceable, during and for a period of 3 months following the Date of Termination, directly or indirectly, for himself or any third party other than the Company:</w:t>
      </w:r>
    </w:p>
    <w:p>
      <w:pPr>
        <w:spacing w:after="0" w:line="61" w:lineRule="exact"/>
        <w:rPr>
          <w:sz w:val="20"/>
          <w:szCs w:val="20"/>
          <w:color w:val="auto"/>
        </w:rPr>
      </w:pPr>
    </w:p>
    <w:p>
      <w:pPr>
        <w:ind w:left="2840" w:right="40" w:hanging="876"/>
        <w:spacing w:after="0" w:line="291" w:lineRule="auto"/>
        <w:tabs>
          <w:tab w:leader="none" w:pos="2820" w:val="left"/>
        </w:tabs>
        <w:rPr>
          <w:sz w:val="20"/>
          <w:szCs w:val="20"/>
          <w:color w:val="auto"/>
        </w:rPr>
      </w:pPr>
      <w:r>
        <w:rPr>
          <w:rFonts w:ascii="Arial" w:cs="Arial" w:eastAsia="Arial" w:hAnsi="Arial"/>
          <w:sz w:val="18"/>
          <w:szCs w:val="18"/>
          <w:color w:val="auto"/>
        </w:rPr>
        <w:t>4.2.4.1</w:t>
      </w:r>
      <w:r>
        <w:rPr>
          <w:sz w:val="20"/>
          <w:szCs w:val="20"/>
          <w:color w:val="auto"/>
        </w:rPr>
        <w:tab/>
      </w:r>
      <w:r>
        <w:rPr>
          <w:rFonts w:ascii="Arial" w:cs="Arial" w:eastAsia="Arial" w:hAnsi="Arial"/>
          <w:sz w:val="16"/>
          <w:szCs w:val="16"/>
          <w:color w:val="auto"/>
        </w:rPr>
        <w:t>own any interest in, manage, control, participate in, render services for, be employed in an executive, managerial or administrative capacity by, or in any manner engage in any business, if such business’s product or service</w:t>
      </w:r>
    </w:p>
    <w:p>
      <w:pPr>
        <w:jc w:val="both"/>
        <w:ind w:left="2840" w:right="240" w:firstLine="4"/>
        <w:spacing w:after="0" w:line="273" w:lineRule="auto"/>
        <w:tabs>
          <w:tab w:leader="none" w:pos="308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competes with any product or service sold or provided by the Company, (b) competes with any product or service intended to be sold or provided by the Company on the Date of Termination, or (c) competed with any product or service sold or provided by the Company at any time during Executive’s employment with the Company, in each case, anywhere in the world where the Company does business;</w:t>
      </w:r>
    </w:p>
    <w:p>
      <w:pPr>
        <w:spacing w:after="0" w:line="82" w:lineRule="exact"/>
        <w:rPr>
          <w:sz w:val="20"/>
          <w:szCs w:val="20"/>
          <w:color w:val="auto"/>
        </w:rPr>
      </w:pPr>
    </w:p>
    <w:p>
      <w:pPr>
        <w:ind w:left="2840" w:right="80" w:hanging="876"/>
        <w:spacing w:after="0" w:line="287" w:lineRule="auto"/>
        <w:tabs>
          <w:tab w:leader="none" w:pos="2820" w:val="left"/>
        </w:tabs>
        <w:rPr>
          <w:sz w:val="20"/>
          <w:szCs w:val="20"/>
          <w:color w:val="auto"/>
        </w:rPr>
      </w:pPr>
      <w:r>
        <w:rPr>
          <w:rFonts w:ascii="Arial" w:cs="Arial" w:eastAsia="Arial" w:hAnsi="Arial"/>
          <w:sz w:val="18"/>
          <w:szCs w:val="18"/>
          <w:color w:val="auto"/>
        </w:rPr>
        <w:t>4.2.4.2</w:t>
      </w:r>
      <w:r>
        <w:rPr>
          <w:sz w:val="20"/>
          <w:szCs w:val="20"/>
          <w:color w:val="auto"/>
        </w:rPr>
        <w:tab/>
      </w:r>
      <w:r>
        <w:rPr>
          <w:rFonts w:ascii="Arial" w:cs="Arial" w:eastAsia="Arial" w:hAnsi="Arial"/>
          <w:sz w:val="16"/>
          <w:szCs w:val="16"/>
          <w:color w:val="auto"/>
        </w:rPr>
        <w:t>solicit sales from any of the Company’s customers for any product or service that (a) competes with any product or service sold or provided by the Company, (b) competes with any product or service intended to be sold or provided by the Company at the time of the termination of Executive’s employment with the Company, or</w:t>
      </w:r>
    </w:p>
    <w:p>
      <w:pPr>
        <w:spacing w:after="0" w:line="2" w:lineRule="exact"/>
        <w:rPr>
          <w:sz w:val="20"/>
          <w:szCs w:val="20"/>
          <w:color w:val="auto"/>
        </w:rPr>
      </w:pPr>
    </w:p>
    <w:p>
      <w:pPr>
        <w:ind w:left="2840" w:right="500" w:firstLine="4"/>
        <w:spacing w:after="0" w:line="260" w:lineRule="auto"/>
        <w:tabs>
          <w:tab w:leader="none" w:pos="308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competed with any product or service sold or provided by the Company at any time during Executive’s employment with the Company;</w:t>
      </w:r>
    </w:p>
    <w:p>
      <w:pPr>
        <w:spacing w:after="0" w:line="91" w:lineRule="exact"/>
        <w:rPr>
          <w:sz w:val="20"/>
          <w:szCs w:val="20"/>
          <w:color w:val="auto"/>
        </w:rPr>
      </w:pPr>
    </w:p>
    <w:p>
      <w:pPr>
        <w:ind w:left="2840" w:right="20" w:hanging="876"/>
        <w:spacing w:after="0" w:line="263" w:lineRule="auto"/>
        <w:tabs>
          <w:tab w:leader="none" w:pos="2820" w:val="left"/>
        </w:tabs>
        <w:rPr>
          <w:sz w:val="20"/>
          <w:szCs w:val="20"/>
          <w:color w:val="auto"/>
        </w:rPr>
      </w:pPr>
      <w:r>
        <w:rPr>
          <w:rFonts w:ascii="Arial" w:cs="Arial" w:eastAsia="Arial" w:hAnsi="Arial"/>
          <w:sz w:val="18"/>
          <w:szCs w:val="18"/>
          <w:color w:val="auto"/>
        </w:rPr>
        <w:t>4.2.4.3</w:t>
      </w:r>
      <w:r>
        <w:rPr>
          <w:sz w:val="20"/>
          <w:szCs w:val="20"/>
          <w:color w:val="auto"/>
        </w:rPr>
        <w:tab/>
      </w:r>
      <w:r>
        <w:rPr>
          <w:rFonts w:ascii="Arial" w:cs="Arial" w:eastAsia="Arial" w:hAnsi="Arial"/>
          <w:sz w:val="18"/>
          <w:szCs w:val="18"/>
          <w:color w:val="auto"/>
        </w:rPr>
        <w:t>entice any vendor, consultant, collaborator, agent, or contractor of the Company to cease its business relationship with the Company or engage in any activity that would cause them to cease their business relationship with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431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00"/>
          </w:cols>
          <w:pgMar w:left="440" w:top="273" w:right="459" w:bottom="1440" w:gutter="0" w:footer="0" w:header="0"/>
        </w:sectPr>
      </w:pPr>
    </w:p>
    <w:bookmarkStart w:id="547" w:name="page548"/>
    <w:bookmarkEnd w:id="547"/>
    <w:p>
      <w:pPr>
        <w:ind w:left="2840" w:right="180" w:hanging="876"/>
        <w:spacing w:after="0" w:line="277" w:lineRule="auto"/>
        <w:tabs>
          <w:tab w:leader="none" w:pos="2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4.2.4.4</w:t>
      </w:r>
      <w:r>
        <w:rPr>
          <w:sz w:val="20"/>
          <w:szCs w:val="20"/>
          <w:color w:val="auto"/>
        </w:rPr>
        <w:tab/>
      </w:r>
      <w:r>
        <w:rPr>
          <w:rFonts w:ascii="Arial" w:cs="Arial" w:eastAsia="Arial" w:hAnsi="Arial"/>
          <w:sz w:val="18"/>
          <w:szCs w:val="18"/>
          <w:color w:val="auto"/>
        </w:rPr>
        <w:t>solicit, induce, recruit, or encourage any of the Company’s employees to leave their employment, or attempt to solicit, induce, recruit, encourage, or take away Company employees.</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Death or Disability of the Executive</w:t>
      </w:r>
      <w:r>
        <w:rPr>
          <w:rFonts w:ascii="Arial" w:cs="Arial" w:eastAsia="Arial" w:hAnsi="Arial"/>
          <w:sz w:val="18"/>
          <w:szCs w:val="18"/>
          <w:color w:val="auto"/>
        </w:rPr>
        <w:t>. If the Executive dies or becomes permanently disabled (as determined reasonably by his physician), the Company will provide the Executive with the Acceleration Benefit.</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Termination of Employment as a Result of Executive’s Resignation without Good Reason, or a Termination by the Company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In the event the Executive’s employment is terminated as a result of the Executive’s (i) termination for Cause by the Company, or (ii) Executive’s resignation without Good Reason, the Company’s sole obligation shall be to pay Executive, within sixty (60) days of the Date of Termination, or an earlier date if required by law, the amount of the Accrued Benefit.</w:t>
      </w:r>
    </w:p>
    <w:p>
      <w:pPr>
        <w:spacing w:after="0" w:line="295" w:lineRule="exact"/>
        <w:rPr>
          <w:sz w:val="20"/>
          <w:szCs w:val="20"/>
          <w:color w:val="auto"/>
        </w:rPr>
      </w:pPr>
    </w:p>
    <w:p>
      <w:pPr>
        <w:ind w:left="760" w:hanging="324"/>
        <w:spacing w:after="0"/>
        <w:tabs>
          <w:tab w:leader="none" w:pos="76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5.1 Solely for purposes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the Severance Benefit (and the separate payment of any portion thereof) is considered a separate payment. 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(i) six months and one day after the Executive’s separation from service, or (ii)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No interest shall accrue on any such delayed cash payment.</w:t>
      </w:r>
    </w:p>
    <w:p>
      <w:pPr>
        <w:spacing w:after="0" w:line="168"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5.2 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92" w:lineRule="exact"/>
        <w:rPr>
          <w:sz w:val="20"/>
          <w:szCs w:val="20"/>
          <w:color w:val="auto"/>
        </w:rPr>
      </w:pPr>
    </w:p>
    <w:p>
      <w:pPr>
        <w:ind w:right="460" w:firstLine="991"/>
        <w:spacing w:after="0" w:line="308" w:lineRule="auto"/>
        <w:rPr>
          <w:sz w:val="20"/>
          <w:szCs w:val="20"/>
          <w:color w:val="auto"/>
        </w:rPr>
      </w:pPr>
      <w:r>
        <w:rPr>
          <w:rFonts w:ascii="Arial" w:cs="Arial" w:eastAsia="Arial" w:hAnsi="Arial"/>
          <w:sz w:val="17"/>
          <w:szCs w:val="17"/>
          <w:color w:val="auto"/>
        </w:rPr>
        <w:t>5.3 To the extent that any payment or benefit described in this Agreement constitutes “non-qualified deferred compensation” under Section 409A of the Code, and to the extent that such payment or benefit is payable upon the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6995160" cy="431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00"/>
          </w:cols>
          <w:pgMar w:left="440" w:top="273" w:right="459" w:bottom="1440" w:gutter="0" w:footer="0" w:header="0"/>
        </w:sectPr>
      </w:pPr>
    </w:p>
    <w:bookmarkStart w:id="548" w:name="page549"/>
    <w:bookmarkEnd w:id="548"/>
    <w:p>
      <w:pPr>
        <w:ind w:right="6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2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5.4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8" w:lineRule="exact"/>
        <w:rPr>
          <w:sz w:val="20"/>
          <w:szCs w:val="20"/>
          <w:color w:val="auto"/>
        </w:rPr>
      </w:pPr>
    </w:p>
    <w:p>
      <w:pPr>
        <w:ind w:firstLine="436"/>
        <w:spacing w:after="0" w:line="275" w:lineRule="auto"/>
        <w:tabs>
          <w:tab w:leader="none" w:pos="755"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 and Warranties</w:t>
      </w:r>
      <w:r>
        <w:rPr>
          <w:rFonts w:ascii="Arial" w:cs="Arial" w:eastAsia="Arial" w:hAnsi="Arial"/>
          <w:sz w:val="17"/>
          <w:szCs w:val="17"/>
          <w:color w:val="auto"/>
        </w:rPr>
        <w:t>. The Executive represents and warrants that the Executive is not a party to any other employment, non-competition, or other agreement or restriction which could interfere with the Executive’s employment by the Company or the Executive’s or the Company’s rights and obligations hereunder and that the Executive’s acceptance of employment by the Company pursuant to the terms of this Agreement and the performance of the Executive’s duties hereunder will not breach the provisions of any contract, agreement, or understanding to which the Executive is party or any duty owed by the Executive to any other person.</w:t>
      </w:r>
    </w:p>
    <w:p>
      <w:pPr>
        <w:spacing w:after="0" w:line="176" w:lineRule="exact"/>
        <w:rPr>
          <w:rFonts w:ascii="Arial" w:cs="Arial" w:eastAsia="Arial" w:hAnsi="Arial"/>
          <w:sz w:val="17"/>
          <w:szCs w:val="17"/>
          <w:color w:val="auto"/>
        </w:rPr>
      </w:pPr>
    </w:p>
    <w:p>
      <w:pPr>
        <w:jc w:val="both"/>
        <w:ind w:right="340" w:firstLine="436"/>
        <w:spacing w:after="0" w:line="301" w:lineRule="auto"/>
        <w:tabs>
          <w:tab w:leader="none" w:pos="755"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The respective rights and obligations of the Company and the Executive under this Agreement may be waived (either generally or in a particular instance, either retroactively or prospectively, and either for a specified period of time or indefinitely) or amended only with the written consent of a duly authorized representative of the Company and the Executive. The waiver by either party of a breach of any provision of this Agreement by the other party shall not operate or be construed as a waiver of any subsequent breach by such other party.</w:t>
      </w:r>
    </w:p>
    <w:p>
      <w:pPr>
        <w:spacing w:after="0" w:line="157" w:lineRule="exact"/>
        <w:rPr>
          <w:rFonts w:ascii="Arial" w:cs="Arial" w:eastAsia="Arial" w:hAnsi="Arial"/>
          <w:sz w:val="16"/>
          <w:szCs w:val="16"/>
          <w:color w:val="auto"/>
        </w:rPr>
      </w:pPr>
    </w:p>
    <w:p>
      <w:pPr>
        <w:jc w:val="both"/>
        <w:ind w:right="80" w:firstLine="436"/>
        <w:spacing w:after="0" w:line="259" w:lineRule="auto"/>
        <w:tabs>
          <w:tab w:leader="none" w:pos="755"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hereof shall inure to the benefit of, and be binding upon, the Executive and the Company, along with the Company’s successors and assigns. The Executive may not assign or delegate to any third person the Executive’s obligations under this Agreement. The rights and benefits of the Executive under this Agreement are personal to the Executive and inure solely to the benefit of the Executive and to the Executive’s estate, as applicable.</w:t>
      </w:r>
    </w:p>
    <w:p>
      <w:pPr>
        <w:spacing w:after="0" w:line="186" w:lineRule="exact"/>
        <w:rPr>
          <w:rFonts w:ascii="Arial" w:cs="Arial" w:eastAsia="Arial" w:hAnsi="Arial"/>
          <w:sz w:val="18"/>
          <w:szCs w:val="18"/>
          <w:color w:val="auto"/>
        </w:rPr>
      </w:pPr>
    </w:p>
    <w:p>
      <w:pPr>
        <w:ind w:right="160" w:firstLine="436"/>
        <w:spacing w:after="0" w:line="263" w:lineRule="auto"/>
        <w:tabs>
          <w:tab w:leader="none" w:pos="755"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Grant Documentation, and the other agreements referenced herein, constitute the full and entire understanding and agreement of the parties with regard to the subjects hereof and supersede in their entirety all other or prior agreements, whether oral or written, with respect thereto.</w:t>
      </w:r>
    </w:p>
    <w:p>
      <w:pPr>
        <w:spacing w:after="0" w:line="183" w:lineRule="exact"/>
        <w:rPr>
          <w:rFonts w:ascii="Arial" w:cs="Arial" w:eastAsia="Arial" w:hAnsi="Arial"/>
          <w:sz w:val="18"/>
          <w:szCs w:val="18"/>
          <w:color w:val="auto"/>
        </w:rPr>
      </w:pPr>
    </w:p>
    <w:p>
      <w:pPr>
        <w:ind w:right="140" w:firstLine="436"/>
        <w:spacing w:after="0" w:line="311" w:lineRule="auto"/>
        <w:tabs>
          <w:tab w:leader="none" w:pos="845"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demands, notices, requests, consents and other communications required or permitted under this Agreement shall be in writing and shall be personally delivered or sent by reputable commercial overnight delivery service (including Federal Express and U.S. Postal Service overnight delivery service) or deposited with the U.S. Postal Service mailed first class, registered or certified mail, postage prepaid, as set forth below:</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addressed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Taysha Gene Therapies,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2280 Inwood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Dallas, TX 75235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Executive, to the address set forth in the Company’s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431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00"/>
          </w:cols>
          <w:pgMar w:left="440" w:top="273" w:right="459" w:bottom="1440" w:gutter="0" w:footer="0" w:header="0"/>
        </w:sectPr>
      </w:pPr>
    </w:p>
    <w:bookmarkStart w:id="549" w:name="page550"/>
    <w:bookmarkEnd w:id="549"/>
    <w:p>
      <w:pPr>
        <w:ind w:right="8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 shall be deemed given upon the earlier to occur of (i) receipt by the party to whom such notice is directed; (ii) on the first business day (other than a Saturday, Sunday or legal holiday in the jurisdiction to which such notice is directed) following the day the same is deposited with the commercial courier if sent for overnight delivery by commercial delivery service; or (iii) the fifth day (other than a Saturday, Sunday or legal holiday in the jurisdiction to which such notice is directed) following deposit thereof with the U.S. Postal Service as aforesaid. Each party, by notice duly given in accordance therewith, may specify a different address for the giving of any notice hereunder.</w:t>
      </w:r>
    </w:p>
    <w:p>
      <w:pPr>
        <w:spacing w:after="0" w:line="176" w:lineRule="exact"/>
        <w:rPr>
          <w:sz w:val="20"/>
          <w:szCs w:val="20"/>
          <w:color w:val="auto"/>
        </w:rPr>
      </w:pPr>
    </w:p>
    <w:p>
      <w:pPr>
        <w:ind w:firstLine="436"/>
        <w:spacing w:after="0" w:line="263" w:lineRule="auto"/>
        <w:tabs>
          <w:tab w:leader="none" w:pos="83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and governed by the laws of the State of Texas (without giving effect to any conflicts or choice of laws provisions thereof that would cause the application of the domestic substantive laws of any other jurisdiction).</w:t>
      </w:r>
    </w:p>
    <w:p>
      <w:pPr>
        <w:spacing w:after="0" w:line="183" w:lineRule="exact"/>
        <w:rPr>
          <w:rFonts w:ascii="Arial" w:cs="Arial" w:eastAsia="Arial" w:hAnsi="Arial"/>
          <w:sz w:val="18"/>
          <w:szCs w:val="18"/>
          <w:color w:val="auto"/>
        </w:rPr>
      </w:pPr>
    </w:p>
    <w:p>
      <w:pPr>
        <w:ind w:firstLine="436"/>
        <w:spacing w:after="0" w:line="273" w:lineRule="auto"/>
        <w:tabs>
          <w:tab w:leader="none" w:pos="845"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Employment at Will</w:t>
      </w:r>
      <w:r>
        <w:rPr>
          <w:rFonts w:ascii="Arial" w:cs="Arial" w:eastAsia="Arial" w:hAnsi="Arial"/>
          <w:sz w:val="17"/>
          <w:szCs w:val="17"/>
          <w:color w:val="auto"/>
        </w:rPr>
        <w:t>. The Executive and the Company understand and agree that the Executive is an employee at-will, and that the Executive may resign, or the Company may terminate the Executive’s employment, at any time, with or without cause or advance notice. Nothing in this Agreement shall be construed to alter the at-will nature of the Executive’s employment, nor shall anything in this Agreement be construed as providing the Executive with a definite term of employment. The provisions in Section 4 above govern the amount of compensation, if any, to be provided to the Executive upon termination of employment and do not alter this at-will status. The at-will nature of the Executive’s employment with the Company may be changed only in an express written agreement signed by the Executive and an officer of the Company.</w:t>
      </w:r>
    </w:p>
    <w:p>
      <w:pPr>
        <w:spacing w:after="0" w:line="285" w:lineRule="exact"/>
        <w:rPr>
          <w:rFonts w:ascii="Arial" w:cs="Arial" w:eastAsia="Arial" w:hAnsi="Arial"/>
          <w:sz w:val="17"/>
          <w:szCs w:val="17"/>
          <w:color w:val="auto"/>
        </w:rPr>
      </w:pPr>
    </w:p>
    <w:p>
      <w:pPr>
        <w:ind w:left="840" w:hanging="404"/>
        <w:spacing w:after="0"/>
        <w:tabs>
          <w:tab w:leader="none" w:pos="8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Severability; Titles and Subtitles; Gender; Singular and Plural; Counterparts; Facsimile</w:t>
      </w:r>
      <w:r>
        <w:rPr>
          <w:rFonts w:ascii="Arial" w:cs="Arial" w:eastAsia="Arial" w:hAnsi="Arial"/>
          <w:sz w:val="18"/>
          <w:szCs w:val="18"/>
          <w:color w:val="auto"/>
        </w:rPr>
        <w:t>.</w:t>
      </w:r>
    </w:p>
    <w:p>
      <w:pPr>
        <w:spacing w:after="0" w:line="117"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(i). In case any provision of this Agreement shall be invalid, illegal or unenforceable, the validity, legality and enforceability of the remaining provisions of this Agreement shall not in any way be affected or impaired thereby.</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(ii).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(iii). The use of any gender in this Agreement shall be deemed to include the other genders, and the use of the singular in this Agreement shall be deemed to include the plural (and vice versa), wherever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431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00"/>
          </w:cols>
          <w:pgMar w:left="440" w:top="273" w:right="459" w:bottom="1440" w:gutter="0" w:footer="0" w:header="0"/>
        </w:sectPr>
      </w:pPr>
    </w:p>
    <w:bookmarkStart w:id="550" w:name="page551"/>
    <w:bookmarkEnd w:id="550"/>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 This Agreement may be executed in any number of counterparts, each of which shall be an original, but all of which together constitute one instrument.</w:t>
      </w:r>
    </w:p>
    <w:p>
      <w:pPr>
        <w:spacing w:after="0" w:line="170" w:lineRule="exact"/>
        <w:rPr>
          <w:sz w:val="20"/>
          <w:szCs w:val="20"/>
          <w:color w:val="auto"/>
        </w:rPr>
      </w:pPr>
    </w:p>
    <w:p>
      <w:pPr>
        <w:ind w:right="200" w:firstLine="991"/>
        <w:spacing w:after="0" w:line="342" w:lineRule="auto"/>
        <w:rPr>
          <w:sz w:val="20"/>
          <w:szCs w:val="20"/>
          <w:color w:val="auto"/>
        </w:rPr>
      </w:pPr>
      <w:r>
        <w:rPr>
          <w:rFonts w:ascii="Arial" w:cs="Arial" w:eastAsia="Arial" w:hAnsi="Arial"/>
          <w:sz w:val="16"/>
          <w:szCs w:val="16"/>
          <w:color w:val="auto"/>
        </w:rPr>
        <w:t>(v). Counterparts of this Agreement (or applicable signature pages hereof) that are manually signed and delivered by facsimile transmission shall be deemed to constitute signed original counterparts hereof and shall bind the parties signing and delivering in such manner.</w:t>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431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Executive Employment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480"/>
          </w:cols>
          <w:pgMar w:left="440" w:top="273" w:right="979" w:bottom="1440" w:gutter="0" w:footer="0" w:header="0"/>
        </w:sectPr>
      </w:pPr>
    </w:p>
    <w:bookmarkStart w:id="551" w:name="page552"/>
    <w:bookmarkEnd w:id="5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Effective Date.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TAYSHA GENE THERAPIES, INC.</w:t>
      </w:r>
    </w:p>
    <w:p>
      <w:pPr>
        <w:spacing w:after="0" w:line="24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 Session 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 SESSION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4318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Executive Employment Agreement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19"/>
          </w:cols>
          <w:pgMar w:left="440" w:top="273" w:right="1440"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consent to the use in this Registration Statement on Form S-1 of our report dated July 31, 2020, relating to the financial statements of Taysha Gene Therapies, Inc.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1)"/>
      <w:numFmt w:val="decimal"/>
      <w:start w:val="1"/>
    </w:lvl>
  </w:abstractNum>
  <w:abstractNum w:abstractNumId="1">
    <w:nsid w:val="6EAA85FB"/>
    <w:multiLevelType w:val="hybridMultilevel"/>
    <w:lvl w:ilvl="0">
      <w:lvlJc w:val="left"/>
      <w:lvlText w:val="(%1)"/>
      <w:numFmt w:val="decimal"/>
      <w:start w:val="1"/>
    </w:lvl>
  </w:abstractNum>
  <w:abstractNum w:abstractNumId="2">
    <w:nsid w:val="3F06ECB2"/>
    <w:multiLevelType w:val="hybridMultilevel"/>
    <w:lvl w:ilvl="0">
      <w:lvlJc w:val="left"/>
      <w:lvlText w:val="•"/>
      <w:numFmt w:val="bullet"/>
      <w:start w:val="1"/>
    </w:lvl>
  </w:abstractNum>
  <w:abstractNum w:abstractNumId="3">
    <w:nsid w:val="3B594807"/>
    <w:multiLevelType w:val="hybridMultilevel"/>
    <w:lvl w:ilvl="0">
      <w:lvlJc w:val="left"/>
      <w:lvlText w:val="•"/>
      <w:numFmt w:val="bullet"/>
      <w:start w:val="1"/>
    </w:lvl>
  </w:abstractNum>
  <w:abstractNum w:abstractNumId="4">
    <w:nsid w:val="6CAA2304"/>
    <w:multiLevelType w:val="hybridMultilevel"/>
    <w:lvl w:ilvl="0">
      <w:lvlJc w:val="left"/>
      <w:lvlText w:val="•"/>
      <w:numFmt w:val="bullet"/>
      <w:start w:val="1"/>
    </w:lvl>
  </w:abstractNum>
  <w:abstractNum w:abstractNumId="5">
    <w:nsid w:val="3F7C2FF4"/>
    <w:multiLevelType w:val="hybridMultilevel"/>
    <w:lvl w:ilvl="0">
      <w:lvlJc w:val="left"/>
      <w:lvlText w:val="•"/>
      <w:numFmt w:val="bullet"/>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
      <w:numFmt w:val="bullet"/>
      <w:start w:val="1"/>
    </w:lvl>
  </w:abstractNum>
  <w:abstractNum w:abstractNumId="10">
    <w:nsid w:val="11CCA8BA"/>
    <w:multiLevelType w:val="hybridMultilevel"/>
    <w:lvl w:ilvl="0">
      <w:lvlJc w:val="left"/>
      <w:lvlText w:val="•"/>
      <w:numFmt w:val="bullet"/>
      <w:start w:val="1"/>
    </w:lvl>
  </w:abstractNum>
  <w:abstractNum w:abstractNumId="11">
    <w:nsid w:val="4D32AB86"/>
    <w:multiLevelType w:val="hybridMultilevel"/>
    <w:lvl w:ilvl="0">
      <w:lvlJc w:val="left"/>
      <w:lvlText w:val="•"/>
      <w:numFmt w:val="bullet"/>
      <w:start w:val="1"/>
    </w:lvl>
  </w:abstractNum>
  <w:abstractNum w:abstractNumId="12">
    <w:nsid w:val="3F07ACC3"/>
    <w:multiLevelType w:val="hybridMultilevel"/>
    <w:lvl w:ilvl="0">
      <w:lvlJc w:val="left"/>
      <w:lvlText w:val="•"/>
      <w:numFmt w:val="bullet"/>
      <w:start w:val="1"/>
    </w:lvl>
  </w:abstractNum>
  <w:abstractNum w:abstractNumId="13">
    <w:nsid w:val="6B47F63E"/>
    <w:multiLevelType w:val="hybridMultilevel"/>
    <w:lvl w:ilvl="0">
      <w:lvlJc w:val="left"/>
      <w:lvlText w:val="•"/>
      <w:numFmt w:val="bullet"/>
      <w:start w:val="1"/>
    </w:lvl>
  </w:abstractNum>
  <w:abstractNum w:abstractNumId="14">
    <w:nsid w:val="5CB44A05"/>
    <w:multiLevelType w:val="hybridMultilevel"/>
    <w:lvl w:ilvl="0">
      <w:lvlJc w:val="left"/>
      <w:lvlText w:val="•"/>
      <w:numFmt w:val="bullet"/>
      <w:start w:val="1"/>
    </w:lvl>
  </w:abstractNum>
  <w:abstractNum w:abstractNumId="15">
    <w:nsid w:val="16CF80F1"/>
    <w:multiLevelType w:val="hybridMultilevel"/>
    <w:lvl w:ilvl="0">
      <w:lvlJc w:val="left"/>
      <w:lvlText w:val="•"/>
      <w:numFmt w:val="bullet"/>
      <w:start w:val="1"/>
    </w:lvl>
  </w:abstractNum>
  <w:abstractNum w:abstractNumId="16">
    <w:nsid w:val="1C695DEC"/>
    <w:multiLevelType w:val="hybridMultilevel"/>
    <w:lvl w:ilvl="0">
      <w:lvlJc w:val="left"/>
      <w:lvlText w:val="•"/>
      <w:numFmt w:val="bullet"/>
      <w:start w:val="1"/>
    </w:lvl>
  </w:abstractNum>
  <w:abstractNum w:abstractNumId="17">
    <w:nsid w:val="3FCFAED9"/>
    <w:multiLevelType w:val="hybridMultilevel"/>
    <w:lvl w:ilvl="0">
      <w:lvlJc w:val="left"/>
      <w:lvlText w:val="(%1)"/>
      <w:numFmt w:val="decimal"/>
      <w:start w:val="1"/>
    </w:lvl>
  </w:abstractNum>
  <w:abstractNum w:abstractNumId="18">
    <w:nsid w:val="F856867"/>
    <w:multiLevelType w:val="hybridMultilevel"/>
    <w:lvl w:ilvl="0">
      <w:lvlJc w:val="left"/>
      <w:lvlText w:val="(%1)"/>
      <w:numFmt w:val="decimal"/>
      <w:start w:val="1"/>
    </w:lvl>
  </w:abstractNum>
  <w:abstractNum w:abstractNumId="19">
    <w:nsid w:val="11B1CC33"/>
    <w:multiLevelType w:val="hybridMultilevel"/>
    <w:lvl w:ilvl="0">
      <w:lvlJc w:val="left"/>
      <w:lvlText w:val="(%1)"/>
      <w:numFmt w:val="decimal"/>
      <w:start w:val="3"/>
    </w:lvl>
  </w:abstractNum>
  <w:abstractNum w:abstractNumId="20">
    <w:nsid w:val="2E22FBB7"/>
    <w:multiLevelType w:val="hybridMultilevel"/>
    <w:lvl w:ilvl="0">
      <w:lvlJc w:val="left"/>
      <w:lvlText w:val="•"/>
      <w:numFmt w:val="bullet"/>
      <w:start w:val="1"/>
    </w:lvl>
  </w:abstractNum>
  <w:abstractNum w:abstractNumId="21">
    <w:nsid w:val="29934699"/>
    <w:multiLevelType w:val="hybridMultilevel"/>
    <w:lvl w:ilvl="0">
      <w:lvlJc w:val="left"/>
      <w:lvlText w:val="•"/>
      <w:numFmt w:val="bullet"/>
      <w:start w:val="1"/>
    </w:lvl>
  </w:abstractNum>
  <w:abstractNum w:abstractNumId="22">
    <w:nsid w:val="77485850"/>
    <w:multiLevelType w:val="hybridMultilevel"/>
    <w:lvl w:ilvl="0">
      <w:lvlJc w:val="left"/>
      <w:lvlText w:val="•"/>
      <w:numFmt w:val="bullet"/>
      <w:start w:val="1"/>
    </w:lvl>
  </w:abstractNum>
  <w:abstractNum w:abstractNumId="23">
    <w:nsid w:val="744939A3"/>
    <w:multiLevelType w:val="hybridMultilevel"/>
    <w:lvl w:ilvl="0">
      <w:lvlJc w:val="left"/>
      <w:lvlText w:val="•"/>
      <w:numFmt w:val="bullet"/>
      <w:start w:val="1"/>
    </w:lvl>
  </w:abstractNum>
  <w:abstractNum w:abstractNumId="24">
    <w:nsid w:val="4FA0D2E3"/>
    <w:multiLevelType w:val="hybridMultilevel"/>
    <w:lvl w:ilvl="0">
      <w:lvlJc w:val="left"/>
      <w:lvlText w:val="•"/>
      <w:numFmt w:val="bullet"/>
      <w:start w:val="1"/>
    </w:lvl>
  </w:abstractNum>
  <w:abstractNum w:abstractNumId="25">
    <w:nsid w:val="6B1D2C14"/>
    <w:multiLevelType w:val="hybridMultilevel"/>
    <w:lvl w:ilvl="0">
      <w:lvlJc w:val="left"/>
      <w:lvlText w:val="•"/>
      <w:numFmt w:val="bullet"/>
      <w:start w:val="1"/>
    </w:lvl>
  </w:abstractNum>
  <w:abstractNum w:abstractNumId="26">
    <w:nsid w:val="68B867D3"/>
    <w:multiLevelType w:val="hybridMultilevel"/>
    <w:lvl w:ilvl="0">
      <w:lvlJc w:val="left"/>
      <w:lvlText w:val="•"/>
      <w:numFmt w:val="bullet"/>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
      <w:numFmt w:val="bullet"/>
      <w:start w:val="1"/>
    </w:lvl>
  </w:abstractNum>
  <w:abstractNum w:abstractNumId="29">
    <w:nsid w:val="32794FF7"/>
    <w:multiLevelType w:val="hybridMultilevel"/>
    <w:lvl w:ilvl="0">
      <w:lvlJc w:val="left"/>
      <w:lvlText w:val="•"/>
      <w:numFmt w:val="bullet"/>
      <w:start w:val="1"/>
    </w:lvl>
  </w:abstractNum>
  <w:abstractNum w:abstractNumId="30">
    <w:nsid w:val="5454945E"/>
    <w:multiLevelType w:val="hybridMultilevel"/>
    <w:lvl w:ilvl="0">
      <w:lvlJc w:val="left"/>
      <w:lvlText w:val="•"/>
      <w:numFmt w:val="bullet"/>
      <w:start w:val="1"/>
    </w:lvl>
  </w:abstractNum>
  <w:abstractNum w:abstractNumId="31">
    <w:nsid w:val="4DEFDFA0"/>
    <w:multiLevelType w:val="hybridMultilevel"/>
    <w:lvl w:ilvl="0">
      <w:lvlJc w:val="left"/>
      <w:lvlText w:val="•"/>
      <w:numFmt w:val="bullet"/>
      <w:start w:val="1"/>
    </w:lvl>
  </w:abstractNum>
  <w:abstractNum w:abstractNumId="32">
    <w:nsid w:val="2123D5F2"/>
    <w:multiLevelType w:val="hybridMultilevel"/>
    <w:lvl w:ilvl="0">
      <w:lvlJc w:val="left"/>
      <w:lvlText w:val="•"/>
      <w:numFmt w:val="bullet"/>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
      <w:numFmt w:val="bullet"/>
      <w:start w:val="1"/>
    </w:lvl>
  </w:abstractNum>
  <w:abstractNum w:abstractNumId="36">
    <w:nsid w:val="52D7B105"/>
    <w:multiLevelType w:val="hybridMultilevel"/>
    <w:lvl w:ilvl="0">
      <w:lvlJc w:val="left"/>
      <w:lvlText w:val="•"/>
      <w:numFmt w:val="bullet"/>
      <w:start w:val="1"/>
    </w:lvl>
  </w:abstractNum>
  <w:abstractNum w:abstractNumId="37">
    <w:nsid w:val="2E8A6394"/>
    <w:multiLevelType w:val="hybridMultilevel"/>
    <w:lvl w:ilvl="0">
      <w:lvlJc w:val="left"/>
      <w:lvlText w:val="•"/>
      <w:numFmt w:val="bullet"/>
      <w:start w:val="1"/>
    </w:lvl>
  </w:abstractNum>
  <w:abstractNum w:abstractNumId="38">
    <w:nsid w:val="24E60401"/>
    <w:multiLevelType w:val="hybridMultilevel"/>
    <w:lvl w:ilvl="0">
      <w:lvlJc w:val="left"/>
      <w:lvlText w:val="•"/>
      <w:numFmt w:val="bullet"/>
      <w:start w:val="1"/>
    </w:lvl>
  </w:abstractNum>
  <w:abstractNum w:abstractNumId="39">
    <w:nsid w:val="2A6AD9BE"/>
    <w:multiLevelType w:val="hybridMultilevel"/>
    <w:lvl w:ilvl="0">
      <w:lvlJc w:val="left"/>
      <w:lvlText w:val="•"/>
      <w:numFmt w:val="bullet"/>
      <w:start w:val="1"/>
    </w:lvl>
  </w:abstractNum>
  <w:abstractNum w:abstractNumId="40">
    <w:nsid w:val="BAAC1B4"/>
    <w:multiLevelType w:val="hybridMultilevel"/>
    <w:lvl w:ilvl="0">
      <w:lvlJc w:val="left"/>
      <w:lvlText w:val="•"/>
      <w:numFmt w:val="bullet"/>
      <w:start w:val="1"/>
    </w:lvl>
  </w:abstractNum>
  <w:abstractNum w:abstractNumId="41">
    <w:nsid w:val="36B2ACBC"/>
    <w:multiLevelType w:val="hybridMultilevel"/>
    <w:lvl w:ilvl="0">
      <w:lvlJc w:val="left"/>
      <w:lvlText w:val="•"/>
      <w:numFmt w:val="bullet"/>
      <w:start w:val="1"/>
    </w:lvl>
  </w:abstractNum>
  <w:abstractNum w:abstractNumId="42">
    <w:nsid w:val="779D8544"/>
    <w:multiLevelType w:val="hybridMultilevel"/>
    <w:lvl w:ilvl="0">
      <w:lvlJc w:val="left"/>
      <w:lvlText w:val="•"/>
      <w:numFmt w:val="bullet"/>
      <w:start w:val="1"/>
    </w:lvl>
  </w:abstractNum>
  <w:abstractNum w:abstractNumId="43">
    <w:nsid w:val="4AB26E78"/>
    <w:multiLevelType w:val="hybridMultilevel"/>
    <w:lvl w:ilvl="0">
      <w:lvlJc w:val="left"/>
      <w:lvlText w:val="•"/>
      <w:numFmt w:val="bullet"/>
      <w:start w:val="1"/>
    </w:lvl>
  </w:abstractNum>
  <w:abstractNum w:abstractNumId="44">
    <w:nsid w:val="21FAA2FA"/>
    <w:multiLevelType w:val="hybridMultilevel"/>
    <w:lvl w:ilvl="0">
      <w:lvlJc w:val="left"/>
      <w:lvlText w:val="•"/>
      <w:numFmt w:val="bullet"/>
      <w:start w:val="1"/>
    </w:lvl>
  </w:abstractNum>
  <w:abstractNum w:abstractNumId="45">
    <w:nsid w:val="5451CF49"/>
    <w:multiLevelType w:val="hybridMultilevel"/>
    <w:lvl w:ilvl="0">
      <w:lvlJc w:val="left"/>
      <w:lvlText w:val="(%1)"/>
      <w:numFmt w:val="lowerRoman"/>
      <w:start w:val="6"/>
    </w:lvl>
  </w:abstractNum>
  <w:abstractNum w:abstractNumId="46">
    <w:nsid w:val="6181EF69"/>
    <w:multiLevelType w:val="hybridMultilevel"/>
    <w:lvl w:ilvl="0">
      <w:lvlJc w:val="left"/>
      <w:lvlText w:val="•"/>
      <w:numFmt w:val="bullet"/>
      <w:start w:val="1"/>
    </w:lvl>
  </w:abstractNum>
  <w:abstractNum w:abstractNumId="47">
    <w:nsid w:val="3E6400E6"/>
    <w:multiLevelType w:val="hybridMultilevel"/>
    <w:lvl w:ilvl="0">
      <w:lvlJc w:val="left"/>
      <w:lvlText w:val="•"/>
      <w:numFmt w:val="bullet"/>
      <w:start w:val="1"/>
    </w:lvl>
  </w:abstractNum>
  <w:abstractNum w:abstractNumId="48">
    <w:nsid w:val="14217E23"/>
    <w:multiLevelType w:val="hybridMultilevel"/>
    <w:lvl w:ilvl="0">
      <w:lvlJc w:val="left"/>
      <w:lvlText w:val="•"/>
      <w:numFmt w:val="bullet"/>
      <w:start w:val="1"/>
    </w:lvl>
  </w:abstractNum>
  <w:abstractNum w:abstractNumId="49">
    <w:nsid w:val="710757D0"/>
    <w:multiLevelType w:val="hybridMultilevel"/>
    <w:lvl w:ilvl="0">
      <w:lvlJc w:val="left"/>
      <w:lvlText w:val="$"/>
      <w:numFmt w:val="bullet"/>
      <w:start w:val="1"/>
    </w:lvl>
  </w:abstractNum>
  <w:abstractNum w:abstractNumId="50">
    <w:nsid w:val="5015CD1A"/>
    <w:multiLevelType w:val="hybridMultilevel"/>
    <w:lvl w:ilvl="0">
      <w:lvlJc w:val="left"/>
      <w:lvlText w:val="•"/>
      <w:numFmt w:val="bullet"/>
      <w:start w:val="1"/>
    </w:lvl>
  </w:abstractNum>
  <w:abstractNum w:abstractNumId="51">
    <w:nsid w:val="424479DA"/>
    <w:multiLevelType w:val="hybridMultilevel"/>
    <w:lvl w:ilvl="0">
      <w:lvlJc w:val="left"/>
      <w:lvlText w:val="•"/>
      <w:numFmt w:val="bullet"/>
      <w:start w:val="1"/>
    </w:lvl>
  </w:abstractNum>
  <w:abstractNum w:abstractNumId="52">
    <w:nsid w:val="1A9A9E69"/>
    <w:multiLevelType w:val="hybridMultilevel"/>
    <w:lvl w:ilvl="0">
      <w:lvlJc w:val="left"/>
      <w:lvlText w:val="•"/>
      <w:numFmt w:val="bullet"/>
      <w:start w:val="1"/>
    </w:lvl>
  </w:abstractNum>
  <w:abstractNum w:abstractNumId="53">
    <w:nsid w:val="475E256A"/>
    <w:multiLevelType w:val="hybridMultilevel"/>
    <w:lvl w:ilvl="0">
      <w:lvlJc w:val="left"/>
      <w:lvlText w:val="•"/>
      <w:numFmt w:val="bullet"/>
      <w:start w:val="1"/>
    </w:lvl>
  </w:abstractNum>
  <w:abstractNum w:abstractNumId="54">
    <w:nsid w:val="368DB37E"/>
    <w:multiLevelType w:val="hybridMultilevel"/>
    <w:lvl w:ilvl="0">
      <w:lvlJc w:val="left"/>
      <w:lvlText w:val="•"/>
      <w:numFmt w:val="bullet"/>
      <w:start w:val="1"/>
    </w:lvl>
  </w:abstractNum>
  <w:abstractNum w:abstractNumId="55">
    <w:nsid w:val="6A3B714C"/>
    <w:multiLevelType w:val="hybridMultilevel"/>
    <w:lvl w:ilvl="0">
      <w:lvlJc w:val="left"/>
      <w:lvlText w:val="•"/>
      <w:numFmt w:val="bullet"/>
      <w:start w:val="1"/>
    </w:lvl>
  </w:abstractNum>
  <w:abstractNum w:abstractNumId="56">
    <w:nsid w:val="327B517E"/>
    <w:multiLevelType w:val="hybridMultilevel"/>
    <w:lvl w:ilvl="0">
      <w:lvlJc w:val="left"/>
      <w:lvlText w:val="•"/>
      <w:numFmt w:val="bullet"/>
      <w:start w:val="1"/>
    </w:lvl>
  </w:abstractNum>
  <w:abstractNum w:abstractNumId="57">
    <w:nsid w:val="1F461B51"/>
    <w:multiLevelType w:val="hybridMultilevel"/>
    <w:lvl w:ilvl="0">
      <w:lvlJc w:val="left"/>
      <w:lvlText w:val="$"/>
      <w:numFmt w:val="bullet"/>
      <w:start w:val="1"/>
    </w:lvl>
  </w:abstractNum>
  <w:abstractNum w:abstractNumId="58">
    <w:nsid w:val="29BACF25"/>
    <w:multiLevelType w:val="hybridMultilevel"/>
    <w:lvl w:ilvl="0">
      <w:lvlJc w:val="left"/>
      <w:lvlText w:val="•"/>
      <w:numFmt w:val="bullet"/>
      <w:start w:val="1"/>
    </w:lvl>
  </w:abstractNum>
  <w:abstractNum w:abstractNumId="59">
    <w:nsid w:val="5D5BABB3"/>
    <w:multiLevelType w:val="hybridMultilevel"/>
    <w:lvl w:ilvl="0">
      <w:lvlJc w:val="left"/>
      <w:lvlText w:val="•"/>
      <w:numFmt w:val="bullet"/>
      <w:start w:val="1"/>
    </w:lvl>
  </w:abstractNum>
  <w:abstractNum w:abstractNumId="60">
    <w:nsid w:val="51BF6B48"/>
    <w:multiLevelType w:val="hybridMultilevel"/>
    <w:lvl w:ilvl="0">
      <w:lvlJc w:val="left"/>
      <w:lvlText w:val="(%1)"/>
      <w:numFmt w:val="decimal"/>
      <w:start w:val="1"/>
    </w:lvl>
  </w:abstractNum>
  <w:abstractNum w:abstractNumId="61">
    <w:nsid w:val="7E0F6384"/>
    <w:multiLevelType w:val="hybridMultilevel"/>
    <w:lvl w:ilvl="0">
      <w:lvlJc w:val="left"/>
      <w:lvlText w:val="(%1)"/>
      <w:numFmt w:val="decimal"/>
      <w:start w:val="1"/>
    </w:lvl>
  </w:abstractNum>
  <w:abstractNum w:abstractNumId="62">
    <w:nsid w:val="2B4B8B53"/>
    <w:multiLevelType w:val="hybridMultilevel"/>
    <w:lvl w:ilvl="0">
      <w:lvlJc w:val="left"/>
      <w:lvlText w:val="•"/>
      <w:numFmt w:val="bullet"/>
      <w:start w:val="1"/>
    </w:lvl>
  </w:abstractNum>
  <w:abstractNum w:abstractNumId="63">
    <w:nsid w:val="72E3413A"/>
    <w:multiLevelType w:val="hybridMultilevel"/>
    <w:lvl w:ilvl="0">
      <w:lvlJc w:val="left"/>
      <w:lvlText w:val="•"/>
      <w:numFmt w:val="bullet"/>
      <w:start w:val="1"/>
    </w:lvl>
  </w:abstractNum>
  <w:abstractNum w:abstractNumId="64">
    <w:nsid w:val="116AE494"/>
    <w:multiLevelType w:val="hybridMultilevel"/>
    <w:lvl w:ilvl="0">
      <w:lvlJc w:val="left"/>
      <w:lvlText w:val="•"/>
      <w:numFmt w:val="bullet"/>
      <w:start w:val="1"/>
    </w:lvl>
  </w:abstractNum>
  <w:abstractNum w:abstractNumId="65">
    <w:nsid w:val="3494B2FB"/>
    <w:multiLevelType w:val="hybridMultilevel"/>
    <w:lvl w:ilvl="0">
      <w:lvlJc w:val="left"/>
      <w:lvlText w:val="•"/>
      <w:numFmt w:val="bullet"/>
      <w:start w:val="1"/>
    </w:lvl>
  </w:abstractNum>
  <w:abstractNum w:abstractNumId="66">
    <w:nsid w:val="B13A31"/>
    <w:multiLevelType w:val="hybridMultilevel"/>
    <w:lvl w:ilvl="0">
      <w:lvlJc w:val="left"/>
      <w:lvlText w:val="•"/>
      <w:numFmt w:val="bullet"/>
      <w:start w:val="1"/>
    </w:lvl>
  </w:abstractNum>
  <w:abstractNum w:abstractNumId="67">
    <w:nsid w:val="64429599"/>
    <w:multiLevelType w:val="hybridMultilevel"/>
    <w:lvl w:ilvl="0">
      <w:lvlJc w:val="left"/>
      <w:lvlText w:val="•"/>
      <w:numFmt w:val="bullet"/>
      <w:start w:val="1"/>
    </w:lvl>
  </w:abstractNum>
  <w:abstractNum w:abstractNumId="68">
    <w:nsid w:val="631F1690"/>
    <w:multiLevelType w:val="hybridMultilevel"/>
    <w:lvl w:ilvl="0">
      <w:lvlJc w:val="left"/>
      <w:lvlText w:val="•"/>
      <w:numFmt w:val="bullet"/>
      <w:start w:val="1"/>
    </w:lvl>
  </w:abstractNum>
  <w:abstractNum w:abstractNumId="69">
    <w:nsid w:val="25973E32"/>
    <w:multiLevelType w:val="hybridMultilevel"/>
    <w:lvl w:ilvl="0">
      <w:lvlJc w:val="left"/>
      <w:lvlText w:val="•"/>
      <w:numFmt w:val="bullet"/>
      <w:start w:val="1"/>
    </w:lvl>
  </w:abstractNum>
  <w:abstractNum w:abstractNumId="70">
    <w:nsid w:val="EAD6F57"/>
    <w:multiLevelType w:val="hybridMultilevel"/>
    <w:lvl w:ilvl="0">
      <w:lvlJc w:val="left"/>
      <w:lvlText w:val="•"/>
      <w:numFmt w:val="bullet"/>
      <w:start w:val="1"/>
    </w:lvl>
  </w:abstractNum>
  <w:abstractNum w:abstractNumId="71">
    <w:nsid w:val="6EC9D844"/>
    <w:multiLevelType w:val="hybridMultilevel"/>
    <w:lvl w:ilvl="0">
      <w:lvlJc w:val="left"/>
      <w:lvlText w:val="•"/>
      <w:numFmt w:val="bullet"/>
      <w:start w:val="1"/>
    </w:lvl>
  </w:abstractNum>
  <w:abstractNum w:abstractNumId="72">
    <w:nsid w:val="5C49EAEE"/>
    <w:multiLevelType w:val="hybridMultilevel"/>
    <w:lvl w:ilvl="0">
      <w:lvlJc w:val="left"/>
      <w:lvlText w:val="(%1)"/>
      <w:numFmt w:val="lowerRoman"/>
      <w:start w:val="1"/>
    </w:lvl>
  </w:abstractNum>
  <w:abstractNum w:abstractNumId="73">
    <w:nsid w:val="64AF49B"/>
    <w:multiLevelType w:val="hybridMultilevel"/>
    <w:lvl w:ilvl="0">
      <w:lvlJc w:val="left"/>
      <w:lvlText w:val="•"/>
      <w:numFmt w:val="bullet"/>
      <w:start w:val="1"/>
    </w:lvl>
  </w:abstractNum>
  <w:abstractNum w:abstractNumId="74">
    <w:nsid w:val="397C46BC"/>
    <w:multiLevelType w:val="hybridMultilevel"/>
    <w:lvl w:ilvl="0">
      <w:lvlJc w:val="left"/>
      <w:lvlText w:val="•"/>
      <w:numFmt w:val="bullet"/>
      <w:start w:val="1"/>
    </w:lvl>
  </w:abstractNum>
  <w:abstractNum w:abstractNumId="75">
    <w:nsid w:val="7E448DE9"/>
    <w:multiLevelType w:val="hybridMultilevel"/>
    <w:lvl w:ilvl="0">
      <w:lvlJc w:val="left"/>
      <w:lvlText w:val="•"/>
      <w:numFmt w:val="bullet"/>
      <w:start w:val="1"/>
    </w:lvl>
  </w:abstractNum>
  <w:abstractNum w:abstractNumId="76">
    <w:nsid w:val="5A9CC3E5"/>
    <w:multiLevelType w:val="hybridMultilevel"/>
    <w:lvl w:ilvl="0">
      <w:lvlJc w:val="left"/>
      <w:lvlText w:val="•"/>
      <w:numFmt w:val="bullet"/>
      <w:start w:val="1"/>
    </w:lvl>
  </w:abstractNum>
  <w:abstractNum w:abstractNumId="77">
    <w:nsid w:val="1AFE3625"/>
    <w:multiLevelType w:val="hybridMultilevel"/>
    <w:lvl w:ilvl="0">
      <w:lvlJc w:val="left"/>
      <w:lvlText w:val="•"/>
      <w:numFmt w:val="bullet"/>
      <w:start w:val="1"/>
    </w:lvl>
  </w:abstractNum>
  <w:abstractNum w:abstractNumId="78">
    <w:nsid w:val="3CA88ECF"/>
    <w:multiLevelType w:val="hybridMultilevel"/>
    <w:lvl w:ilvl="0">
      <w:lvlJc w:val="left"/>
      <w:lvlText w:val="•"/>
      <w:numFmt w:val="bullet"/>
      <w:start w:val="1"/>
    </w:lvl>
  </w:abstractNum>
  <w:abstractNum w:abstractNumId="79">
    <w:nsid w:val="6EBE4208"/>
    <w:multiLevelType w:val="hybridMultilevel"/>
    <w:lvl w:ilvl="0">
      <w:lvlJc w:val="left"/>
      <w:lvlText w:val="(%1)"/>
      <w:numFmt w:val="decimal"/>
      <w:start w:val="1"/>
    </w:lvl>
  </w:abstractNum>
  <w:abstractNum w:abstractNumId="80">
    <w:nsid w:val="C058DF5"/>
    <w:multiLevelType w:val="hybridMultilevel"/>
    <w:lvl w:ilvl="0">
      <w:lvlJc w:val="left"/>
      <w:lvlText w:val="•"/>
      <w:numFmt w:val="bullet"/>
      <w:start w:val="1"/>
    </w:lvl>
  </w:abstractNum>
  <w:abstractNum w:abstractNumId="81">
    <w:nsid w:val="CBE5BE9"/>
    <w:multiLevelType w:val="hybridMultilevel"/>
    <w:lvl w:ilvl="0">
      <w:lvlJc w:val="left"/>
      <w:lvlText w:val="•"/>
      <w:numFmt w:val="bullet"/>
      <w:start w:val="1"/>
    </w:lvl>
  </w:abstractNum>
  <w:abstractNum w:abstractNumId="82">
    <w:nsid w:val="3102BBE2"/>
    <w:multiLevelType w:val="hybridMultilevel"/>
    <w:lvl w:ilvl="0">
      <w:lvlJc w:val="left"/>
      <w:lvlText w:val="•"/>
      <w:numFmt w:val="bullet"/>
      <w:start w:val="1"/>
    </w:lvl>
  </w:abstractNum>
  <w:abstractNum w:abstractNumId="83">
    <w:nsid w:val="26A02C5E"/>
    <w:multiLevelType w:val="hybridMultilevel"/>
    <w:lvl w:ilvl="0">
      <w:lvlJc w:val="left"/>
      <w:lvlText w:val="•"/>
      <w:numFmt w:val="bullet"/>
      <w:start w:val="1"/>
    </w:lvl>
  </w:abstractNum>
  <w:abstractNum w:abstractNumId="84">
    <w:nsid w:val="541C8153"/>
    <w:multiLevelType w:val="hybridMultilevel"/>
    <w:lvl w:ilvl="0">
      <w:lvlJc w:val="left"/>
      <w:lvlText w:val="•"/>
      <w:numFmt w:val="bullet"/>
      <w:start w:val="1"/>
    </w:lvl>
  </w:abstractNum>
  <w:abstractNum w:abstractNumId="85">
    <w:nsid w:val="67906F60"/>
    <w:multiLevelType w:val="hybridMultilevel"/>
    <w:lvl w:ilvl="0">
      <w:lvlJc w:val="left"/>
      <w:lvlText w:val="•"/>
      <w:numFmt w:val="bullet"/>
      <w:start w:val="1"/>
    </w:lvl>
  </w:abstractNum>
  <w:abstractNum w:abstractNumId="86">
    <w:nsid w:val="10DB9DAA"/>
    <w:multiLevelType w:val="hybridMultilevel"/>
    <w:lvl w:ilvl="0">
      <w:lvlJc w:val="left"/>
      <w:lvlText w:val="(%1)"/>
      <w:numFmt w:val="lowerRoman"/>
      <w:start w:val="3"/>
    </w:lvl>
  </w:abstractNum>
  <w:abstractNum w:abstractNumId="87">
    <w:nsid w:val="697D2D2"/>
    <w:multiLevelType w:val="hybridMultilevel"/>
    <w:lvl w:ilvl="0">
      <w:lvlJc w:val="left"/>
      <w:lvlText w:val="•"/>
      <w:numFmt w:val="bullet"/>
      <w:start w:val="1"/>
    </w:lvl>
  </w:abstractNum>
  <w:abstractNum w:abstractNumId="88">
    <w:nsid w:val="6D68AB2"/>
    <w:multiLevelType w:val="hybridMultilevel"/>
    <w:lvl w:ilvl="0">
      <w:lvlJc w:val="left"/>
      <w:lvlText w:val="(%1)"/>
      <w:numFmt w:val="decimal"/>
      <w:start w:val="1"/>
    </w:lvl>
  </w:abstractNum>
  <w:abstractNum w:abstractNumId="89">
    <w:nsid w:val="3A966CD0"/>
    <w:multiLevelType w:val="hybridMultilevel"/>
    <w:lvl w:ilvl="0">
      <w:lvlJc w:val="left"/>
      <w:lvlText w:val="(%1)"/>
      <w:numFmt w:val="decimal"/>
      <w:start w:val="1"/>
    </w:lvl>
  </w:abstractNum>
  <w:abstractNum w:abstractNumId="90">
    <w:nsid w:val="63F37E85"/>
    <w:multiLevelType w:val="hybridMultilevel"/>
    <w:lvl w:ilvl="0">
      <w:lvlJc w:val="left"/>
      <w:lvlText w:val="•"/>
      <w:numFmt w:val="bullet"/>
      <w:start w:val="1"/>
    </w:lvl>
  </w:abstractNum>
  <w:abstractNum w:abstractNumId="91">
    <w:nsid w:val="5895F5FA"/>
    <w:multiLevelType w:val="hybridMultilevel"/>
    <w:lvl w:ilvl="0">
      <w:lvlJc w:val="left"/>
      <w:lvlText w:val="•"/>
      <w:numFmt w:val="bullet"/>
      <w:start w:val="1"/>
    </w:lvl>
  </w:abstractNum>
  <w:abstractNum w:abstractNumId="92">
    <w:nsid w:val="38A5D054"/>
    <w:multiLevelType w:val="hybridMultilevel"/>
    <w:lvl w:ilvl="0">
      <w:lvlJc w:val="left"/>
      <w:lvlText w:val="*"/>
      <w:numFmt w:val="bullet"/>
      <w:start w:val="1"/>
    </w:lvl>
  </w:abstractNum>
  <w:abstractNum w:abstractNumId="93">
    <w:nsid w:val="F3F09D8"/>
    <w:multiLevelType w:val="hybridMultilevel"/>
    <w:lvl w:ilvl="0">
      <w:lvlJc w:val="left"/>
      <w:lvlText w:val="(%1)"/>
      <w:numFmt w:val="decimal"/>
      <w:start w:val="1"/>
    </w:lvl>
  </w:abstractNum>
  <w:abstractNum w:abstractNumId="94">
    <w:nsid w:val="4B793735"/>
    <w:multiLevelType w:val="hybridMultilevel"/>
    <w:lvl w:ilvl="0">
      <w:lvlJc w:val="left"/>
      <w:lvlText w:val="(%1)"/>
      <w:numFmt w:val="decimal"/>
      <w:start w:val="3"/>
    </w:lvl>
  </w:abstractNum>
  <w:abstractNum w:abstractNumId="95">
    <w:nsid w:val="4A10B4E8"/>
    <w:multiLevelType w:val="hybridMultilevel"/>
    <w:lvl w:ilvl="0">
      <w:lvlJc w:val="left"/>
      <w:lvlText w:val="•"/>
      <w:numFmt w:val="bullet"/>
      <w:start w:val="1"/>
    </w:lvl>
  </w:abstractNum>
  <w:abstractNum w:abstractNumId="96">
    <w:nsid w:val="43D3BCD4"/>
    <w:multiLevelType w:val="hybridMultilevel"/>
    <w:lvl w:ilvl="0">
      <w:lvlJc w:val="left"/>
      <w:lvlText w:val="•"/>
      <w:numFmt w:val="bullet"/>
      <w:start w:val="1"/>
    </w:lvl>
  </w:abstractNum>
  <w:abstractNum w:abstractNumId="97">
    <w:nsid w:val="4C2A7166"/>
    <w:multiLevelType w:val="hybridMultilevel"/>
    <w:lvl w:ilvl="0">
      <w:lvlJc w:val="left"/>
      <w:lvlText w:val="•"/>
      <w:numFmt w:val="bullet"/>
      <w:start w:val="1"/>
    </w:lvl>
  </w:abstractNum>
  <w:abstractNum w:abstractNumId="98">
    <w:nsid w:val="2E534A82"/>
    <w:multiLevelType w:val="hybridMultilevel"/>
    <w:lvl w:ilvl="0">
      <w:lvlJc w:val="left"/>
      <w:lvlText w:val="•"/>
      <w:numFmt w:val="bullet"/>
      <w:start w:val="1"/>
    </w:lvl>
  </w:abstractNum>
  <w:abstractNum w:abstractNumId="99">
    <w:nsid w:val="26F2D364"/>
    <w:multiLevelType w:val="hybridMultilevel"/>
    <w:lvl w:ilvl="0">
      <w:lvlJc w:val="left"/>
      <w:lvlText w:val="•"/>
      <w:numFmt w:val="bullet"/>
      <w:start w:val="1"/>
    </w:lvl>
  </w:abstractNum>
  <w:abstractNum w:abstractNumId="100">
    <w:nsid w:val="71C1AF98"/>
    <w:multiLevelType w:val="hybridMultilevel"/>
    <w:lvl w:ilvl="0">
      <w:lvlJc w:val="left"/>
      <w:lvlText w:val="•"/>
      <w:numFmt w:val="bullet"/>
      <w:start w:val="1"/>
    </w:lvl>
  </w:abstractNum>
  <w:abstractNum w:abstractNumId="101">
    <w:nsid w:val="3D00B9D9"/>
    <w:multiLevelType w:val="hybridMultilevel"/>
    <w:lvl w:ilvl="0">
      <w:lvlJc w:val="left"/>
      <w:lvlText w:val="•"/>
      <w:numFmt w:val="bullet"/>
      <w:start w:val="1"/>
    </w:lvl>
  </w:abstractNum>
  <w:abstractNum w:abstractNumId="102">
    <w:nsid w:val="15BCABA8"/>
    <w:multiLevelType w:val="hybridMultilevel"/>
    <w:lvl w:ilvl="0">
      <w:lvlJc w:val="left"/>
      <w:lvlText w:val="•"/>
      <w:numFmt w:val="bullet"/>
      <w:start w:val="1"/>
    </w:lvl>
  </w:abstractNum>
  <w:abstractNum w:abstractNumId="103">
    <w:nsid w:val="4E0B9A87"/>
    <w:multiLevelType w:val="hybridMultilevel"/>
    <w:lvl w:ilvl="0">
      <w:lvlJc w:val="left"/>
      <w:lvlText w:val="(%1)"/>
      <w:numFmt w:val="lowerRoman"/>
      <w:start w:val="1"/>
    </w:lvl>
  </w:abstractNum>
  <w:abstractNum w:abstractNumId="104">
    <w:nsid w:val="434BAE75"/>
    <w:multiLevelType w:val="hybridMultilevel"/>
    <w:lvl w:ilvl="0">
      <w:lvlJc w:val="left"/>
      <w:lvlText w:val="(%1)"/>
      <w:numFmt w:val="lowerRoman"/>
      <w:start w:val="9"/>
    </w:lvl>
  </w:abstractNum>
  <w:abstractNum w:abstractNumId="105">
    <w:nsid w:val="4F38F265"/>
    <w:multiLevelType w:val="hybridMultilevel"/>
    <w:lvl w:ilvl="0">
      <w:lvlJc w:val="left"/>
      <w:lvlText w:val="(%1)"/>
      <w:numFmt w:val="lowerLetter"/>
      <w:start w:val="1"/>
    </w:lvl>
  </w:abstractNum>
  <w:abstractNum w:abstractNumId="106">
    <w:nsid w:val="4C502870"/>
    <w:multiLevelType w:val="hybridMultilevel"/>
    <w:lvl w:ilvl="0">
      <w:lvlJc w:val="left"/>
      <w:lvlText w:val="(%1)"/>
      <w:numFmt w:val="lowerLetter"/>
      <w:start w:val="1"/>
    </w:lvl>
  </w:abstractNum>
  <w:abstractNum w:abstractNumId="107">
    <w:nsid w:val="1DE8725A"/>
    <w:multiLevelType w:val="hybridMultilevel"/>
    <w:lvl w:ilvl="0">
      <w:lvlJc w:val="left"/>
      <w:lvlText w:val="$"/>
      <w:numFmt w:val="bullet"/>
      <w:start w:val="1"/>
    </w:lvl>
  </w:abstractNum>
  <w:abstractNum w:abstractNumId="108">
    <w:nsid w:val="6A37288A"/>
    <w:multiLevelType w:val="hybridMultilevel"/>
    <w:lvl w:ilvl="0">
      <w:lvlJc w:val="left"/>
      <w:lvlText w:val="(%1)"/>
      <w:numFmt w:val="lowerRoman"/>
      <w:start w:val="3"/>
    </w:lvl>
  </w:abstractNum>
  <w:abstractNum w:abstractNumId="109">
    <w:nsid w:val="8F8B73F"/>
    <w:multiLevelType w:val="hybridMultilevel"/>
    <w:lvl w:ilvl="0">
      <w:lvlJc w:val="left"/>
      <w:lvlText w:val="(%1)"/>
      <w:numFmt w:val="decimal"/>
      <w:start w:val="2"/>
    </w:lvl>
  </w:abstractNum>
  <w:abstractNum w:abstractNumId="110">
    <w:nsid w:val="CA6B462"/>
    <w:multiLevelType w:val="hybridMultilevel"/>
    <w:lvl w:ilvl="0">
      <w:lvlJc w:val="left"/>
      <w:lvlText w:val="+"/>
      <w:numFmt w:val="bullet"/>
      <w:start w:val="1"/>
    </w:lvl>
  </w:abstractNum>
  <w:abstractNum w:abstractNumId="111">
    <w:nsid w:val="763CB680"/>
    <w:multiLevelType w:val="hybridMultilevel"/>
    <w:lvl w:ilvl="0">
      <w:lvlJc w:val="left"/>
      <w:lvlText w:val="†"/>
      <w:numFmt w:val="bullet"/>
      <w:start w:val="1"/>
    </w:lvl>
  </w:abstractNum>
  <w:abstractNum w:abstractNumId="112">
    <w:nsid w:val="15B71329"/>
    <w:multiLevelType w:val="hybridMultilevel"/>
    <w:lvl w:ilvl="0">
      <w:lvlJc w:val="left"/>
      <w:lvlText w:val="#"/>
      <w:numFmt w:val="bullet"/>
      <w:start w:val="1"/>
    </w:lvl>
  </w:abstractNum>
  <w:abstractNum w:abstractNumId="113">
    <w:nsid w:val="3DA97044"/>
    <w:multiLevelType w:val="hybridMultilevel"/>
    <w:lvl w:ilvl="0">
      <w:lvlJc w:val="left"/>
      <w:lvlText w:val="*"/>
      <w:numFmt w:val="bullet"/>
      <w:start w:val="1"/>
    </w:lvl>
  </w:abstractNum>
  <w:abstractNum w:abstractNumId="114">
    <w:nsid w:val="1CDCE2DE"/>
    <w:multiLevelType w:val="hybridMultilevel"/>
    <w:lvl w:ilvl="0">
      <w:lvlJc w:val="left"/>
      <w:lvlText w:val="(%1)"/>
      <w:numFmt w:val="decimal"/>
      <w:start w:val="1"/>
    </w:lvl>
  </w:abstractNum>
  <w:abstractNum w:abstractNumId="115">
    <w:nsid w:val="69D3947C"/>
    <w:multiLevelType w:val="hybridMultilevel"/>
    <w:lvl w:ilvl="0">
      <w:lvlJc w:val="left"/>
      <w:lvlText w:val="%1."/>
      <w:numFmt w:val="decimal"/>
      <w:start w:val="1"/>
    </w:lvl>
  </w:abstractNum>
  <w:abstractNum w:abstractNumId="116">
    <w:nsid w:val="2539DFA5"/>
    <w:multiLevelType w:val="hybridMultilevel"/>
    <w:lvl w:ilvl="0">
      <w:lvlJc w:val="left"/>
      <w:lvlText w:val="%1."/>
      <w:numFmt w:val="upperLetter"/>
      <w:start w:val="1"/>
    </w:lvl>
    <w:lvl w:ilvl="1">
      <w:lvlJc w:val="left"/>
      <w:lvlText w:val="%2."/>
      <w:numFmt w:val="decimal"/>
      <w:start w:val="1"/>
    </w:lvl>
  </w:abstractNum>
  <w:abstractNum w:abstractNumId="117">
    <w:nsid w:val="2DB88089"/>
    <w:multiLevelType w:val="hybridMultilevel"/>
    <w:lvl w:ilvl="0">
      <w:lvlJc w:val="left"/>
      <w:lvlText w:val="%1."/>
      <w:numFmt w:val="decimal"/>
      <w:start w:val="1"/>
    </w:lvl>
  </w:abstractNum>
  <w:abstractNum w:abstractNumId="118">
    <w:nsid w:val="706B674E"/>
    <w:multiLevelType w:val="hybridMultilevel"/>
    <w:lvl w:ilvl="0">
      <w:lvlJc w:val="left"/>
      <w:lvlText w:val="%1."/>
      <w:numFmt w:val="decimal"/>
      <w:start w:val="2"/>
    </w:lvl>
  </w:abstractNum>
  <w:abstractNum w:abstractNumId="119">
    <w:nsid w:val="2C106A5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20">
    <w:nsid w:val="684EED59"/>
    <w:multiLevelType w:val="hybridMultilevel"/>
    <w:lvl w:ilvl="0">
      <w:lvlJc w:val="left"/>
      <w:lvlText w:val="(%1)"/>
      <w:numFmt w:val="lowerLetter"/>
      <w:start w:val="2"/>
    </w:lvl>
  </w:abstractNum>
  <w:abstractNum w:abstractNumId="121">
    <w:nsid w:val="545EE5D3"/>
    <w:multiLevelType w:val="hybridMultilevel"/>
    <w:lvl w:ilvl="0">
      <w:lvlJc w:val="left"/>
      <w:lvlText w:val="(%1)"/>
      <w:numFmt w:val="lowerLetter"/>
      <w:start w:val="1"/>
    </w:lvl>
  </w:abstractNum>
  <w:abstractNum w:abstractNumId="122">
    <w:nsid w:val="4A66051"/>
    <w:multiLevelType w:val="hybridMultilevel"/>
    <w:lvl w:ilvl="0">
      <w:lvlJc w:val="left"/>
      <w:lvlText w:val="%1."/>
      <w:numFmt w:val="decimal"/>
      <w:start w:val="3"/>
    </w:lvl>
  </w:abstractNum>
  <w:abstractNum w:abstractNumId="123">
    <w:nsid w:val="20F4BDAD"/>
    <w:multiLevelType w:val="hybridMultilevel"/>
    <w:lvl w:ilvl="0">
      <w:lvlJc w:val="left"/>
      <w:lvlText w:val="(%1)"/>
      <w:numFmt w:val="lowerLetter"/>
      <w:start w:val="2"/>
    </w:lvl>
  </w:abstractNum>
  <w:abstractNum w:abstractNumId="124">
    <w:nsid w:val="639DEFAC"/>
    <w:multiLevelType w:val="hybridMultilevel"/>
    <w:lvl w:ilvl="0">
      <w:lvlJc w:val="left"/>
      <w:lvlText w:val="(%1)"/>
      <w:numFmt w:val="lowerLetter"/>
      <w:start w:val="3"/>
    </w:lvl>
    <w:lvl w:ilvl="1">
      <w:lvlJc w:val="left"/>
      <w:lvlText w:val="(%2)"/>
      <w:numFmt w:val="lowerRoman"/>
      <w:start w:val="1"/>
    </w:lvl>
  </w:abstractNum>
  <w:abstractNum w:abstractNumId="125">
    <w:nsid w:val="501F9786"/>
    <w:multiLevelType w:val="hybridMultilevel"/>
    <w:lvl w:ilvl="0">
      <w:lvlJc w:val="left"/>
      <w:lvlText w:val="(%1)"/>
      <w:numFmt w:val="lowerLetter"/>
      <w:start w:val="1"/>
    </w:lvl>
  </w:abstractNum>
  <w:abstractNum w:abstractNumId="126">
    <w:nsid w:val="6B057295"/>
    <w:multiLevelType w:val="hybridMultilevel"/>
    <w:lvl w:ilvl="0">
      <w:lvlJc w:val="left"/>
      <w:lvlText w:val="(%1)"/>
      <w:numFmt w:val="lowerLetter"/>
      <w:start w:val="4"/>
    </w:lvl>
  </w:abstractNum>
  <w:abstractNum w:abstractNumId="127">
    <w:nsid w:val="2771AC80"/>
    <w:multiLevelType w:val="hybridMultilevel"/>
    <w:lvl w:ilvl="0">
      <w:lvlJc w:val="left"/>
      <w:lvlText w:val="(%1)"/>
      <w:numFmt w:val="lowerLetter"/>
      <w:start w:val="1"/>
    </w:lvl>
  </w:abstractNum>
  <w:abstractNum w:abstractNumId="128">
    <w:nsid w:val="1C4A08EC"/>
    <w:multiLevelType w:val="hybridMultilevel"/>
    <w:lvl w:ilvl="0">
      <w:lvlJc w:val="left"/>
      <w:lvlText w:val="(%1)"/>
      <w:numFmt w:val="lowerLetter"/>
      <w:start w:val="3"/>
    </w:lvl>
  </w:abstractNum>
  <w:abstractNum w:abstractNumId="129">
    <w:nsid w:val="1958BD17"/>
    <w:multiLevelType w:val="hybridMultilevel"/>
    <w:lvl w:ilvl="0">
      <w:lvlJc w:val="left"/>
      <w:lvlText w:val="(%1)"/>
      <w:numFmt w:val="lowerLetter"/>
      <w:start w:val="1"/>
    </w:lvl>
    <w:lvl w:ilvl="1">
      <w:lvlJc w:val="left"/>
      <w:lvlText w:val="(%2)"/>
      <w:numFmt w:val="lowerRoman"/>
      <w:start w:val="1"/>
    </w:lvl>
  </w:abstractNum>
  <w:abstractNum w:abstractNumId="130">
    <w:nsid w:val="4E647FE4"/>
    <w:multiLevelType w:val="hybridMultilevel"/>
    <w:lvl w:ilvl="0">
      <w:lvlJc w:val="left"/>
      <w:lvlText w:val="(%1)"/>
      <w:numFmt w:val="lowerRoman"/>
      <w:start w:val="2"/>
    </w:lvl>
  </w:abstractNum>
  <w:abstractNum w:abstractNumId="131">
    <w:nsid w:val="E0BB885"/>
    <w:multiLevelType w:val="hybridMultilevel"/>
    <w:lvl w:ilvl="0">
      <w:lvlJc w:val="left"/>
      <w:lvlText w:val="(%1)"/>
      <w:numFmt w:val="decimal"/>
      <w:start w:val="1"/>
    </w:lvl>
  </w:abstractNum>
  <w:abstractNum w:abstractNumId="132">
    <w:nsid w:val="565976F1"/>
    <w:multiLevelType w:val="hybridMultilevel"/>
    <w:lvl w:ilvl="0">
      <w:lvlJc w:val="left"/>
      <w:lvlText w:val="(%1)"/>
      <w:numFmt w:val="lowerLetter"/>
      <w:start w:val="2"/>
    </w:lvl>
  </w:abstractNum>
  <w:abstractNum w:abstractNumId="133">
    <w:nsid w:val="64212B8C"/>
    <w:multiLevelType w:val="hybridMultilevel"/>
    <w:lvl w:ilvl="0">
      <w:lvlJc w:val="left"/>
      <w:lvlText w:val="(%1)"/>
      <w:numFmt w:val="lowerLetter"/>
      <w:start w:val="1"/>
    </w:lvl>
  </w:abstractNum>
  <w:abstractNum w:abstractNumId="134">
    <w:nsid w:val="5C17530C"/>
    <w:multiLevelType w:val="hybridMultilevel"/>
    <w:lvl w:ilvl="0">
      <w:lvlJc w:val="left"/>
      <w:lvlText w:val="(%1)"/>
      <w:numFmt w:val="lowerRoman"/>
      <w:start w:val="1"/>
    </w:lvl>
  </w:abstractNum>
  <w:abstractNum w:abstractNumId="135">
    <w:nsid w:val="19A52566"/>
    <w:multiLevelType w:val="hybridMultilevel"/>
    <w:lvl w:ilvl="0">
      <w:lvlJc w:val="left"/>
      <w:lvlText w:val="%1."/>
      <w:numFmt w:val="decimal"/>
      <w:start w:val="5"/>
    </w:lvl>
  </w:abstractNum>
  <w:abstractNum w:abstractNumId="136">
    <w:nsid w:val="335A1DF1"/>
    <w:multiLevelType w:val="hybridMultilevel"/>
    <w:lvl w:ilvl="0">
      <w:lvlJc w:val="left"/>
      <w:lvlText w:val="%1."/>
      <w:numFmt w:val="decimal"/>
      <w:start w:val="6"/>
    </w:lvl>
  </w:abstractNum>
  <w:abstractNum w:abstractNumId="137">
    <w:nsid w:val="28677B7C"/>
    <w:multiLevelType w:val="hybridMultilevel"/>
    <w:lvl w:ilvl="0">
      <w:lvlJc w:val="left"/>
      <w:lvlText w:val="%1."/>
      <w:numFmt w:val="decimal"/>
      <w:start w:val="1"/>
    </w:lvl>
  </w:abstractNum>
  <w:abstractNum w:abstractNumId="138">
    <w:nsid w:val="378D97C0"/>
    <w:multiLevelType w:val="hybridMultilevel"/>
    <w:lvl w:ilvl="0">
      <w:lvlJc w:val="left"/>
      <w:lvlText w:val="%1."/>
      <w:numFmt w:val="decimal"/>
      <w:start w:val="5"/>
    </w:lvl>
  </w:abstractNum>
  <w:abstractNum w:abstractNumId="139">
    <w:nsid w:val="1D91467C"/>
    <w:multiLevelType w:val="hybridMultilevel"/>
    <w:lvl w:ilvl="0">
      <w:lvlJc w:val="left"/>
      <w:lvlText w:val="(%1)"/>
      <w:numFmt w:val="lowerRoman"/>
      <w:start w:val="1"/>
    </w:lvl>
    <w:lvl w:ilvl="1">
      <w:lvlJc w:val="left"/>
      <w:lvlText w:val="%2."/>
      <w:numFmt w:val="decimal"/>
      <w:start w:val="4"/>
    </w:lvl>
    <w:lvl w:ilvl="2">
      <w:lvlJc w:val="left"/>
      <w:lvlText w:val="*"/>
      <w:numFmt w:val="bullet"/>
      <w:start w:val="1"/>
    </w:lvl>
  </w:abstractNum>
  <w:abstractNum w:abstractNumId="140">
    <w:nsid w:val="316032BB"/>
    <w:multiLevelType w:val="hybridMultilevel"/>
    <w:lvl w:ilvl="0">
      <w:lvlJc w:val="left"/>
      <w:lvlText w:val="%1."/>
      <w:numFmt w:val="decimal"/>
      <w:start w:val="1"/>
    </w:lvl>
  </w:abstractNum>
  <w:abstractNum w:abstractNumId="141">
    <w:nsid w:val="44344C22"/>
    <w:multiLevelType w:val="hybridMultilevel"/>
    <w:lvl w:ilvl="0">
      <w:lvlJc w:val="left"/>
      <w:lvlText w:val="%1."/>
      <w:numFmt w:val="decimal"/>
      <w:start w:val="4"/>
    </w:lvl>
  </w:abstractNum>
  <w:abstractNum w:abstractNumId="142">
    <w:nsid w:val="13CDFCFC"/>
    <w:multiLevelType w:val="hybridMultilevel"/>
    <w:lvl w:ilvl="0">
      <w:lvlJc w:val="left"/>
      <w:lvlText w:val="%1"/>
      <w:numFmt w:val="decimal"/>
      <w:start w:val="1"/>
    </w:lvl>
    <w:lvl w:ilvl="1">
      <w:lvlJc w:val="left"/>
      <w:lvlText w:val="(%2)"/>
      <w:numFmt w:val="lowerLetter"/>
      <w:start w:val="1"/>
    </w:lvl>
  </w:abstractNum>
  <w:abstractNum w:abstractNumId="143">
    <w:nsid w:val="471745E4"/>
    <w:multiLevelType w:val="hybridMultilevel"/>
    <w:lvl w:ilvl="0">
      <w:lvlJc w:val="left"/>
      <w:lvlText w:val="(%1)"/>
      <w:numFmt w:val="decimal"/>
      <w:start w:val="60"/>
    </w:lvl>
    <w:lvl w:ilvl="1">
      <w:lvlJc w:val="left"/>
      <w:lvlText w:val="(%2)"/>
      <w:numFmt w:val="lowerLetter"/>
      <w:start w:val="2"/>
    </w:lvl>
  </w:abstractNum>
  <w:abstractNum w:abstractNumId="144">
    <w:nsid w:val="1DDBC66"/>
    <w:multiLevelType w:val="hybridMultilevel"/>
    <w:lvl w:ilvl="0">
      <w:lvlJc w:val="left"/>
      <w:lvlText w:val="(%1)"/>
      <w:numFmt w:val="lowerLetter"/>
      <w:start w:val="3"/>
    </w:lvl>
  </w:abstractNum>
  <w:abstractNum w:abstractNumId="145">
    <w:nsid w:val="30AADFDA"/>
    <w:multiLevelType w:val="hybridMultilevel"/>
    <w:lvl w:ilvl="0">
      <w:lvlJc w:val="left"/>
      <w:lvlText w:val="(%1)"/>
      <w:numFmt w:val="lowerLetter"/>
      <w:start w:val="1"/>
    </w:lvl>
  </w:abstractNum>
  <w:abstractNum w:abstractNumId="146">
    <w:nsid w:val="30EADA61"/>
    <w:multiLevelType w:val="hybridMultilevel"/>
    <w:lvl w:ilvl="0">
      <w:lvlJc w:val="left"/>
      <w:lvlText w:val="(%1)"/>
      <w:numFmt w:val="lowerLetter"/>
      <w:start w:val="2"/>
    </w:lvl>
  </w:abstractNum>
  <w:abstractNum w:abstractNumId="147">
    <w:nsid w:val="27179C0B"/>
    <w:multiLevelType w:val="hybridMultilevel"/>
    <w:lvl w:ilvl="0">
      <w:lvlJc w:val="left"/>
      <w:lvlText w:val="(%1)"/>
      <w:numFmt w:val="lowerLetter"/>
      <w:start w:val="1"/>
    </w:lvl>
  </w:abstractNum>
  <w:abstractNum w:abstractNumId="148">
    <w:nsid w:val="5E636063"/>
    <w:multiLevelType w:val="hybridMultilevel"/>
    <w:lvl w:ilvl="0">
      <w:lvlJc w:val="left"/>
      <w:lvlText w:val="(%1)"/>
      <w:numFmt w:val="lowerRoman"/>
      <w:start w:val="1"/>
    </w:lvl>
  </w:abstractNum>
  <w:abstractNum w:abstractNumId="149">
    <w:nsid w:val="215641AF"/>
    <w:multiLevelType w:val="hybridMultilevel"/>
    <w:lvl w:ilvl="0">
      <w:lvlJc w:val="left"/>
      <w:lvlText w:val="%1"/>
      <w:numFmt w:val="decimal"/>
      <w:start w:val="1"/>
    </w:lvl>
    <w:lvl w:ilvl="1">
      <w:lvlJc w:val="left"/>
      <w:lvlText w:val="(%2)"/>
      <w:numFmt w:val="lowerLetter"/>
      <w:start w:val="1"/>
    </w:lvl>
  </w:abstractNum>
  <w:abstractNum w:abstractNumId="150">
    <w:nsid w:val="53280662"/>
    <w:multiLevelType w:val="hybridMultilevel"/>
    <w:lvl w:ilvl="0">
      <w:lvlJc w:val="left"/>
      <w:lvlText w:val="(%1)"/>
      <w:numFmt w:val="decimal"/>
      <w:start w:val="180"/>
    </w:lvl>
    <w:lvl w:ilvl="1">
      <w:lvlJc w:val="left"/>
      <w:lvlText w:val="(%2)"/>
      <w:numFmt w:val="lowerLetter"/>
      <w:start w:val="2"/>
    </w:lvl>
  </w:abstractNum>
  <w:abstractNum w:abstractNumId="151">
    <w:nsid w:val="46B24DBC"/>
    <w:multiLevelType w:val="hybridMultilevel"/>
    <w:lvl w:ilvl="0">
      <w:lvlJc w:val="left"/>
      <w:lvlText w:val="%1"/>
      <w:numFmt w:val="decimal"/>
      <w:start w:val="1"/>
    </w:lvl>
    <w:lvl w:ilvl="1">
      <w:lvlJc w:val="left"/>
      <w:lvlText w:val="(%2)"/>
      <w:numFmt w:val="lowerLetter"/>
      <w:start w:val="3"/>
    </w:lvl>
  </w:abstractNum>
  <w:abstractNum w:abstractNumId="152">
    <w:nsid w:val="75B52783"/>
    <w:multiLevelType w:val="hybridMultilevel"/>
    <w:lvl w:ilvl="0">
      <w:lvlJc w:val="left"/>
      <w:lvlText w:val="(%1)"/>
      <w:numFmt w:val="decimal"/>
      <w:start w:val="120"/>
    </w:lvl>
    <w:lvl w:ilvl="1">
      <w:lvlJc w:val="left"/>
      <w:lvlText w:val="(%2)"/>
      <w:numFmt w:val="lowerLetter"/>
      <w:start w:val="4"/>
    </w:lvl>
  </w:abstractNum>
  <w:abstractNum w:abstractNumId="153">
    <w:nsid w:val="57CE66B4"/>
    <w:multiLevelType w:val="hybridMultilevel"/>
    <w:lvl w:ilvl="0">
      <w:lvlJc w:val="left"/>
      <w:lvlText w:val="(%1)"/>
      <w:numFmt w:val="decimal"/>
      <w:start w:val="180"/>
    </w:lvl>
    <w:lvl w:ilvl="1">
      <w:lvlJc w:val="left"/>
      <w:lvlText w:val="%2"/>
      <w:numFmt w:val="lowerLetter"/>
      <w:start w:val="1"/>
    </w:lvl>
  </w:abstractNum>
  <w:abstractNum w:abstractNumId="154">
    <w:nsid w:val="67A70B69"/>
    <w:multiLevelType w:val="hybridMultilevel"/>
    <w:lvl w:ilvl="0">
      <w:lvlJc w:val="left"/>
      <w:lvlText w:val="(%1)"/>
      <w:numFmt w:val="lowerLetter"/>
      <w:start w:val="1"/>
    </w:lvl>
  </w:abstractNum>
  <w:abstractNum w:abstractNumId="155">
    <w:nsid w:val="5953172F"/>
    <w:multiLevelType w:val="hybridMultilevel"/>
    <w:lvl w:ilvl="0">
      <w:lvlJc w:val="left"/>
      <w:lvlText w:val="(%1)"/>
      <w:numFmt w:val="lowerLetter"/>
      <w:start w:val="3"/>
    </w:lvl>
  </w:abstractNum>
  <w:abstractNum w:abstractNumId="156">
    <w:nsid w:val="27EDFE3A"/>
    <w:multiLevelType w:val="hybridMultilevel"/>
    <w:lvl w:ilvl="0">
      <w:lvlJc w:val="left"/>
      <w:lvlText w:val="(%1)"/>
      <w:numFmt w:val="lowerLetter"/>
      <w:start w:val="1"/>
    </w:lvl>
  </w:abstractNum>
  <w:abstractNum w:abstractNumId="157">
    <w:nsid w:val="52AC7DFF"/>
    <w:multiLevelType w:val="hybridMultilevel"/>
    <w:lvl w:ilvl="0">
      <w:lvlJc w:val="left"/>
      <w:lvlText w:val="(%1)"/>
      <w:numFmt w:val="lowerLetter"/>
      <w:start w:val="3"/>
    </w:lvl>
  </w:abstractNum>
  <w:abstractNum w:abstractNumId="158">
    <w:nsid w:val="C4C3AF"/>
    <w:multiLevelType w:val="hybridMultilevel"/>
    <w:lvl w:ilvl="0">
      <w:lvlJc w:val="left"/>
      <w:lvlText w:val="(%1)"/>
      <w:numFmt w:val="lowerLetter"/>
      <w:start w:val="1"/>
    </w:lvl>
  </w:abstractNum>
  <w:abstractNum w:abstractNumId="159">
    <w:nsid w:val="44380727"/>
    <w:multiLevelType w:val="hybridMultilevel"/>
    <w:lvl w:ilvl="0">
      <w:lvlJc w:val="left"/>
      <w:lvlText w:val="(%1)"/>
      <w:numFmt w:val="lowerLetter"/>
      <w:start w:val="2"/>
    </w:lvl>
  </w:abstractNum>
  <w:abstractNum w:abstractNumId="160">
    <w:nsid w:val="6C053B16"/>
    <w:multiLevelType w:val="hybridMultilevel"/>
    <w:lvl w:ilvl="0">
      <w:lvlJc w:val="left"/>
      <w:lvlText w:val="(%1)"/>
      <w:numFmt w:val="lowerLetter"/>
      <w:start w:val="5"/>
    </w:lvl>
  </w:abstractNum>
  <w:abstractNum w:abstractNumId="161">
    <w:nsid w:val="4F294393"/>
    <w:multiLevelType w:val="hybridMultilevel"/>
    <w:lvl w:ilvl="0">
      <w:lvlJc w:val="left"/>
      <w:lvlText w:val="(%1)"/>
      <w:numFmt w:val="lowerLetter"/>
      <w:start w:val="1"/>
    </w:lvl>
  </w:abstractNum>
  <w:abstractNum w:abstractNumId="162">
    <w:nsid w:val="5243BFAC"/>
    <w:multiLevelType w:val="hybridMultilevel"/>
    <w:lvl w:ilvl="0">
      <w:lvlJc w:val="left"/>
      <w:lvlText w:val="(%1)"/>
      <w:numFmt w:val="lowerLetter"/>
      <w:start w:val="3"/>
    </w:lvl>
  </w:abstractNum>
  <w:abstractNum w:abstractNumId="163">
    <w:nsid w:val="425EB207"/>
    <w:multiLevelType w:val="hybridMultilevel"/>
    <w:lvl w:ilvl="0">
      <w:lvlJc w:val="left"/>
      <w:lvlText w:val="(%1)"/>
      <w:numFmt w:val="lowerRoman"/>
      <w:start w:val="2"/>
    </w:lvl>
  </w:abstractNum>
  <w:abstractNum w:abstractNumId="164">
    <w:nsid w:val="334A6F1F"/>
    <w:multiLevelType w:val="hybridMultilevel"/>
    <w:lvl w:ilvl="0">
      <w:lvlJc w:val="left"/>
      <w:lvlText w:val="(%1)"/>
      <w:numFmt w:val="lowerLetter"/>
      <w:start w:val="1"/>
    </w:lvl>
  </w:abstractNum>
  <w:abstractNum w:abstractNumId="165">
    <w:nsid w:val="2E5B12B8"/>
    <w:multiLevelType w:val="hybridMultilevel"/>
    <w:lvl w:ilvl="0">
      <w:lvlJc w:val="left"/>
      <w:lvlText w:val="(%1)"/>
      <w:numFmt w:val="lowerLetter"/>
      <w:start w:val="3"/>
    </w:lvl>
  </w:abstractNum>
  <w:abstractNum w:abstractNumId="166">
    <w:nsid w:val="5C03D76D"/>
    <w:multiLevelType w:val="hybridMultilevel"/>
    <w:lvl w:ilvl="0">
      <w:lvlJc w:val="left"/>
      <w:lvlText w:val="(%1)"/>
      <w:numFmt w:val="lowerLetter"/>
      <w:start w:val="1"/>
    </w:lvl>
  </w:abstractNum>
  <w:abstractNum w:abstractNumId="167">
    <w:nsid w:val="66A48D11"/>
    <w:multiLevelType w:val="hybridMultilevel"/>
    <w:lvl w:ilvl="0">
      <w:lvlJc w:val="left"/>
      <w:lvlText w:val="%1."/>
      <w:numFmt w:val="decimal"/>
      <w:start w:val="3"/>
    </w:lvl>
  </w:abstractNum>
  <w:abstractNum w:abstractNumId="168">
    <w:nsid w:val="56C28E34"/>
    <w:multiLevelType w:val="hybridMultilevel"/>
    <w:lvl w:ilvl="0">
      <w:lvlJc w:val="left"/>
      <w:lvlText w:val="%1"/>
      <w:numFmt w:val="lowerLetter"/>
      <w:start w:val="1"/>
    </w:lvl>
    <w:lvl w:ilvl="1">
      <w:lvlJc w:val="left"/>
      <w:lvlText w:val="(%2)"/>
      <w:numFmt w:val="lowerLetter"/>
      <w:start w:val="1"/>
    </w:lvl>
  </w:abstractNum>
  <w:abstractNum w:abstractNumId="169">
    <w:nsid w:val="13916F2D"/>
    <w:multiLevelType w:val="hybridMultilevel"/>
    <w:lvl w:ilvl="0">
      <w:lvlJc w:val="left"/>
      <w:lvlText w:val="(%1)"/>
      <w:numFmt w:val="lowerLetter"/>
      <w:start w:val="9"/>
    </w:lvl>
    <w:lvl w:ilvl="1">
      <w:lvlJc w:val="left"/>
      <w:lvlText w:val="(%2)"/>
      <w:numFmt w:val="lowerLetter"/>
      <w:start w:val="2"/>
    </w:lvl>
  </w:abstractNum>
  <w:abstractNum w:abstractNumId="170">
    <w:nsid w:val="435D38D"/>
    <w:multiLevelType w:val="hybridMultilevel"/>
    <w:lvl w:ilvl="0">
      <w:lvlJc w:val="left"/>
      <w:lvlText w:val="(%1)"/>
      <w:numFmt w:val="lowerLetter"/>
      <w:start w:val="35"/>
    </w:lvl>
    <w:lvl w:ilvl="1">
      <w:lvlJc w:val="left"/>
      <w:lvlText w:val="(%2)"/>
      <w:numFmt w:val="lowerLetter"/>
      <w:start w:val="3"/>
    </w:lvl>
  </w:abstractNum>
  <w:abstractNum w:abstractNumId="171">
    <w:nsid w:val="822C0EF"/>
    <w:multiLevelType w:val="hybridMultilevel"/>
    <w:lvl w:ilvl="0">
      <w:lvlJc w:val="left"/>
      <w:lvlText w:val="%1."/>
      <w:numFmt w:val="decimal"/>
      <w:start w:val="4"/>
    </w:lvl>
  </w:abstractNum>
  <w:abstractNum w:abstractNumId="172">
    <w:nsid w:val="57C5BB4F"/>
    <w:multiLevelType w:val="hybridMultilevel"/>
    <w:lvl w:ilvl="0">
      <w:lvlJc w:val="left"/>
      <w:lvlText w:val="(%1)"/>
      <w:numFmt w:val="lowerLetter"/>
      <w:start w:val="1"/>
    </w:lvl>
  </w:abstractNum>
  <w:abstractNum w:abstractNumId="173">
    <w:nsid w:val="1803D089"/>
    <w:multiLevelType w:val="hybridMultilevel"/>
    <w:lvl w:ilvl="0">
      <w:lvlJc w:val="left"/>
      <w:lvlText w:val="(%1)"/>
      <w:numFmt w:val="lowerLetter"/>
      <w:start w:val="3"/>
    </w:lvl>
  </w:abstractNum>
  <w:abstractNum w:abstractNumId="174">
    <w:nsid w:val="4F3A06D4"/>
    <w:multiLevelType w:val="hybridMultilevel"/>
    <w:lvl w:ilvl="0">
      <w:lvlJc w:val="left"/>
      <w:lvlText w:val="%1."/>
      <w:numFmt w:val="decimal"/>
      <w:start w:val="5"/>
    </w:lvl>
  </w:abstractNum>
  <w:abstractNum w:abstractNumId="175">
    <w:nsid w:val="59A377B6"/>
    <w:multiLevelType w:val="hybridMultilevel"/>
    <w:lvl w:ilvl="0">
      <w:lvlJc w:val="left"/>
      <w:lvlText w:val="(%1)"/>
      <w:numFmt w:val="lowerLetter"/>
      <w:start w:val="1"/>
    </w:lvl>
  </w:abstractNum>
  <w:abstractNum w:abstractNumId="176">
    <w:nsid w:val="48AEB063"/>
    <w:multiLevelType w:val="hybridMultilevel"/>
    <w:lvl w:ilvl="0">
      <w:lvlJc w:val="left"/>
      <w:lvlText w:val="(%1)"/>
      <w:numFmt w:val="lowerLetter"/>
      <w:start w:val="5"/>
    </w:lvl>
  </w:abstractNum>
  <w:abstractNum w:abstractNumId="177">
    <w:nsid w:val="24E135"/>
    <w:multiLevelType w:val="hybridMultilevel"/>
    <w:lvl w:ilvl="0">
      <w:lvlJc w:val="left"/>
      <w:lvlText w:val="(%1)"/>
      <w:numFmt w:val="lowerLetter"/>
      <w:start w:val="25"/>
    </w:lvl>
  </w:abstractNum>
  <w:abstractNum w:abstractNumId="178">
    <w:nsid w:val="BB13C1"/>
    <w:multiLevelType w:val="hybridMultilevel"/>
    <w:lvl w:ilvl="0">
      <w:lvlJc w:val="left"/>
      <w:lvlText w:val="%1."/>
      <w:numFmt w:val="decimal"/>
      <w:start w:val="6"/>
    </w:lvl>
  </w:abstractNum>
  <w:abstractNum w:abstractNumId="179">
    <w:nsid w:val="271210C7"/>
    <w:multiLevelType w:val="hybridMultilevel"/>
    <w:lvl w:ilvl="0">
      <w:lvlJc w:val="left"/>
      <w:lvlText w:val="(%1)"/>
      <w:numFmt w:val="lowerLetter"/>
      <w:start w:val="1"/>
    </w:lvl>
  </w:abstractNum>
  <w:abstractNum w:abstractNumId="180">
    <w:nsid w:val="217B22E4"/>
    <w:multiLevelType w:val="hybridMultilevel"/>
    <w:lvl w:ilvl="0">
      <w:lvlJc w:val="left"/>
      <w:lvlText w:val="(%1)"/>
      <w:numFmt w:val="lowerLetter"/>
      <w:start w:val="2"/>
    </w:lvl>
  </w:abstractNum>
  <w:abstractNum w:abstractNumId="181">
    <w:nsid w:val="53E31A24"/>
    <w:multiLevelType w:val="hybridMultilevel"/>
    <w:lvl w:ilvl="0">
      <w:lvlJc w:val="left"/>
      <w:lvlText w:val="(%1)"/>
      <w:numFmt w:val="lowerLetter"/>
      <w:start w:val="1"/>
    </w:lvl>
    <w:lvl w:ilvl="1">
      <w:lvlJc w:val="left"/>
      <w:lvlText w:val="(%2)"/>
      <w:numFmt w:val="lowerLetter"/>
      <w:start w:val="9"/>
    </w:lvl>
  </w:abstractNum>
  <w:abstractNum w:abstractNumId="182">
    <w:nsid w:val="6DC45E83"/>
    <w:multiLevelType w:val="hybridMultilevel"/>
    <w:lvl w:ilvl="0">
      <w:lvlJc w:val="left"/>
      <w:lvlText w:val="(%1)"/>
      <w:numFmt w:val="lowerRoman"/>
      <w:start w:val="2"/>
    </w:lvl>
  </w:abstractNum>
  <w:abstractNum w:abstractNumId="183">
    <w:nsid w:val="17304A67"/>
    <w:multiLevelType w:val="hybridMultilevel"/>
    <w:lvl w:ilvl="0">
      <w:lvlJc w:val="left"/>
      <w:lvlText w:val="(%1)"/>
      <w:numFmt w:val="lowerRoman"/>
      <w:start w:val="3"/>
    </w:lvl>
  </w:abstractNum>
  <w:abstractNum w:abstractNumId="184">
    <w:nsid w:val="2BB180D8"/>
    <w:multiLevelType w:val="hybridMultilevel"/>
    <w:lvl w:ilvl="0">
      <w:lvlJc w:val="left"/>
      <w:lvlText w:val="(%1)"/>
      <w:numFmt w:val="lowerRoman"/>
      <w:start w:val="5"/>
    </w:lvl>
  </w:abstractNum>
  <w:abstractNum w:abstractNumId="185">
    <w:nsid w:val="556B69ED"/>
    <w:multiLevelType w:val="hybridMultilevel"/>
    <w:lvl w:ilvl="0">
      <w:lvlJc w:val="left"/>
      <w:lvlText w:val="(%1)"/>
      <w:numFmt w:val="lowerRoman"/>
      <w:start w:val="6"/>
    </w:lvl>
  </w:abstractNum>
  <w:abstractNum w:abstractNumId="186">
    <w:nsid w:val="70836196"/>
    <w:multiLevelType w:val="hybridMultilevel"/>
    <w:lvl w:ilvl="0">
      <w:lvlJc w:val="left"/>
      <w:lvlText w:val="(%1)"/>
      <w:numFmt w:val="lowerLetter"/>
      <w:start w:val="3"/>
    </w:lvl>
  </w:abstractNum>
  <w:abstractNum w:abstractNumId="187">
    <w:nsid w:val="539F7F12"/>
    <w:multiLevelType w:val="hybridMultilevel"/>
    <w:lvl w:ilvl="0">
      <w:lvlJc w:val="left"/>
      <w:lvlText w:val="(%1)"/>
      <w:numFmt w:val="lowerLetter"/>
      <w:start w:val="5"/>
    </w:lvl>
  </w:abstractNum>
  <w:abstractNum w:abstractNumId="188">
    <w:nsid w:val="2817E7EC"/>
    <w:multiLevelType w:val="hybridMultilevel"/>
    <w:lvl w:ilvl="0">
      <w:lvlJc w:val="left"/>
      <w:lvlText w:val="(%1)"/>
      <w:numFmt w:val="lowerLetter"/>
      <w:start w:val="2"/>
    </w:lvl>
  </w:abstractNum>
  <w:abstractNum w:abstractNumId="189">
    <w:nsid w:val="71482545"/>
    <w:multiLevelType w:val="hybridMultilevel"/>
    <w:lvl w:ilvl="0">
      <w:lvlJc w:val="left"/>
      <w:lvlText w:val="(%1)"/>
      <w:numFmt w:val="lowerLetter"/>
      <w:start w:val="1"/>
    </w:lvl>
  </w:abstractNum>
  <w:abstractNum w:abstractNumId="190">
    <w:nsid w:val="17D786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1">
    <w:nsid w:val="141D2302"/>
    <w:multiLevelType w:val="hybridMultilevel"/>
    <w:lvl w:ilvl="0">
      <w:lvlJc w:val="left"/>
      <w:lvlText w:val="%1."/>
      <w:numFmt w:val="lowerLetter"/>
      <w:start w:val="3"/>
    </w:lvl>
  </w:abstractNum>
  <w:abstractNum w:abstractNumId="192">
    <w:nsid w:val="407168D8"/>
    <w:multiLevelType w:val="hybridMultilevel"/>
    <w:lvl w:ilvl="0">
      <w:lvlJc w:val="left"/>
      <w:lvlText w:val="%1."/>
      <w:numFmt w:val="lowerLetter"/>
      <w:start w:val="4"/>
    </w:lvl>
  </w:abstractNum>
  <w:abstractNum w:abstractNumId="193">
    <w:nsid w:val="6A1B45E5"/>
    <w:multiLevelType w:val="hybridMultilevel"/>
    <w:lvl w:ilvl="0">
      <w:lvlJc w:val="left"/>
      <w:lvlText w:val="%1"/>
      <w:numFmt w:val="decimal"/>
      <w:start w:val="1"/>
    </w:lvl>
    <w:lvl w:ilvl="1">
      <w:lvlJc w:val="left"/>
      <w:lvlText w:val="%2."/>
      <w:numFmt w:val="lowerLetter"/>
      <w:start w:val="6"/>
    </w:lvl>
  </w:abstractNum>
  <w:abstractNum w:abstractNumId="194">
    <w:nsid w:val="567BD50A"/>
    <w:multiLevelType w:val="hybridMultilevel"/>
    <w:lvl w:ilvl="0">
      <w:lvlJc w:val="left"/>
      <w:lvlText w:val="%1."/>
      <w:numFmt w:val="decimal"/>
      <w:start w:val="2"/>
    </w:lvl>
    <w:lvl w:ilvl="1">
      <w:lvlJc w:val="left"/>
      <w:lvlText w:val="%2"/>
      <w:numFmt w:val="lowerLetter"/>
      <w:start w:val="1"/>
    </w:lvl>
  </w:abstractNum>
  <w:abstractNum w:abstractNumId="195">
    <w:nsid w:val="73BBD7F8"/>
    <w:multiLevelType w:val="hybridMultilevel"/>
    <w:lvl w:ilvl="0">
      <w:lvlJc w:val="left"/>
      <w:lvlText w:val="(%1)"/>
      <w:numFmt w:val="lowerRoman"/>
      <w:start w:val="1"/>
    </w:lvl>
  </w:abstractNum>
  <w:abstractNum w:abstractNumId="196">
    <w:nsid w:val="1876589D"/>
    <w:multiLevelType w:val="hybridMultilevel"/>
    <w:lvl w:ilvl="0">
      <w:lvlJc w:val="left"/>
      <w:lvlText w:val="(%1)"/>
      <w:numFmt w:val="lowerRoman"/>
      <w:start w:val="1"/>
    </w:lvl>
  </w:abstractNum>
  <w:abstractNum w:abstractNumId="197">
    <w:nsid w:val="327FAC77"/>
    <w:multiLevelType w:val="hybridMultilevel"/>
    <w:lvl w:ilvl="0">
      <w:lvlJc w:val="left"/>
      <w:lvlText w:val="(%1)"/>
      <w:numFmt w:val="lowerRoman"/>
      <w:start w:val="1"/>
    </w:lvl>
  </w:abstractNum>
  <w:abstractNum w:abstractNumId="198">
    <w:nsid w:val="5A606509"/>
    <w:multiLevelType w:val="hybridMultilevel"/>
    <w:lvl w:ilvl="0">
      <w:lvlJc w:val="left"/>
      <w:lvlText w:val="[***]"/>
      <w:numFmt w:val="bullet"/>
      <w:start w:val="1"/>
    </w:lvl>
  </w:abstractNum>
  <w:abstractNum w:abstractNumId="199">
    <w:nsid w:val="6F38E6D1"/>
    <w:multiLevelType w:val="hybridMultilevel"/>
    <w:lvl w:ilvl="0">
      <w:lvlJc w:val="left"/>
      <w:lvlText w:val="(%1)"/>
      <w:numFmt w:val="lowerRoman"/>
      <w:start w:val="1"/>
    </w:lvl>
  </w:abstractNum>
  <w:abstractNum w:abstractNumId="200">
    <w:nsid w:val="46111BA5"/>
    <w:multiLevelType w:val="hybridMultilevel"/>
    <w:lvl w:ilvl="0">
      <w:lvlJc w:val="left"/>
      <w:lvlText w:val="(%1)"/>
      <w:numFmt w:val="lowerRoman"/>
      <w:start w:val="1"/>
    </w:lvl>
  </w:abstractNum>
  <w:abstractNum w:abstractNumId="201">
    <w:nsid w:val="5E963896"/>
    <w:multiLevelType w:val="hybridMultilevel"/>
    <w:lvl w:ilvl="0">
      <w:lvlJc w:val="left"/>
      <w:lvlText w:val="(%1)"/>
      <w:numFmt w:val="lowerRoman"/>
      <w:start w:val="1"/>
    </w:lvl>
  </w:abstractNum>
  <w:abstractNum w:abstractNumId="202">
    <w:nsid w:val="775BA7C1"/>
    <w:multiLevelType w:val="hybridMultilevel"/>
    <w:lvl w:ilvl="0">
      <w:lvlJc w:val="left"/>
      <w:lvlText w:val="(%1)"/>
      <w:numFmt w:val="lowerRoman"/>
      <w:start w:val="3"/>
    </w:lvl>
  </w:abstractNum>
  <w:abstractNum w:abstractNumId="203">
    <w:nsid w:val="1DD6D6F4"/>
    <w:multiLevelType w:val="hybridMultilevel"/>
    <w:lvl w:ilvl="0">
      <w:lvlJc w:val="left"/>
      <w:lvlText w:val="(%1)"/>
      <w:numFmt w:val="lowerLetter"/>
      <w:start w:val="2"/>
    </w:lvl>
  </w:abstractNum>
  <w:abstractNum w:abstractNumId="204">
    <w:nsid w:val="769A091F"/>
    <w:multiLevelType w:val="hybridMultilevel"/>
    <w:lvl w:ilvl="0">
      <w:lvlJc w:val="left"/>
      <w:lvlText w:val="(%1)"/>
      <w:numFmt w:val="lowerRoman"/>
      <w:start w:val="1"/>
    </w:lvl>
  </w:abstractNum>
  <w:abstractNum w:abstractNumId="205">
    <w:nsid w:val="4695AE95"/>
    <w:multiLevelType w:val="hybridMultilevel"/>
    <w:lvl w:ilvl="0">
      <w:lvlJc w:val="left"/>
      <w:lvlText w:val="(%1)"/>
      <w:numFmt w:val="lowerLetter"/>
      <w:start w:val="2"/>
    </w:lvl>
  </w:abstractNum>
  <w:abstractNum w:abstractNumId="206">
    <w:nsid w:val="777A4EAA"/>
    <w:multiLevelType w:val="hybridMultilevel"/>
    <w:lvl w:ilvl="0">
      <w:lvlJc w:val="left"/>
      <w:lvlText w:val="(%1)"/>
      <w:numFmt w:val="lowerLetter"/>
      <w:start w:val="1"/>
    </w:lvl>
  </w:abstractNum>
  <w:abstractNum w:abstractNumId="207">
    <w:nsid w:val="3F48B982"/>
    <w:multiLevelType w:val="hybridMultilevel"/>
    <w:lvl w:ilvl="0">
      <w:lvlJc w:val="left"/>
      <w:lvlText w:val="(%1)"/>
      <w:numFmt w:val="lowerLetter"/>
      <w:start w:val="1"/>
    </w:lvl>
  </w:abstractNum>
  <w:abstractNum w:abstractNumId="208">
    <w:nsid w:val="46BA8FCA"/>
    <w:multiLevelType w:val="hybridMultilevel"/>
    <w:lvl w:ilvl="0">
      <w:lvlJc w:val="left"/>
      <w:lvlText w:val="(%1)"/>
      <w:numFmt w:val="lowerLetter"/>
      <w:start w:val="1"/>
    </w:lvl>
  </w:abstractNum>
  <w:abstractNum w:abstractNumId="209">
    <w:nsid w:val="7835626C"/>
    <w:multiLevelType w:val="hybridMultilevel"/>
    <w:lvl w:ilvl="0">
      <w:lvlJc w:val="left"/>
      <w:lvlText w:val="(%1)"/>
      <w:numFmt w:val="lowerLetter"/>
      <w:start w:val="1"/>
    </w:lvl>
  </w:abstractNum>
  <w:abstractNum w:abstractNumId="210">
    <w:nsid w:val="665ACA49"/>
    <w:multiLevelType w:val="hybridMultilevel"/>
    <w:lvl w:ilvl="0">
      <w:lvlJc w:val="left"/>
      <w:lvlText w:val="(%1)"/>
      <w:numFmt w:val="lowerLetter"/>
      <w:start w:val="3"/>
    </w:lvl>
  </w:abstractNum>
  <w:abstractNum w:abstractNumId="211">
    <w:nsid w:val="6835B2AE"/>
    <w:multiLevelType w:val="hybridMultilevel"/>
    <w:lvl w:ilvl="0">
      <w:lvlJc w:val="left"/>
      <w:lvlText w:val="(%1)"/>
      <w:numFmt w:val="lowerLetter"/>
      <w:start w:val="1"/>
    </w:lvl>
    <w:lvl w:ilvl="1">
      <w:lvlJc w:val="left"/>
      <w:lvlText w:val="(%2)"/>
      <w:numFmt w:val="lowerRoman"/>
      <w:start w:val="1"/>
    </w:lvl>
  </w:abstractNum>
  <w:abstractNum w:abstractNumId="212">
    <w:nsid w:val="4C187C90"/>
    <w:multiLevelType w:val="hybridMultilevel"/>
    <w:lvl w:ilvl="0">
      <w:lvlJc w:val="left"/>
      <w:lvlText w:val="(%1)"/>
      <w:numFmt w:val="lowerLetter"/>
      <w:start w:val="3"/>
    </w:lvl>
  </w:abstractNum>
  <w:abstractNum w:abstractNumId="213">
    <w:nsid w:val="541F28CD"/>
    <w:multiLevelType w:val="hybridMultilevel"/>
    <w:lvl w:ilvl="0">
      <w:lvlJc w:val="left"/>
      <w:lvlText w:val="(%1)"/>
      <w:numFmt w:val="lowerRoman"/>
      <w:start w:val="1"/>
    </w:lvl>
  </w:abstractNum>
  <w:abstractNum w:abstractNumId="214">
    <w:nsid w:val="7F65FD16"/>
    <w:multiLevelType w:val="hybridMultilevel"/>
    <w:lvl w:ilvl="0">
      <w:lvlJc w:val="left"/>
      <w:lvlText w:val="(%1)"/>
      <w:numFmt w:val="lowerRoman"/>
      <w:start w:val="1"/>
    </w:lvl>
  </w:abstractNum>
  <w:abstractNum w:abstractNumId="215">
    <w:nsid w:val="77C9FD68"/>
    <w:multiLevelType w:val="hybridMultilevel"/>
    <w:lvl w:ilvl="0">
      <w:lvlJc w:val="left"/>
      <w:lvlText w:val="(%1)"/>
      <w:numFmt w:val="lowerLetter"/>
      <w:start w:val="1"/>
    </w:lvl>
  </w:abstractNum>
  <w:abstractNum w:abstractNumId="216">
    <w:nsid w:val="298A92BA"/>
    <w:multiLevelType w:val="hybridMultilevel"/>
    <w:lvl w:ilvl="0">
      <w:lvlJc w:val="left"/>
      <w:lvlText w:val="(%1)"/>
      <w:numFmt w:val="lowerRoman"/>
      <w:start w:val="1"/>
    </w:lvl>
  </w:abstractNum>
  <w:abstractNum w:abstractNumId="217">
    <w:nsid w:val="6FE95EAC"/>
    <w:multiLevelType w:val="hybridMultilevel"/>
    <w:lvl w:ilvl="0">
      <w:lvlJc w:val="left"/>
      <w:lvlText w:val="(%1)"/>
      <w:numFmt w:val="lowerRoman"/>
      <w:start w:val="4"/>
    </w:lvl>
  </w:abstractNum>
  <w:abstractNum w:abstractNumId="218">
    <w:nsid w:val="4B697C7A"/>
    <w:multiLevelType w:val="hybridMultilevel"/>
    <w:lvl w:ilvl="0">
      <w:lvlJc w:val="left"/>
      <w:lvlText w:val="(%1)"/>
      <w:numFmt w:val="lowerRoman"/>
      <w:start w:val="1"/>
    </w:lvl>
  </w:abstractNum>
  <w:abstractNum w:abstractNumId="219">
    <w:nsid w:val="51A27AA6"/>
    <w:multiLevelType w:val="hybridMultilevel"/>
    <w:lvl w:ilvl="0">
      <w:lvlJc w:val="left"/>
      <w:lvlText w:val="(%1)"/>
      <w:numFmt w:val="lowerRoman"/>
      <w:start w:val="9"/>
    </w:lvl>
  </w:abstractNum>
  <w:abstractNum w:abstractNumId="220">
    <w:nsid w:val="613183F2"/>
    <w:multiLevelType w:val="hybridMultilevel"/>
    <w:lvl w:ilvl="0">
      <w:lvlJc w:val="left"/>
      <w:lvlText w:val="(%1)"/>
      <w:numFmt w:val="lowerRoman"/>
      <w:start w:val="1"/>
    </w:lvl>
  </w:abstractNum>
  <w:abstractNum w:abstractNumId="221">
    <w:nsid w:val="634102B4"/>
    <w:multiLevelType w:val="hybridMultilevel"/>
    <w:lvl w:ilvl="0">
      <w:lvlJc w:val="left"/>
      <w:lvlText w:val="(%1)"/>
      <w:numFmt w:val="lowerRoman"/>
      <w:start w:val="2"/>
    </w:lvl>
  </w:abstractNum>
  <w:abstractNum w:abstractNumId="222">
    <w:nsid w:val="65BF9DA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23">
    <w:nsid w:val="21A2ECCA"/>
    <w:multiLevelType w:val="hybridMultilevel"/>
    <w:lvl w:ilvl="0">
      <w:lvlJc w:val="left"/>
      <w:lvlText w:val="%1"/>
      <w:numFmt w:val="lowerRoman"/>
      <w:start w:val="1"/>
    </w:lvl>
    <w:lvl w:ilvl="1">
      <w:lvlJc w:val="left"/>
      <w:lvlText w:val="(%2)"/>
      <w:numFmt w:val="decimal"/>
      <w:start w:val="3"/>
    </w:lvl>
  </w:abstractNum>
  <w:abstractNum w:abstractNumId="224">
    <w:nsid w:val="4D5C4899"/>
    <w:multiLevelType w:val="hybridMultilevel"/>
    <w:lvl w:ilvl="0">
      <w:lvlJc w:val="left"/>
      <w:lvlText w:val="(%1)"/>
      <w:numFmt w:val="lowerRoman"/>
      <w:start w:val="3"/>
    </w:lvl>
    <w:lvl w:ilvl="1">
      <w:lvlJc w:val="left"/>
      <w:lvlText w:val="(%2)"/>
      <w:numFmt w:val="decimal"/>
      <w:start w:val="1"/>
    </w:lvl>
  </w:abstractNum>
  <w:abstractNum w:abstractNumId="225">
    <w:nsid w:val="3C3B72B2"/>
    <w:multiLevelType w:val="hybridMultilevel"/>
    <w:lvl w:ilvl="0">
      <w:lvlJc w:val="left"/>
      <w:lvlText w:val="%1"/>
      <w:numFmt w:val="lowerRoman"/>
      <w:start w:val="1"/>
    </w:lvl>
    <w:lvl w:ilvl="1">
      <w:lvlJc w:val="left"/>
      <w:lvlText w:val="(%2)"/>
      <w:numFmt w:val="decimal"/>
      <w:start w:val="3"/>
    </w:lvl>
  </w:abstractNum>
  <w:abstractNum w:abstractNumId="226">
    <w:nsid w:val="155EC4C2"/>
    <w:multiLevelType w:val="hybridMultilevel"/>
    <w:lvl w:ilvl="0">
      <w:lvlJc w:val="left"/>
      <w:lvlText w:val="(%1)"/>
      <w:numFmt w:val="lowerRoman"/>
      <w:start w:val="4"/>
    </w:lvl>
    <w:lvl w:ilvl="1">
      <w:lvlJc w:val="left"/>
      <w:lvlText w:val="%2"/>
      <w:numFmt w:val="decimal"/>
      <w:start w:val="1"/>
    </w:lvl>
  </w:abstractNum>
  <w:abstractNum w:abstractNumId="227">
    <w:nsid w:val="65D2A137"/>
    <w:multiLevelType w:val="hybridMultilevel"/>
    <w:lvl w:ilvl="0">
      <w:lvlJc w:val="left"/>
      <w:lvlText w:val="%1."/>
      <w:numFmt w:val="decimal"/>
      <w:start w:val="1"/>
    </w:lvl>
    <w:lvl w:ilvl="1">
      <w:lvlJc w:val="left"/>
      <w:lvlText w:val="(%2)"/>
      <w:numFmt w:val="lowerLetter"/>
      <w:start w:val="1"/>
    </w:lvl>
  </w:abstractNum>
  <w:abstractNum w:abstractNumId="228">
    <w:nsid w:val="6EBB1F2A"/>
    <w:multiLevelType w:val="hybridMultilevel"/>
    <w:lvl w:ilvl="0">
      <w:lvlJc w:val="left"/>
      <w:lvlText w:val="(%1)"/>
      <w:numFmt w:val="lowerLetter"/>
      <w:start w:val="35"/>
    </w:lvl>
    <w:lvl w:ilvl="1">
      <w:lvlJc w:val="left"/>
      <w:lvlText w:val="(%2)"/>
      <w:numFmt w:val="lowerLetter"/>
      <w:start w:val="3"/>
    </w:lvl>
  </w:abstractNum>
  <w:abstractNum w:abstractNumId="229">
    <w:nsid w:val="6FBF29C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0">
    <w:nsid w:val="550B8808"/>
    <w:multiLevelType w:val="hybridMultilevel"/>
    <w:lvl w:ilvl="0">
      <w:lvlJc w:val="left"/>
      <w:lvlText w:val="%1"/>
      <w:numFmt w:val="upperLetter"/>
      <w:start w:val="1"/>
    </w:lvl>
    <w:lvl w:ilvl="1">
      <w:lvlJc w:val="left"/>
      <w:lvlText w:val="(%2)"/>
      <w:numFmt w:val="lowerRoman"/>
      <w:start w:val="5"/>
    </w:lvl>
  </w:abstractNum>
  <w:abstractNum w:abstractNumId="231">
    <w:nsid w:val="34CC3ACF"/>
    <w:multiLevelType w:val="hybridMultilevel"/>
    <w:lvl w:ilvl="0">
      <w:lvlJc w:val="left"/>
      <w:lvlText w:val="(%1)"/>
      <w:numFmt w:val="upperLetter"/>
      <w:start w:val="5"/>
    </w:lvl>
    <w:lvl w:ilvl="1">
      <w:lvlJc w:val="left"/>
      <w:lvlText w:val="(%2)"/>
      <w:numFmt w:val="lowerRoman"/>
      <w:start w:val="7"/>
    </w:lvl>
  </w:abstractNum>
  <w:abstractNum w:abstractNumId="232">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33">
    <w:nsid w:val="4C672FC9"/>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34">
    <w:nsid w:val="52A311C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35">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36">
    <w:nsid w:val="12FCDE5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7">
    <w:nsid w:val="4A1D606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38">
    <w:nsid w:val="4382503"/>
    <w:multiLevelType w:val="hybridMultilevel"/>
    <w:lvl w:ilvl="0">
      <w:lvlJc w:val="left"/>
      <w:lvlText w:val="(%1)"/>
      <w:numFmt w:val="lowerLetter"/>
      <w:start w:val="1"/>
    </w:lvl>
    <w:lvl w:ilvl="1">
      <w:lvlJc w:val="left"/>
      <w:lvlText w:val="(%2)"/>
      <w:numFmt w:val="lowerRoman"/>
      <w:start w:val="1"/>
    </w:lvl>
  </w:abstractNum>
  <w:abstractNum w:abstractNumId="239">
    <w:nsid w:val="59B76E28"/>
    <w:multiLevelType w:val="hybridMultilevel"/>
    <w:lvl w:ilvl="0">
      <w:lvlJc w:val="left"/>
      <w:lvlText w:val="%1"/>
      <w:numFmt w:val="lowerLetter"/>
      <w:start w:val="1"/>
    </w:lvl>
    <w:lvl w:ilvl="1">
      <w:lvlJc w:val="left"/>
      <w:lvlText w:val="(%2)"/>
      <w:numFmt w:val="lowerRoman"/>
      <w:start w:val="4"/>
    </w:lvl>
  </w:abstractNum>
  <w:abstractNum w:abstractNumId="240">
    <w:nsid w:val="4252C2DA"/>
    <w:multiLevelType w:val="hybridMultilevel"/>
    <w:lvl w:ilvl="0">
      <w:lvlJc w:val="left"/>
      <w:lvlText w:val="(%1)"/>
      <w:numFmt w:val="lowerLetter"/>
      <w:start w:val="4"/>
    </w:lvl>
    <w:lvl w:ilvl="1">
      <w:lvlJc w:val="left"/>
      <w:lvlText w:val="(%2)"/>
      <w:numFmt w:val="lowerRoman"/>
      <w:start w:val="1"/>
    </w:lvl>
  </w:abstractNum>
  <w:abstractNum w:abstractNumId="241">
    <w:nsid w:val="6A92EF4C"/>
    <w:multiLevelType w:val="hybridMultilevel"/>
    <w:lvl w:ilvl="0">
      <w:lvlJc w:val="left"/>
      <w:lvlText w:val="%1"/>
      <w:numFmt w:val="lowerLetter"/>
      <w:start w:val="1"/>
    </w:lvl>
    <w:lvl w:ilvl="1">
      <w:lvlJc w:val="left"/>
      <w:lvlText w:val="(%2)"/>
      <w:numFmt w:val="lowerRoman"/>
      <w:start w:val="2"/>
    </w:lvl>
  </w:abstractNum>
  <w:abstractNum w:abstractNumId="242">
    <w:nsid w:val="41ED20D7"/>
    <w:multiLevelType w:val="hybridMultilevel"/>
    <w:lvl w:ilvl="0">
      <w:lvlJc w:val="left"/>
      <w:lvlText w:val="(%1)"/>
      <w:numFmt w:val="lowerLetter"/>
      <w:start w:val="6"/>
    </w:lvl>
    <w:lvl w:ilvl="1">
      <w:lvlJc w:val="left"/>
      <w:lvlText w:val="%2"/>
      <w:numFmt w:val="lowerRoman"/>
      <w:start w:val="1"/>
    </w:lvl>
  </w:abstractNum>
  <w:abstractNum w:abstractNumId="243">
    <w:nsid w:val="E6B3F6A"/>
    <w:multiLevelType w:val="hybridMultilevel"/>
    <w:lvl w:ilvl="0">
      <w:lvlJc w:val="left"/>
      <w:lvlText w:val="(%1)"/>
      <w:numFmt w:val="lowerLetter"/>
      <w:start w:val="9"/>
    </w:lvl>
    <w:lvl w:ilvl="1">
      <w:lvlJc w:val="left"/>
      <w:lvlText w:val="(%2)"/>
      <w:numFmt w:val="lowerLetter"/>
      <w:start w:val="9"/>
    </w:lvl>
  </w:abstractNum>
  <w:abstractNum w:abstractNumId="244">
    <w:nsid w:val="3EB21819"/>
    <w:multiLevelType w:val="hybridMultilevel"/>
    <w:lvl w:ilvl="0">
      <w:lvlJc w:val="left"/>
      <w:lvlText w:val="%1"/>
      <w:numFmt w:val="decimal"/>
      <w:start w:val="1"/>
    </w:lvl>
    <w:lvl w:ilvl="1">
      <w:lvlJc w:val="left"/>
      <w:lvlText w:val="(%2)"/>
      <w:numFmt w:val="lowerLetter"/>
      <w:start w:val="13"/>
    </w:lvl>
  </w:abstractNum>
  <w:abstractNum w:abstractNumId="245">
    <w:nsid w:val="41531DED"/>
    <w:multiLevelType w:val="hybridMultilevel"/>
    <w:lvl w:ilvl="0">
      <w:lvlJc w:val="left"/>
      <w:lvlText w:val="%1."/>
      <w:numFmt w:val="decimal"/>
      <w:start w:val="6"/>
    </w:lvl>
    <w:lvl w:ilvl="1">
      <w:lvlJc w:val="left"/>
      <w:lvlText w:val="(%2)"/>
      <w:numFmt w:val="lowerLetter"/>
      <w:start w:val="1"/>
    </w:lvl>
  </w:abstractNum>
  <w:abstractNum w:abstractNumId="246">
    <w:nsid w:val="6353CD2"/>
    <w:multiLevelType w:val="hybridMultilevel"/>
    <w:lvl w:ilvl="0">
      <w:lvlJc w:val="left"/>
      <w:lvlText w:val="(%1)"/>
      <w:numFmt w:val="lowerRoman"/>
      <w:start w:val="1"/>
    </w:lvl>
  </w:abstractNum>
  <w:abstractNum w:abstractNumId="247">
    <w:nsid w:val="683CAAD3"/>
    <w:multiLevelType w:val="hybridMultilevel"/>
    <w:lvl w:ilvl="0">
      <w:lvlJc w:val="left"/>
      <w:lvlText w:val="%1"/>
      <w:numFmt w:val="lowerLetter"/>
      <w:start w:val="1"/>
    </w:lvl>
    <w:lvl w:ilvl="1">
      <w:lvlJc w:val="left"/>
      <w:lvlText w:val="(%2)"/>
      <w:numFmt w:val="lowerRoman"/>
      <w:start w:val="2"/>
    </w:lvl>
  </w:abstractNum>
  <w:abstractNum w:abstractNumId="248">
    <w:nsid w:val="313C7C99"/>
    <w:multiLevelType w:val="hybridMultilevel"/>
    <w:lvl w:ilvl="0">
      <w:lvlJc w:val="left"/>
      <w:lvlText w:val="(%1)"/>
      <w:numFmt w:val="lowerLetter"/>
      <w:start w:val="2"/>
    </w:lvl>
    <w:lvl w:ilvl="1">
      <w:lvlJc w:val="left"/>
      <w:lvlText w:val="(%2)"/>
      <w:numFmt w:val="lowerRoman"/>
      <w:start w:val="1"/>
    </w:lvl>
  </w:abstractNum>
  <w:abstractNum w:abstractNumId="249">
    <w:nsid w:val="519EB9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50">
    <w:nsid w:val="39DF25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1">
    <w:nsid w:val="126E008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2">
    <w:nsid w:val="34DFBC00"/>
    <w:multiLevelType w:val="hybridMultilevel"/>
    <w:lvl w:ilvl="0">
      <w:lvlJc w:val="left"/>
      <w:lvlText w:val="%1"/>
      <w:numFmt w:val="decimal"/>
      <w:start w:val="1"/>
    </w:lvl>
    <w:lvl w:ilvl="1">
      <w:lvlJc w:val="left"/>
      <w:lvlText w:val="(%2)"/>
      <w:numFmt w:val="lowerLetter"/>
      <w:start w:val="3"/>
    </w:lvl>
  </w:abstractNum>
  <w:abstractNum w:abstractNumId="253">
    <w:nsid w:val="1F9EC322"/>
    <w:multiLevelType w:val="hybridMultilevel"/>
    <w:lvl w:ilvl="0">
      <w:lvlJc w:val="left"/>
      <w:lvlText w:val="%1."/>
      <w:numFmt w:val="decimal"/>
      <w:start w:val="8"/>
    </w:lvl>
    <w:lvl w:ilvl="1">
      <w:lvlJc w:val="left"/>
      <w:lvlText w:val="(%2)"/>
      <w:numFmt w:val="lowerLetter"/>
      <w:start w:val="1"/>
    </w:lvl>
  </w:abstractNum>
  <w:abstractNum w:abstractNumId="254">
    <w:nsid w:val="3410ED56"/>
    <w:multiLevelType w:val="hybridMultilevel"/>
    <w:lvl w:ilvl="0">
      <w:lvlJc w:val="left"/>
      <w:lvlText w:val="(%1)"/>
      <w:numFmt w:val="lowerLetter"/>
      <w:start w:val="6"/>
    </w:lvl>
  </w:abstractNum>
  <w:abstractNum w:abstractNumId="255">
    <w:nsid w:val="23C049A"/>
    <w:multiLevelType w:val="hybridMultilevel"/>
    <w:lvl w:ilvl="0">
      <w:lvlJc w:val="left"/>
      <w:lvlText w:val="%1"/>
      <w:numFmt w:val="decimal"/>
      <w:start w:val="1"/>
    </w:lvl>
    <w:lvl w:ilvl="1">
      <w:lvlJc w:val="left"/>
      <w:lvlText w:val="(%2)"/>
      <w:numFmt w:val="lowerLetter"/>
      <w:start w:val="11"/>
    </w:lvl>
  </w:abstractNum>
  <w:abstractNum w:abstractNumId="256">
    <w:nsid w:val="5BDA35D4"/>
    <w:multiLevelType w:val="hybridMultilevel"/>
    <w:lvl w:ilvl="0">
      <w:lvlJc w:val="left"/>
      <w:lvlText w:val="%1."/>
      <w:numFmt w:val="decimal"/>
      <w:start w:val="9"/>
    </w:lvl>
    <w:lvl w:ilvl="1">
      <w:lvlJc w:val="left"/>
      <w:lvlText w:val="(%2)"/>
      <w:numFmt w:val="lowerLetter"/>
      <w:start w:val="1"/>
    </w:lvl>
  </w:abstractNum>
  <w:abstractNum w:abstractNumId="257">
    <w:nsid w:val="496FB218"/>
    <w:multiLevelType w:val="hybridMultilevel"/>
    <w:lvl w:ilvl="0">
      <w:lvlJc w:val="left"/>
      <w:lvlText w:val="(%1)"/>
      <w:numFmt w:val="lowerLetter"/>
      <w:start w:val="3"/>
    </w:lvl>
    <w:lvl w:ilvl="1">
      <w:lvlJc w:val="left"/>
      <w:lvlText w:val="(%2)"/>
      <w:numFmt w:val="lowerRoman"/>
      <w:start w:val="1"/>
    </w:lvl>
  </w:abstractNum>
  <w:abstractNum w:abstractNumId="258">
    <w:nsid w:val="680EA5D1"/>
    <w:multiLevelType w:val="hybridMultilevel"/>
    <w:lvl w:ilvl="0">
      <w:lvlJc w:val="left"/>
      <w:lvlText w:val="%1"/>
      <w:numFmt w:val="decimal"/>
      <w:start w:val="1"/>
    </w:lvl>
    <w:lvl w:ilvl="1">
      <w:lvlJc w:val="left"/>
      <w:lvlText w:val="(%2)"/>
      <w:numFmt w:val="lowerLetter"/>
      <w:start w:val="4"/>
    </w:lvl>
  </w:abstractNum>
  <w:abstractNum w:abstractNumId="259">
    <w:nsid w:val="4A9554FE"/>
    <w:multiLevelType w:val="hybridMultilevel"/>
    <w:lvl w:ilvl="0">
      <w:lvlJc w:val="left"/>
      <w:lvlText w:val="%1."/>
      <w:numFmt w:val="decimal"/>
      <w:start w:val="10"/>
    </w:lvl>
    <w:lvl w:ilvl="1">
      <w:lvlJc w:val="left"/>
      <w:lvlText w:val="(%2)"/>
      <w:numFmt w:val="lowerLetter"/>
      <w:start w:val="1"/>
    </w:lvl>
  </w:abstractNum>
  <w:abstractNum w:abstractNumId="260">
    <w:nsid w:val="392EDBE4"/>
    <w:multiLevelType w:val="hybridMultilevel"/>
    <w:lvl w:ilvl="0">
      <w:lvlJc w:val="left"/>
      <w:lvlText w:val="%1."/>
      <w:numFmt w:val="decimal"/>
      <w:start w:val="13"/>
    </w:lvl>
    <w:lvl w:ilvl="1">
      <w:lvlJc w:val="left"/>
      <w:lvlText w:val="(%2)"/>
      <w:numFmt w:val="lowerLetter"/>
      <w:start w:val="1"/>
    </w:lvl>
  </w:abstractNum>
  <w:abstractNum w:abstractNumId="261">
    <w:nsid w:val="3D1A2DD9"/>
    <w:multiLevelType w:val="hybridMultilevel"/>
    <w:lvl w:ilvl="0">
      <w:lvlJc w:val="left"/>
      <w:lvlText w:val="(%1)"/>
      <w:numFmt w:val="lowerLetter"/>
      <w:start w:val="4"/>
    </w:lvl>
    <w:lvl w:ilvl="1">
      <w:lvlJc w:val="left"/>
      <w:lvlText w:val="(%2)"/>
      <w:numFmt w:val="lowerRoman"/>
      <w:start w:val="1"/>
    </w:lvl>
  </w:abstractNum>
  <w:abstractNum w:abstractNumId="262">
    <w:nsid w:val="7F618FCD"/>
    <w:multiLevelType w:val="hybridMultilevel"/>
    <w:lvl w:ilvl="0">
      <w:lvlJc w:val="left"/>
      <w:lvlText w:val="(%1)"/>
      <w:numFmt w:val="lowerRoman"/>
      <w:start w:val="3"/>
    </w:lvl>
  </w:abstractNum>
  <w:abstractNum w:abstractNumId="263">
    <w:nsid w:val="7843E45"/>
    <w:multiLevelType w:val="hybridMultilevel"/>
    <w:lvl w:ilvl="0">
      <w:lvlJc w:val="left"/>
      <w:lvlText w:val="(%1)"/>
      <w:numFmt w:val="lowerLetter"/>
      <w:start w:val="6"/>
    </w:lvl>
  </w:abstractNum>
  <w:abstractNum w:abstractNumId="264">
    <w:nsid w:val="9815DA3"/>
    <w:multiLevelType w:val="hybridMultilevel"/>
    <w:lvl w:ilvl="0">
      <w:lvlJc w:val="left"/>
      <w:lvlText w:val="(%1)"/>
      <w:numFmt w:val="lowerLetter"/>
      <w:start w:val="12"/>
    </w:lvl>
    <w:lvl w:ilvl="1">
      <w:lvlJc w:val="left"/>
      <w:lvlText w:val="(%2)"/>
      <w:numFmt w:val="lowerRoman"/>
      <w:start w:val="1"/>
    </w:lvl>
  </w:abstractNum>
  <w:abstractNum w:abstractNumId="265">
    <w:nsid w:val="5204A191"/>
    <w:multiLevelType w:val="hybridMultilevel"/>
    <w:lvl w:ilvl="0">
      <w:lvlJc w:val="left"/>
      <w:lvlText w:val="(%1)"/>
      <w:numFmt w:val="lowerLetter"/>
      <w:start w:val="20"/>
    </w:lvl>
  </w:abstractNum>
  <w:abstractNum w:abstractNumId="266">
    <w:nsid w:val="4C73A9C6"/>
    <w:multiLevelType w:val="hybridMultilevel"/>
    <w:lvl w:ilvl="0">
      <w:lvlJc w:val="left"/>
      <w:lvlText w:val="(%1)"/>
      <w:numFmt w:val="lowerLetter"/>
      <w:start w:val="27"/>
    </w:lvl>
  </w:abstractNum>
  <w:abstractNum w:abstractNumId="267">
    <w:nsid w:val="1C7E3C01"/>
    <w:multiLevelType w:val="hybridMultilevel"/>
    <w:lvl w:ilvl="0">
      <w:lvlJc w:val="left"/>
      <w:lvlText w:val="(%1)"/>
      <w:numFmt w:val="lowerLetter"/>
      <w:start w:val="32"/>
    </w:lvl>
  </w:abstractNum>
  <w:abstractNum w:abstractNumId="268">
    <w:nsid w:val="1C2201FF"/>
    <w:multiLevelType w:val="hybridMultilevel"/>
    <w:lvl w:ilvl="0">
      <w:lvlJc w:val="left"/>
      <w:lvlText w:val="1"/>
      <w:numFmt w:val="bullet"/>
      <w:start w:val="1"/>
    </w:lvl>
  </w:abstractNum>
  <w:abstractNum w:abstractNumId="269">
    <w:nsid w:val="50ABCEC9"/>
    <w:multiLevelType w:val="hybridMultilevel"/>
    <w:lvl w:ilvl="0">
      <w:lvlJc w:val="left"/>
      <w:lvlText w:val="2"/>
      <w:numFmt w:val="bullet"/>
      <w:start w:val="1"/>
    </w:lvl>
  </w:abstractNum>
  <w:abstractNum w:abstractNumId="270">
    <w:nsid w:val="7635AA2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71">
    <w:nsid w:val="5E74C4D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72">
    <w:nsid w:val="3B3EBE15"/>
    <w:multiLevelType w:val="hybridMultilevel"/>
    <w:lvl w:ilvl="0">
      <w:lvlJc w:val="left"/>
      <w:lvlText w:val="%1"/>
      <w:numFmt w:val="decimal"/>
      <w:start w:val="1"/>
    </w:lvl>
    <w:lvl w:ilvl="1">
      <w:lvlJc w:val="left"/>
      <w:lvlText w:val="%2."/>
      <w:numFmt w:val="lowerLetter"/>
      <w:start w:val="3"/>
    </w:lvl>
  </w:abstractNum>
  <w:abstractNum w:abstractNumId="273">
    <w:nsid w:val="3822CB01"/>
    <w:multiLevelType w:val="hybridMultilevel"/>
    <w:lvl w:ilvl="0">
      <w:lvlJc w:val="left"/>
      <w:lvlText w:val="%1."/>
      <w:numFmt w:val="decimal"/>
      <w:start w:val="5"/>
    </w:lvl>
    <w:lvl w:ilvl="1">
      <w:lvlJc w:val="left"/>
      <w:lvlText w:val="%2."/>
      <w:numFmt w:val="lowerLetter"/>
      <w:start w:val="1"/>
    </w:lvl>
  </w:abstractNum>
  <w:abstractNum w:abstractNumId="274">
    <w:nsid w:val="6CE00443"/>
    <w:multiLevelType w:val="hybridMultilevel"/>
    <w:lvl w:ilvl="0">
      <w:lvlJc w:val="left"/>
      <w:lvlText w:val="%1"/>
      <w:numFmt w:val="decimal"/>
      <w:start w:val="1"/>
    </w:lvl>
    <w:lvl w:ilvl="1">
      <w:lvlJc w:val="left"/>
      <w:lvlText w:val="%2."/>
      <w:numFmt w:val="lowerLetter"/>
      <w:start w:val="6"/>
    </w:lvl>
  </w:abstractNum>
  <w:abstractNum w:abstractNumId="275">
    <w:nsid w:val="79F0D62F"/>
    <w:multiLevelType w:val="hybridMultilevel"/>
    <w:lvl w:ilvl="0">
      <w:lvlJc w:val="left"/>
      <w:lvlText w:val="%1."/>
      <w:numFmt w:val="decimal"/>
      <w:start w:val="6"/>
    </w:lvl>
    <w:lvl w:ilvl="1">
      <w:lvlJc w:val="left"/>
      <w:lvlText w:val="%2."/>
      <w:numFmt w:val="lowerLetter"/>
      <w:start w:val="1"/>
    </w:lvl>
  </w:abstractNum>
  <w:abstractNum w:abstractNumId="276">
    <w:nsid w:val="7975E8EE"/>
    <w:multiLevelType w:val="hybridMultilevel"/>
    <w:lvl w:ilvl="0">
      <w:lvlJc w:val="left"/>
      <w:lvlText w:val="(%1)"/>
      <w:numFmt w:val="upperLetter"/>
      <w:start w:val="1"/>
    </w:lvl>
    <w:lvl w:ilvl="1">
      <w:lvlJc w:val="left"/>
      <w:lvlText w:val="%2."/>
      <w:numFmt w:val="lowerLetter"/>
      <w:start w:val="3"/>
    </w:lvl>
  </w:abstractNum>
  <w:abstractNum w:abstractNumId="277">
    <w:nsid w:val="73154115"/>
    <w:multiLevelType w:val="hybridMultilevel"/>
    <w:lvl w:ilvl="0">
      <w:lvlJc w:val="left"/>
      <w:lvlText w:val="%1."/>
      <w:numFmt w:val="decimal"/>
      <w:start w:val="9"/>
    </w:lvl>
    <w:lvl w:ilvl="1">
      <w:lvlJc w:val="left"/>
      <w:lvlText w:val="%2."/>
      <w:numFmt w:val="lowerLetter"/>
      <w:start w:val="1"/>
    </w:lvl>
  </w:abstractNum>
  <w:abstractNum w:abstractNumId="278">
    <w:nsid w:val="622D8102"/>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79">
    <w:nsid w:val="2AB26587"/>
    <w:multiLevelType w:val="hybridMultilevel"/>
    <w:lvl w:ilvl="0">
      <w:lvlJc w:val="left"/>
      <w:lvlText w:val="%1"/>
      <w:numFmt w:val="lowerLetter"/>
      <w:start w:val="1"/>
    </w:lvl>
    <w:lvl w:ilvl="1">
      <w:lvlJc w:val="left"/>
      <w:lvlText w:val="%2)"/>
      <w:numFmt w:val="decimal"/>
      <w:start w:val="2"/>
    </w:lvl>
  </w:abstractNum>
  <w:abstractNum w:abstractNumId="280">
    <w:nsid w:val="44B3FA61"/>
    <w:multiLevelType w:val="hybridMultilevel"/>
    <w:lvl w:ilvl="0">
      <w:lvlJc w:val="left"/>
      <w:lvlText w:val="%1."/>
      <w:numFmt w:val="lowerLetter"/>
      <w:start w:val="2"/>
    </w:lvl>
    <w:lvl w:ilvl="1">
      <w:lvlJc w:val="left"/>
      <w:lvlText w:val="%2"/>
      <w:numFmt w:val="decimal"/>
      <w:start w:val="1"/>
    </w:lvl>
  </w:abstractNum>
  <w:abstractNum w:abstractNumId="281">
    <w:nsid w:val="1C0CA67C"/>
    <w:multiLevelType w:val="hybridMultilevel"/>
    <w:lvl w:ilvl="0">
      <w:lvlJc w:val="left"/>
      <w:lvlText w:val="%1"/>
      <w:numFmt w:val="decimal"/>
      <w:start w:val="1"/>
    </w:lvl>
    <w:lvl w:ilvl="1">
      <w:lvlJc w:val="left"/>
      <w:lvlText w:val="%2."/>
      <w:numFmt w:val="lowerLetter"/>
      <w:start w:val="4"/>
    </w:lvl>
  </w:abstractNum>
  <w:abstractNum w:abstractNumId="282">
    <w:nsid w:val="3D206613"/>
    <w:multiLevelType w:val="hybridMultilevel"/>
    <w:lvl w:ilvl="0">
      <w:lvlJc w:val="left"/>
      <w:lvlText w:val="%1."/>
      <w:numFmt w:val="decimal"/>
      <w:start w:val="12"/>
    </w:lvl>
    <w:lvl w:ilvl="1">
      <w:lvlJc w:val="left"/>
      <w:lvlText w:val="%2."/>
      <w:numFmt w:val="lowerLetter"/>
      <w:start w:val="1"/>
    </w:lvl>
  </w:abstractNum>
  <w:abstractNum w:abstractNumId="283">
    <w:nsid w:val="7993B662"/>
    <w:multiLevelType w:val="hybridMultilevel"/>
    <w:lvl w:ilvl="0">
      <w:lvlJc w:val="left"/>
      <w:lvlText w:val="%1"/>
      <w:numFmt w:val="decimal"/>
      <w:start w:val="1"/>
    </w:lvl>
    <w:lvl w:ilvl="1">
      <w:lvlJc w:val="left"/>
      <w:lvlText w:val="%2."/>
      <w:numFmt w:val="lowerLetter"/>
      <w:start w:val="3"/>
    </w:lvl>
  </w:abstractNum>
  <w:abstractNum w:abstractNumId="284">
    <w:nsid w:val="3BAB699E"/>
    <w:multiLevelType w:val="hybridMultilevel"/>
    <w:lvl w:ilvl="0">
      <w:lvlJc w:val="left"/>
      <w:lvlText w:val="%1."/>
      <w:numFmt w:val="decimal"/>
      <w:start w:val="14"/>
    </w:lvl>
    <w:lvl w:ilvl="1">
      <w:lvlJc w:val="left"/>
      <w:lvlText w:val="%2"/>
      <w:numFmt w:val="lowerLetter"/>
      <w:start w:val="1"/>
    </w:lvl>
  </w:abstractNum>
  <w:abstractNum w:abstractNumId="285">
    <w:nsid w:val="71315369"/>
    <w:multiLevelType w:val="hybridMultilevel"/>
    <w:lvl w:ilvl="0">
      <w:lvlJc w:val="left"/>
      <w:lvlText w:val="3"/>
      <w:numFmt w:val="bullet"/>
      <w:start w:val="1"/>
    </w:lvl>
  </w:abstractNum>
  <w:abstractNum w:abstractNumId="286">
    <w:nsid w:val="7BCFBAFC"/>
    <w:multiLevelType w:val="hybridMultilevel"/>
    <w:lvl w:ilvl="0">
      <w:lvlJc w:val="left"/>
      <w:lvlText w:val="4"/>
      <w:numFmt w:val="bullet"/>
      <w:start w:val="1"/>
    </w:lvl>
  </w:abstractNum>
  <w:abstractNum w:abstractNumId="287">
    <w:nsid w:val="17859F72"/>
    <w:multiLevelType w:val="hybridMultilevel"/>
    <w:lvl w:ilvl="0">
      <w:lvlJc w:val="left"/>
      <w:lvlText w:val="5"/>
      <w:numFmt w:val="bullet"/>
      <w:start w:val="1"/>
    </w:lvl>
  </w:abstractNum>
  <w:abstractNum w:abstractNumId="288">
    <w:nsid w:val="3AA10581"/>
    <w:multiLevelType w:val="hybridMultilevel"/>
    <w:lvl w:ilvl="0">
      <w:lvlJc w:val="left"/>
      <w:lvlText w:val="6"/>
      <w:numFmt w:val="bullet"/>
      <w:start w:val="1"/>
    </w:lvl>
  </w:abstractNum>
  <w:abstractNum w:abstractNumId="289">
    <w:nsid w:val="63DE60CD"/>
    <w:multiLevelType w:val="hybridMultilevel"/>
    <w:lvl w:ilvl="0">
      <w:lvlJc w:val="left"/>
      <w:lvlText w:val="7"/>
      <w:numFmt w:val="bullet"/>
      <w:start w:val="1"/>
    </w:lvl>
  </w:abstractNum>
  <w:abstractNum w:abstractNumId="290">
    <w:nsid w:val="621AF471"/>
    <w:multiLevelType w:val="hybridMultilevel"/>
    <w:lvl w:ilvl="0">
      <w:lvlJc w:val="left"/>
      <w:lvlText w:val="%1."/>
      <w:numFmt w:val="upperLetter"/>
      <w:start w:val="2"/>
    </w:lvl>
  </w:abstractNum>
  <w:abstractNum w:abstractNumId="291">
    <w:nsid w:val="73CFE165"/>
    <w:multiLevelType w:val="hybridMultilevel"/>
    <w:lvl w:ilvl="0">
      <w:lvlJc w:val="left"/>
      <w:lvlText w:val="%1."/>
      <w:numFmt w:val="decimal"/>
      <w:start w:val="17"/>
    </w:lvl>
    <w:lvl w:ilvl="1">
      <w:lvlJc w:val="left"/>
      <w:lvlText w:val="%2."/>
      <w:numFmt w:val="lowerLetter"/>
      <w:start w:val="1"/>
    </w:lvl>
  </w:abstractNum>
  <w:abstractNum w:abstractNumId="292">
    <w:nsid w:val="20F88EA6"/>
    <w:multiLevelType w:val="hybridMultilevel"/>
    <w:lvl w:ilvl="0">
      <w:lvlJc w:val="left"/>
      <w:lvlText w:val="%1"/>
      <w:numFmt w:val="decimal"/>
      <w:start w:val="1"/>
    </w:lvl>
    <w:lvl w:ilvl="1">
      <w:lvlJc w:val="left"/>
      <w:lvlText w:val="%2."/>
      <w:numFmt w:val="lowerLetter"/>
      <w:start w:val="2"/>
    </w:lvl>
  </w:abstractNum>
  <w:abstractNum w:abstractNumId="293">
    <w:nsid w:val="617C843E"/>
    <w:multiLevelType w:val="hybridMultilevel"/>
    <w:lvl w:ilvl="0">
      <w:lvlJc w:val="left"/>
      <w:lvlText w:val="%1."/>
      <w:numFmt w:val="decimal"/>
      <w:start w:val="20"/>
    </w:lvl>
    <w:lvl w:ilvl="1">
      <w:lvlJc w:val="left"/>
      <w:lvlText w:val="%2"/>
      <w:numFmt w:val="lowerLetter"/>
      <w:start w:val="1"/>
    </w:lvl>
  </w:abstractNum>
  <w:abstractNum w:abstractNumId="294">
    <w:nsid w:val="7B541FAB"/>
    <w:multiLevelType w:val="hybridMultilevel"/>
    <w:lvl w:ilvl="0">
      <w:lvlJc w:val="left"/>
      <w:lvlText w:val="%1."/>
      <w:numFmt w:val="decimal"/>
      <w:start w:val="24"/>
    </w:lvl>
    <w:lvl w:ilvl="1">
      <w:lvlJc w:val="left"/>
      <w:lvlText w:val="%2."/>
      <w:numFmt w:val="lowerLetter"/>
      <w:start w:val="1"/>
    </w:lvl>
  </w:abstractNum>
  <w:abstractNum w:abstractNumId="295">
    <w:nsid w:val="2A79EC49"/>
    <w:multiLevelType w:val="hybridMultilevel"/>
    <w:lvl w:ilvl="0">
      <w:lvlJc w:val="left"/>
      <w:lvlText w:val="%1"/>
      <w:numFmt w:val="decimal"/>
      <w:start w:val="1"/>
    </w:lvl>
    <w:lvl w:ilvl="1">
      <w:lvlJc w:val="left"/>
      <w:lvlText w:val="%2."/>
      <w:numFmt w:val="lowerLetter"/>
      <w:start w:val="5"/>
    </w:lvl>
  </w:abstractNum>
  <w:abstractNum w:abstractNumId="296">
    <w:nsid w:val="338125CF"/>
    <w:multiLevelType w:val="hybridMultilevel"/>
    <w:lvl w:ilvl="0">
      <w:lvlJc w:val="left"/>
      <w:lvlText w:val="%1."/>
      <w:numFmt w:val="decimal"/>
      <w:start w:val="27"/>
    </w:lvl>
    <w:lvl w:ilvl="1">
      <w:lvlJc w:val="left"/>
      <w:lvlText w:val="%2."/>
      <w:numFmt w:val="lowerLetter"/>
      <w:start w:val="1"/>
    </w:lvl>
  </w:abstractNum>
  <w:abstractNum w:abstractNumId="297">
    <w:nsid w:val="47C7C971"/>
    <w:multiLevelType w:val="hybridMultilevel"/>
    <w:lvl w:ilvl="0">
      <w:lvlJc w:val="left"/>
      <w:lvlText w:val="%1"/>
      <w:numFmt w:val="decimal"/>
      <w:start w:val="1"/>
    </w:lvl>
    <w:lvl w:ilvl="1">
      <w:lvlJc w:val="left"/>
      <w:lvlText w:val="%2."/>
      <w:numFmt w:val="lowerLetter"/>
      <w:start w:val="7"/>
    </w:lvl>
  </w:abstractNum>
  <w:abstractNum w:abstractNumId="298">
    <w:nsid w:val="46F8284B"/>
    <w:multiLevelType w:val="hybridMultilevel"/>
    <w:lvl w:ilvl="0">
      <w:lvlJc w:val="left"/>
      <w:lvlText w:val="%1."/>
      <w:numFmt w:val="decimal"/>
      <w:start w:val="28"/>
    </w:lvl>
    <w:lvl w:ilvl="1">
      <w:lvlJc w:val="left"/>
      <w:lvlText w:val="%2."/>
      <w:numFmt w:val="lowerLetter"/>
      <w:start w:val="1"/>
    </w:lvl>
  </w:abstractNum>
  <w:abstractNum w:abstractNumId="299">
    <w:nsid w:val="4FA327CE"/>
    <w:multiLevelType w:val="hybridMultilevel"/>
    <w:lvl w:ilvl="0">
      <w:lvlJc w:val="left"/>
      <w:lvlText w:val="%1."/>
      <w:numFmt w:val="lowerLetter"/>
      <w:start w:val="2"/>
    </w:lvl>
  </w:abstractNum>
  <w:abstractNum w:abstractNumId="300">
    <w:nsid w:val="1873983A"/>
    <w:multiLevelType w:val="hybridMultilevel"/>
    <w:lvl w:ilvl="0">
      <w:lvlJc w:val="left"/>
      <w:lvlText w:val="%1."/>
      <w:numFmt w:val="decimal"/>
      <w:start w:val="1"/>
    </w:lvl>
  </w:abstractNum>
  <w:abstractNum w:abstractNumId="301">
    <w:nsid w:val="3D2DD275"/>
    <w:multiLevelType w:val="hybridMultilevel"/>
    <w:lvl w:ilvl="0">
      <w:lvlJc w:val="left"/>
      <w:lvlText w:val="%1."/>
      <w:numFmt w:val="decimal"/>
      <w:start w:val="4"/>
    </w:lvl>
  </w:abstractNum>
  <w:abstractNum w:abstractNumId="302">
    <w:nsid w:val="2E17ECA7"/>
    <w:multiLevelType w:val="hybridMultilevel"/>
    <w:lvl w:ilvl="0">
      <w:lvlJc w:val="left"/>
      <w:lvlText w:val="(%1)"/>
      <w:numFmt w:val="lowerLetter"/>
      <w:start w:val="1"/>
    </w:lvl>
  </w:abstractNum>
  <w:abstractNum w:abstractNumId="303">
    <w:nsid w:val="53B2564F"/>
    <w:multiLevelType w:val="hybridMultilevel"/>
    <w:lvl w:ilvl="0">
      <w:lvlJc w:val="left"/>
      <w:lvlText w:val="(%1)"/>
      <w:numFmt w:val="lowerLetter"/>
      <w:start w:val="3"/>
    </w:lvl>
  </w:abstractNum>
  <w:abstractNum w:abstractNumId="304">
    <w:nsid w:val="75509D76"/>
    <w:multiLevelType w:val="hybridMultilevel"/>
    <w:lvl w:ilvl="0">
      <w:lvlJc w:val="left"/>
      <w:lvlText w:val="%1."/>
      <w:numFmt w:val="decimal"/>
      <w:start w:val="5"/>
    </w:lvl>
  </w:abstractNum>
  <w:abstractNum w:abstractNumId="305">
    <w:nsid w:val="1AF7F0EA"/>
    <w:multiLevelType w:val="hybridMultilevel"/>
    <w:lvl w:ilvl="0">
      <w:lvlJc w:val="left"/>
      <w:lvlText w:val="%1."/>
      <w:numFmt w:val="decimal"/>
      <w:start w:val="6"/>
    </w:lvl>
  </w:abstractNum>
  <w:abstractNum w:abstractNumId="306">
    <w:nsid w:val="4DA32C7E"/>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2020-09-02T16:08:22Z</dcterms:created>
  <dcterms:modified xsi:type="dcterms:W3CDTF">2020-09-02T16:08:22Z</dcterms:modified>
</cp:coreProperties>
</file>