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360" w:right="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-225425</wp:posOffset>
            </wp:positionV>
            <wp:extent cx="122555" cy="1225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8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2555" cy="1225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5253990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3976370</wp:posOffset>
            </wp:positionH>
            <wp:positionV relativeFrom="paragraph">
              <wp:posOffset>-626110</wp:posOffset>
            </wp:positionV>
            <wp:extent cx="58420" cy="6394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743585</wp:posOffset>
            </wp:positionV>
            <wp:extent cx="7046595" cy="495490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49549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3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1440" w:gutter="0" w:footer="0" w:header="0"/>
        </w:sectPr>
      </w:pP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Donenberg Phillip B.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 w:right="560"/>
        <w:spacing w:after="0" w:line="379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C/O TAYSHA GENE THERAPIES, INC. 3000 PEGASUS PARK DRIVE, SUITE 1430</w:t>
      </w:r>
    </w:p>
    <w:p>
      <w:pPr>
        <w:spacing w:after="0" w:line="15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1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75247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142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Taysha Gene Therapies, Inc.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TSHA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4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06/01/2026</w:t>
            </w: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8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60" w:type="dxa"/>
            <w:vAlign w:val="bottom"/>
            <w:gridSpan w:val="4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06/01/2026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1"/>
              </w:rPr>
              <w:t>21,335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1"/>
                <w:vertAlign w:val="superscript"/>
              </w:rPr>
              <w:t>(1)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241,289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60" w:type="dxa"/>
            <w:vAlign w:val="bottom"/>
            <w:gridSpan w:val="11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5.97</w:t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06/01/2026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42,671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06/01/2036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jc w:val="right"/>
              <w:ind w:right="16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42,671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42,671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 w:right="320" w:firstLine="2"/>
        <w:spacing w:after="0" w:line="255" w:lineRule="auto"/>
        <w:tabs>
          <w:tab w:leader="none" w:pos="169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a restricted stock unit ("RSU") award. The RSUs will vest on the earlier of June 1, 2027 or the next annual stockholders meeting, subject to the Reporting Person's continued service as a director through the applicable vesting date.</w:t>
      </w:r>
    </w:p>
    <w:p>
      <w:pPr>
        <w:spacing w:after="0" w:line="1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shares vest on the earlier of June 1, 2027 or the next annual stockholders meeting, subject to the Reporting Person's continued service as a director through the applicable vesting date.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Kamran Alam, Attorney-in-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5"/>
          <w:szCs w:val="25"/>
          <w:color w:val="0000FF"/>
          <w:vertAlign w:val="subscript"/>
        </w:rPr>
        <w:t>06/02/2026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-27305</wp:posOffset>
            </wp:positionV>
            <wp:extent cx="131826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82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-20320</wp:posOffset>
            </wp:positionV>
            <wp:extent cx="18351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5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5586730</wp:posOffset>
            </wp:positionH>
            <wp:positionV relativeFrom="paragraph">
              <wp:posOffset>-85725</wp:posOffset>
            </wp:positionV>
            <wp:extent cx="48514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1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600" w:firstLine="2"/>
        <w:spacing w:after="0" w:line="336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3" Type="http://schemas.openxmlformats.org/officeDocument/2006/relationships/hyperlink" Target="http://www.sec.gov/cgi-bin/browse-edgar?action=getcompany&amp;CIK=0001238120" TargetMode="External"/><Relationship Id="rId14" Type="http://schemas.openxmlformats.org/officeDocument/2006/relationships/hyperlink" Target="http://www.sec.gov/cgi-bin/browse-edgar?action=getcompany&amp;CIK=000180631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2026-06-02T15:33:31Z</dcterms:created>
  <dcterms:modified xsi:type="dcterms:W3CDTF">2026-06-02T15:33:31Z</dcterms:modified>
</cp:coreProperties>
</file>