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Taysha Gene Therapies,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208280</wp:posOffset>
            </wp:positionV>
            <wp:extent cx="2228850" cy="540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3000 Pegasus Park Drive</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Suite 1430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Dallas, Texas 75247</w:t>
      </w:r>
    </w:p>
    <w:p>
      <w:pPr>
        <w:spacing w:after="0" w:line="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 June 22, 2023</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w:t>
      </w:r>
      <w:r>
        <w:rPr>
          <w:rFonts w:ascii="Times New Roman" w:cs="Times New Roman" w:eastAsia="Times New Roman" w:hAnsi="Times New Roman"/>
          <w:sz w:val="18"/>
          <w:szCs w:val="18"/>
          <w:b w:val="1"/>
          <w:bCs w:val="1"/>
          <w:color w:val="auto"/>
        </w:rPr>
        <w:t>TAYSHA GENE THERAPIES, INC.</w:t>
      </w:r>
      <w:r>
        <w:rPr>
          <w:rFonts w:ascii="Times New Roman" w:cs="Times New Roman" w:eastAsia="Times New Roman" w:hAnsi="Times New Roman"/>
          <w:sz w:val="18"/>
          <w:szCs w:val="18"/>
          <w:color w:val="auto"/>
        </w:rPr>
        <w:t>, a Delaware corporation (the “Company”). The meeting will be held on June 22, 2023 at 11:00 a.m., Eastern Time and will be a virtual stockholder meeting through which you can listen to the meeting, submit questions and vote online, for the following purposes:</w:t>
      </w:r>
    </w:p>
    <w:p>
      <w:pPr>
        <w:spacing w:after="0" w:line="53" w:lineRule="exact"/>
        <w:rPr>
          <w:sz w:val="20"/>
          <w:szCs w:val="20"/>
          <w:color w:val="auto"/>
        </w:rPr>
      </w:pPr>
    </w:p>
    <w:p>
      <w:pPr>
        <w:ind w:left="1080" w:right="1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nominees, Sean P. Nolan and Laura Sepp-Lorenzino, Ph.D., to the Board of Directors to hold office until the 2026 Annual Meeting of Stockholders.</w:t>
      </w:r>
    </w:p>
    <w:p>
      <w:pPr>
        <w:spacing w:after="0" w:line="4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the Company for the year ending December 31, 2023.</w:t>
      </w:r>
    </w:p>
    <w:p>
      <w:pPr>
        <w:spacing w:after="0" w:line="40" w:lineRule="exact"/>
        <w:rPr>
          <w:rFonts w:ascii="Times New Roman" w:cs="Times New Roman" w:eastAsia="Times New Roman" w:hAnsi="Times New Roman"/>
          <w:sz w:val="18"/>
          <w:szCs w:val="18"/>
          <w:color w:val="auto"/>
        </w:rPr>
      </w:pPr>
    </w:p>
    <w:p>
      <w:pPr>
        <w:ind w:left="1080" w:right="20" w:hanging="532"/>
        <w:spacing w:after="0" w:line="281"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series of alternate amendments to the Company’s Certificate of Incorporation to effect, at the option of the Board of Directors, a reverse stock split of the Company’s common stock at a reverse stock split ratio ranging from one-for-five (1:5) to one-for-twenty (1:20), inclusive, with the effectiveness of one of such amendments and the abandonment of the other amendments, or the abandonment of all amendments, to be determined by the Board of Directors prior to the date of the 2024 Annual Meeting of Stockholders</w:t>
      </w:r>
    </w:p>
    <w:p>
      <w:pPr>
        <w:spacing w:after="0" w:line="42"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the Company’s Certificate of Incorporation to effect, if and only if Proposal 3 is both approved and implemented, a reduction in the total number of authorized shares of the Company’s common stock as illustrated in the table under the caption “Effects of Authorized Shares Reduction” in the section of the accompanying proxy statement entitled “Authorized Share Reduction Proposal.”</w:t>
      </w:r>
    </w:p>
    <w:p>
      <w:pPr>
        <w:spacing w:after="0" w:line="5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8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 xml:space="preserve">The meeting can be accessed by visiting </w:t>
      </w:r>
      <w:r>
        <w:rPr>
          <w:rFonts w:ascii="Times New Roman" w:cs="Times New Roman" w:eastAsia="Times New Roman" w:hAnsi="Times New Roman"/>
          <w:sz w:val="18"/>
          <w:szCs w:val="18"/>
          <w:i w:val="1"/>
          <w:iCs w:val="1"/>
          <w:color w:val="auto"/>
        </w:rPr>
        <w:t>www.virtualshareholdermeeting.com/TSHA2023</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meeting in person.</w:t>
      </w:r>
    </w:p>
    <w:p>
      <w:pPr>
        <w:spacing w:after="0" w:line="12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24, 2023.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114300</wp:posOffset>
            </wp:positionV>
            <wp:extent cx="696087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668655"/>
                    </a:xfrm>
                    <a:prstGeom prst="rect">
                      <a:avLst/>
                    </a:prstGeom>
                    <a:noFill/>
                  </pic:spPr>
                </pic:pic>
              </a:graphicData>
            </a:graphic>
          </wp:anchor>
        </w:drawing>
      </w:r>
    </w:p>
    <w:p>
      <w:pPr>
        <w:spacing w:after="0" w:line="1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Virtual Stockholders’ Meeting to Be</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Held on June 22, 2023 at 11:00 a.m., Eastern Time.</w:t>
      </w:r>
    </w:p>
    <w:p>
      <w:pPr>
        <w:spacing w:after="0" w:line="1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The proxy statement and annual report to stockholders</w:t>
      </w:r>
    </w:p>
    <w:p>
      <w:pPr>
        <w:spacing w:after="0" w:line="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 xml:space="preserve">are available at </w:t>
      </w:r>
      <w:r>
        <w:rPr>
          <w:rFonts w:ascii="Times New Roman" w:cs="Times New Roman" w:eastAsia="Times New Roman" w:hAnsi="Times New Roman"/>
          <w:sz w:val="16"/>
          <w:szCs w:val="16"/>
          <w:i w:val="1"/>
          <w:iCs w:val="1"/>
          <w:color w:val="auto"/>
        </w:rPr>
        <w:t>http://www.ir.tayshagtx.com</w:t>
      </w:r>
      <w:r>
        <w:rPr>
          <w:rFonts w:ascii="Times New Roman" w:cs="Times New Roman" w:eastAsia="Times New Roman" w:hAnsi="Times New Roman"/>
          <w:sz w:val="16"/>
          <w:szCs w:val="16"/>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Kamran Alam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Kamran Alam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8, 2023</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4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339" w:lineRule="exact"/>
        <w:rPr>
          <w:sz w:val="20"/>
          <w:szCs w:val="20"/>
          <w:color w:val="auto"/>
        </w:rPr>
      </w:pPr>
    </w:p>
    <w:p>
      <w:pPr>
        <w:ind w:left="240"/>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Annual Meeting. You will not be able to attend the Annual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1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972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300" w:type="dxa"/>
            <w:vAlign w:val="bottom"/>
          </w:tcPr>
          <w:p>
            <w:pPr>
              <w:jc w:val="center"/>
              <w:ind w:left="891"/>
              <w:spacing w:after="0" w:line="194"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33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0"/>
          </w:tcPr>
          <w:p>
            <w:pPr>
              <w:spacing w:after="0"/>
              <w:rPr>
                <w:sz w:val="17"/>
                <w:szCs w:val="17"/>
                <w:color w:val="auto"/>
              </w:rPr>
            </w:pPr>
          </w:p>
        </w:tc>
        <w:tc>
          <w:tcPr>
            <w:tcW w:w="3240" w:type="dxa"/>
            <w:vAlign w:val="bottom"/>
            <w:gridSpan w:val="5"/>
          </w:tcPr>
          <w:p>
            <w:pPr>
              <w:spacing w:after="0"/>
              <w:rPr>
                <w:sz w:val="17"/>
                <w:szCs w:val="17"/>
                <w:color w:val="auto"/>
              </w:rPr>
            </w:pPr>
          </w:p>
        </w:tc>
        <w:tc>
          <w:tcPr>
            <w:tcW w:w="1300" w:type="dxa"/>
            <w:vAlign w:val="bottom"/>
          </w:tcPr>
          <w:p>
            <w:pPr>
              <w:jc w:val="center"/>
              <w:ind w:left="891"/>
              <w:spacing w:after="0" w:line="196" w:lineRule="exact"/>
              <w:rPr>
                <w:sz w:val="20"/>
                <w:szCs w:val="20"/>
                <w:color w:val="auto"/>
              </w:rPr>
            </w:pPr>
            <w:r>
              <w:rPr>
                <w:rFonts w:ascii="Times New Roman" w:cs="Times New Roman" w:eastAsia="Times New Roman" w:hAnsi="Times New Roman"/>
                <w:sz w:val="18"/>
                <w:szCs w:val="18"/>
                <w:color w:val="auto"/>
                <w:w w:val="88"/>
              </w:rPr>
              <w:t>8</w:t>
            </w:r>
          </w:p>
        </w:tc>
      </w:tr>
      <w:tr>
        <w:trPr>
          <w:trHeight w:val="196"/>
        </w:trPr>
        <w:tc>
          <w:tcPr>
            <w:tcW w:w="97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36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2180" w:type="dxa"/>
            <w:vAlign w:val="bottom"/>
            <w:gridSpan w:val="2"/>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520" w:type="dxa"/>
            <w:vAlign w:val="bottom"/>
            <w:gridSpan w:val="17"/>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6760" w:type="dxa"/>
            <w:vAlign w:val="bottom"/>
            <w:gridSpan w:val="21"/>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36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6840" w:type="dxa"/>
            <w:vAlign w:val="bottom"/>
            <w:gridSpan w:val="22"/>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360" w:type="dxa"/>
            <w:vAlign w:val="bottom"/>
          </w:tcPr>
          <w:p>
            <w:pPr>
              <w:spacing w:after="0"/>
              <w:rPr>
                <w:sz w:val="17"/>
                <w:szCs w:val="17"/>
                <w:color w:val="auto"/>
              </w:rPr>
            </w:pPr>
          </w:p>
        </w:tc>
        <w:tc>
          <w:tcPr>
            <w:tcW w:w="44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Regarding Committees of the Board of Directors</w:t>
            </w:r>
          </w:p>
        </w:tc>
        <w:tc>
          <w:tcPr>
            <w:tcW w:w="4940" w:type="dxa"/>
            <w:vAlign w:val="bottom"/>
            <w:gridSpan w:val="8"/>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7740" w:type="dxa"/>
            <w:vAlign w:val="bottom"/>
            <w:gridSpan w:val="29"/>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w:t>
            </w:r>
          </w:p>
        </w:tc>
        <w:tc>
          <w:tcPr>
            <w:tcW w:w="7120" w:type="dxa"/>
            <w:vAlign w:val="bottom"/>
            <w:gridSpan w:val="24"/>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16</w:t>
            </w: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3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Stockholder Communications with the Board of Directors</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196"/>
        </w:trPr>
        <w:tc>
          <w:tcPr>
            <w:tcW w:w="360" w:type="dxa"/>
            <w:vAlign w:val="bottom"/>
          </w:tcPr>
          <w:p>
            <w:pPr>
              <w:spacing w:after="0"/>
              <w:rPr>
                <w:sz w:val="17"/>
                <w:szCs w:val="17"/>
                <w:color w:val="auto"/>
              </w:rPr>
            </w:pPr>
          </w:p>
        </w:tc>
        <w:tc>
          <w:tcPr>
            <w:tcW w:w="41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200" w:type="dxa"/>
            <w:vAlign w:val="bottom"/>
            <w:gridSpan w:val="9"/>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3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Hedging Policy</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SELECTION OF INDEPENDENT REGISTERED PUBLIC ACCOUNTING FIRM</w:t>
            </w:r>
          </w:p>
        </w:tc>
        <w:tc>
          <w:tcPr>
            <w:tcW w:w="980" w:type="dxa"/>
            <w:vAlign w:val="bottom"/>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196"/>
        </w:trPr>
        <w:tc>
          <w:tcPr>
            <w:tcW w:w="36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6500" w:type="dxa"/>
            <w:vAlign w:val="bottom"/>
            <w:gridSpan w:val="16"/>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6620" w:type="dxa"/>
            <w:vAlign w:val="bottom"/>
            <w:gridSpan w:val="18"/>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30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PROPOSALS 3 AND 4 BACKGROUND</w:t>
            </w:r>
          </w:p>
        </w:tc>
        <w:tc>
          <w:tcPr>
            <w:tcW w:w="6680" w:type="dxa"/>
            <w:vAlign w:val="bottom"/>
            <w:gridSpan w:val="19"/>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3 REVERSE STOCK SPLIT PROPOSAL</w:t>
            </w:r>
          </w:p>
        </w:tc>
        <w:tc>
          <w:tcPr>
            <w:tcW w:w="5700" w:type="dxa"/>
            <w:vAlign w:val="bottom"/>
            <w:gridSpan w:val="13"/>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25</w:t>
            </w:r>
          </w:p>
        </w:tc>
      </w:tr>
      <w:tr>
        <w:trPr>
          <w:trHeight w:val="196"/>
        </w:trPr>
        <w:tc>
          <w:tcPr>
            <w:tcW w:w="49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AUTHORIZED SHARE REDUCTION PROPOSAL</w:t>
            </w:r>
          </w:p>
        </w:tc>
        <w:tc>
          <w:tcPr>
            <w:tcW w:w="4780" w:type="dxa"/>
            <w:vAlign w:val="bottom"/>
            <w:gridSpan w:val="7"/>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7820" w:type="dxa"/>
            <w:vAlign w:val="bottom"/>
            <w:gridSpan w:val="30"/>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196"/>
        </w:trPr>
        <w:tc>
          <w:tcPr>
            <w:tcW w:w="97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360" w:type="dxa"/>
            <w:vAlign w:val="bottom"/>
            <w:tcBorders>
              <w:top w:val="single" w:sz="8" w:color="0000EE"/>
            </w:tcBorders>
          </w:tcPr>
          <w:p>
            <w:pPr>
              <w:spacing w:after="0"/>
              <w:rPr>
                <w:sz w:val="17"/>
                <w:szCs w:val="17"/>
                <w:color w:val="auto"/>
              </w:rPr>
            </w:pPr>
          </w:p>
        </w:tc>
        <w:tc>
          <w:tcPr>
            <w:tcW w:w="636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000" w:type="dxa"/>
            <w:vAlign w:val="bottom"/>
            <w:gridSpan w:val="4"/>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280" w:type="dxa"/>
            <w:vAlign w:val="bottom"/>
            <w:gridSpan w:val="26"/>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196"/>
        </w:trPr>
        <w:tc>
          <w:tcPr>
            <w:tcW w:w="360" w:type="dxa"/>
            <w:vAlign w:val="bottom"/>
          </w:tcPr>
          <w:p>
            <w:pPr>
              <w:spacing w:after="0"/>
              <w:rPr>
                <w:sz w:val="17"/>
                <w:szCs w:val="17"/>
                <w:color w:val="auto"/>
              </w:rPr>
            </w:pPr>
          </w:p>
        </w:tc>
        <w:tc>
          <w:tcPr>
            <w:tcW w:w="93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as of December 31, 2022</w:t>
            </w:r>
          </w:p>
        </w:tc>
        <w:tc>
          <w:tcPr>
            <w:tcW w:w="5520" w:type="dxa"/>
            <w:vAlign w:val="bottom"/>
            <w:gridSpan w:val="11"/>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97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7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48</w:t>
            </w:r>
          </w:p>
        </w:tc>
      </w:tr>
      <w:tr>
        <w:trPr>
          <w:trHeight w:val="196"/>
        </w:trPr>
        <w:tc>
          <w:tcPr>
            <w:tcW w:w="564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1320" w:type="dxa"/>
            <w:vAlign w:val="bottom"/>
            <w:tcBorders>
              <w:top w:val="single" w:sz="8" w:color="0000EE"/>
            </w:tcBorders>
            <w:gridSpan w:val="3"/>
          </w:tcPr>
          <w:p>
            <w:pPr>
              <w:spacing w:after="0"/>
              <w:rPr>
                <w:sz w:val="17"/>
                <w:szCs w:val="17"/>
                <w:color w:val="auto"/>
              </w:rPr>
            </w:pPr>
          </w:p>
        </w:tc>
        <w:tc>
          <w:tcPr>
            <w:tcW w:w="2760" w:type="dxa"/>
            <w:vAlign w:val="bottom"/>
            <w:gridSpan w:val="3"/>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196"/>
        </w:trPr>
        <w:tc>
          <w:tcPr>
            <w:tcW w:w="36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5660" w:type="dxa"/>
            <w:vAlign w:val="bottom"/>
            <w:gridSpan w:val="12"/>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Related Person Transactions</w:t>
            </w:r>
          </w:p>
        </w:tc>
        <w:tc>
          <w:tcPr>
            <w:tcW w:w="6740" w:type="dxa"/>
            <w:vAlign w:val="bottom"/>
            <w:gridSpan w:val="20"/>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196"/>
        </w:trPr>
        <w:tc>
          <w:tcPr>
            <w:tcW w:w="360" w:type="dxa"/>
            <w:vAlign w:val="bottom"/>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Agreements</w:t>
            </w:r>
          </w:p>
        </w:tc>
        <w:tc>
          <w:tcPr>
            <w:tcW w:w="7300" w:type="dxa"/>
            <w:vAlign w:val="bottom"/>
            <w:gridSpan w:val="27"/>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196"/>
        </w:trPr>
        <w:tc>
          <w:tcPr>
            <w:tcW w:w="34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6320" w:type="dxa"/>
            <w:vAlign w:val="bottom"/>
            <w:gridSpan w:val="14"/>
          </w:tcPr>
          <w:p>
            <w:pPr>
              <w:spacing w:after="0"/>
              <w:rPr>
                <w:sz w:val="17"/>
                <w:szCs w:val="17"/>
                <w:color w:val="auto"/>
              </w:rPr>
            </w:pP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196"/>
        </w:trPr>
        <w:tc>
          <w:tcPr>
            <w:tcW w:w="97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300" w:type="dxa"/>
            <w:vAlign w:val="bottom"/>
          </w:tcPr>
          <w:p>
            <w:pPr>
              <w:jc w:val="center"/>
              <w:ind w:left="911"/>
              <w:spacing w:after="0" w:line="19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3000 Pegasus Park Drive</w:t>
      </w:r>
    </w:p>
    <w:p>
      <w:pPr>
        <w:spacing w:after="0" w:line="1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Suite 1430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Dallas, Texas 75247</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2023 ANNUAL MEETING OF STOCKHOLDERS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June 22, 2023</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Taysha Gene Therapies, Inc. (sometimes referred to as the “Company” or “Taysha”) is soliciting your proxy to vote at the 2023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follow the instructions below to submit your proxy over the telephone or through the internet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intend to mail these proxy materials on or about May 8, 2023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held on Thursday, June 22, 2023 at 11:00 a.m., Eastern Time, through which you can listen to the meeting, submit questions and vote online. The Annual Meeting can be accessed by visiting </w:t>
      </w:r>
      <w:r>
        <w:rPr>
          <w:rFonts w:ascii="Times New Roman" w:cs="Times New Roman" w:eastAsia="Times New Roman" w:hAnsi="Times New Roman"/>
          <w:sz w:val="18"/>
          <w:szCs w:val="18"/>
          <w:i w:val="1"/>
          <w:iCs w:val="1"/>
          <w:color w:val="auto"/>
        </w:rPr>
        <w:t>www.virtualshareholdermeeting.com/TSHA2023</w:t>
      </w:r>
      <w:r>
        <w:rPr>
          <w:rFonts w:ascii="Times New Roman" w:cs="Times New Roman" w:eastAsia="Times New Roman" w:hAnsi="Times New Roman"/>
          <w:sz w:val="18"/>
          <w:szCs w:val="18"/>
          <w:color w:val="auto"/>
        </w:rPr>
        <w:t xml:space="preserve"> and entering the control number included in the proxy card in the enclosed proxy materials. We recommend that you log on a few minutes before the Annual Meeting to ensure that you are logged in when the meeting begins. To access the meeting, follow the instructions you will receive in subsequent emails you receive after registration. Information on how to vote online during the Annual Meeting is discussed below.</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Stockholders attending the virtual meeting will be afforded the same rights and opportunities to participate as they would at an in-person meeting. You will not be able to attend the Annual Meeting in person.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begin approximately 15 minutes before the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24, 2023 will be entitled to vote at the Annual Meeting. On this record date, there were 64,178,567 shares of common stock outstanding and entitled to vote. Whether or not you participate in the Annual Meeting, it is important that you vote your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on April 24, 2023 your shares were registered directly in your name with the Company’s transfer agent, American Stock Transfer &amp; Trust Company, LLC, then you are a stockholder of record. As a stockholder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record, you may vote online during the meeting or vote by proxy. Whether or not you plan to attend the meeting, we urge you to fill out and return the enclosed proxy card or vote by proxy over the telephone or through the internet as instructed below to ensure your vote is counted.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If on April 24, 2023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bank or other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are four matters scheduled for a vote:</w:t>
      </w:r>
    </w:p>
    <w:p>
      <w:pPr>
        <w:spacing w:after="0" w:line="13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directors (Proposal 1);</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Committee of the Board of Directors of Deloitte &amp; Touche LLP as the independent registered public accounting firm of the Company for the year ending December 31, 2023 (Proposal 2);</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a reverse stock split of the Company’s common stock at a reverse stock split ratio ranging from one-for-five (1:5) to one-for-twenty (1:20), inclusive (the “Reverse Stock Split”), with the effectiveness of one of such amendments and the abandonment of the other amendments, or the abandonment of all amendments, to be determined by the Board of Directors prior to the date of the 2023 Annual Meeting of Stockholders (Proposal 3); and</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the Company’s Certificate of Incorporation to effect, if and only if Proposal 3 is both approved and implemented, a reduction in the total number of authorized shares of our common stock (the “Authorized Shares Reduction”) with the specific number of authorized shares determined by a formula that is based on the ratio utilized for the Reverse Stock Split (Proposal 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you may vote “For” or “Against” or abstain from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Annual Meeting, vote by proxy using the enclosed proxy card, vote by proxy over the telephone or vote by proxy through the internet. Whether or not you</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plan to attend the meeting, we urge you to vote by proxy to ensure your vote is counted. You may still attend the meeting and vote online during the meeting even if you have already voted by proxy.</w:t>
      </w:r>
    </w:p>
    <w:p>
      <w:pPr>
        <w:spacing w:after="0" w:line="67" w:lineRule="exact"/>
        <w:rPr>
          <w:sz w:val="20"/>
          <w:szCs w:val="20"/>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meeting, access the Annual Meeting materials by following the instructions you will receive in your email and submit an electronic ballot during the meeting.</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June 21, 2023.</w:t>
      </w:r>
    </w:p>
    <w:p>
      <w:pPr>
        <w:spacing w:after="0" w:line="79"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enclosed proxy card. To ensure your vote is counted, your internet vote must be received before 11:59 p.m., Eastern Time on June 21, 2023.</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Annual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 xml:space="preserve">www.virtualshareholdermeeting.com/TSHA2023 </w:t>
      </w:r>
      <w:r>
        <w:rPr>
          <w:rFonts w:ascii="Times New Roman" w:cs="Times New Roman" w:eastAsia="Times New Roman" w:hAnsi="Times New Roman"/>
          <w:sz w:val="18"/>
          <w:szCs w:val="18"/>
          <w:color w:val="auto"/>
        </w:rPr>
        <w:t>using the control number as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222885</wp:posOffset>
            </wp:positionV>
            <wp:extent cx="6998970" cy="492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366" w:lineRule="exact"/>
        <w:rPr>
          <w:sz w:val="20"/>
          <w:szCs w:val="20"/>
          <w:color w:val="auto"/>
        </w:rPr>
      </w:pPr>
    </w:p>
    <w:p>
      <w:pPr>
        <w:ind w:left="240" w:right="50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held as of April 24, 2023.</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two nominees for director;</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Deloitte &amp; Touche LLP as the Company’s independent registered public accounting firm for the year ending December 31,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at the option of the Board of Directors, a Reverse Stock Split at a ratio between one-for-five and one-for-twenty, inclusive, as determined by the Board of Directors in its sole discretion; and</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 series of alternate amendments to the Company’s Certificate of Incorporation to effect, if and only if Proposal 4 is both approved and implemented, an Authorized Shares Reduction, with the specific number of authorized shares determined by a formula that is based on the ratio utilized for the Reverse Stock Split.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may use their discretion to vote your “uninstructed” shares with respect to matters considered to be “routine” under such rules, but not with respect to “non-routine” matters. Proposal 1 is considered to be “non-routine” under such rules, meaning that your broker may not vote your shares on this proposal in the absence of your voting instructions. However, Proposals 2, 3 and 4 are considered to be “routine” under such rules, meaning that if you do not return voting instructions to your broker by its deadline, your shares may be voted by your broker in its discretion on Proposals 2, 3 and 4.</w:t>
      </w:r>
    </w:p>
    <w:p>
      <w:pPr>
        <w:spacing w:after="0" w:line="277" w:lineRule="exact"/>
        <w:rPr>
          <w:sz w:val="20"/>
          <w:szCs w:val="20"/>
          <w:color w:val="auto"/>
        </w:rPr>
      </w:pPr>
    </w:p>
    <w:p>
      <w:pPr>
        <w:jc w:val="both"/>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you are a beneficial owner of shares held in street name, in order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7"/>
          <w:szCs w:val="17"/>
          <w:b w:val="1"/>
          <w:bCs w:val="1"/>
          <w:color w:val="auto"/>
        </w:rPr>
        <w: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3000 Pegasus Park Drive, Suite 1430, Dallas, Texas 75247.</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60" w:firstLine="536"/>
        <w:spacing w:after="0" w:line="532" w:lineRule="auto"/>
        <w:tabs>
          <w:tab w:leader="none" w:pos="10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 Your most current proxy card or telephone or internet proxy is the one that is counted.</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January 9, 2024 to 3000 Pegasus Park Drive, Suite 1430, Dallas, Texas 75247. If you wish to nominate an individual for election at, or bring business other than through a stockholder proposal before, the 2023 Annual Meeting of Stockholders, you must deliver your notice to our Corporate Secretary at the address above between February 23, 2024 and March 24, 2024. Your notice to the Corporate Secretary must set forth information specified in our Bylaws, including your name and address and the class and number of shares of our stock that you beneficially own.</w:t>
      </w:r>
    </w:p>
    <w:p>
      <w:pPr>
        <w:spacing w:after="0" w:line="183"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If you propose to bring business before an Annual Meeting of Stockholders other than a director nomination, your notice must also include, as to each matter proposed, the following: (1) a brief description of the business desired to be brought before such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7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Amended and Restated Bylaws, filed as Exhibit 3.2 to our Current Report on Form 8-K (File No. 001-39536), filed with the Securities and Exchange Commission on September 29, 2020.</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for must provide in their notice the additional information required by Rule 14a-19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Proposal 1, votes “For,” “Withhold” and broker non-votes; and, with respect to the other proposals, votes “For,” “Against” and abstentions. Broker non-votes on Proposal 1 will have no effect and will not be counted towards the vote total for this proposal. Abstentions on Proposals 2, 3 and 4 will be counted towards the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vote total for these proposals and will have the same effect as “Against” votes. Since brokers have authority to vote on your behalf with respect to Proposals 2, 3 and 4, we do not expect broker non-votes on Proposal these proposals.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 1 is considered to be “non-routine” under such rules and we therefore expect broker non-votes on this proposal. However, because Proposals 2, 3 and 4 are considered “routine” under such rules, we do not expect broker non-votes on these proposals.</w:t>
      </w:r>
    </w:p>
    <w:p>
      <w:pPr>
        <w:spacing w:after="0" w:line="284"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For the election of directors, the two nominees receiving the most “For” votes from the holders of shares present or represented by proxy and entitled to vote on the election of directors will be elected. Only votes “For” will affect the outcome.</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be approved, Proposal 2, ratification of the selection of Deloitte &amp; Touche LLP as the Company’s independent registered public accounting firm for the year ending December 31, 2023, must receive “For” votes from the holders of a majority of shares present or represented by proxy and entitled to vote on the matter. If you “Abstain” from voting, it will have the same effect as an “Against” vote. Broker non-votes will have the same effect as “Against” votes. Since brokers have authority to vote on your behalf with respect to Proposal 2, we do not expect broker non-votes on this proposal.</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be approved, Proposal 3, approval of a series of alternate amendments to the Company’s Certificate of Incorporation to effect, at the option of the Board of Directors, a Reverse Stock Split at a ratio between one-for-five and one-for-twenty, inclusive, as determined by the Board of Directors in its sole discretion, must receive “For” votes from the holders of a majority of shares outstanding and entitled to vote on the matter. If you “Abstain” from voting, it will have the same effect as an “Against” vote. Broker non-votes will have the same effect as “Against” votes. Since brokers have authority to vote on your behalf with respect to Proposal 3, we do not expect broker non-votes on this proposal.</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To be approved, Proposal 4, approval of a series of alternate amendments to the Company’s Certificate of Incorporation to effect, if and only if Proposal 3 is both approved and implemented, an Authorized Shares Reduction, with the specific number of authorized shares determined by a formula that is based on the ratio utilized for the Reverse Stock Split, must receive “For” votes from the holders of a majority of shares outstanding and entitled to vote on the matter. If you “Abstain” from voting, it will have the same effect as an “Against” vote. Broker non-votes will have the same effect as “Against” votes. Since brokers have authority to vote on your behalf with respect to Proposal 4, we do not expect broker non-votes on this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64,178,567 shares outstanding and entitled to vote. Thus, the holders of 32,089,284 shares must be present or represented by proxy at the meeting to have a quorum.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meeting or the holders of a majority of shares present at the meeting or represented by proxy may adjourn the meeting to another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 xml:space="preserve">Only stockholders of record as of April 24, 2023 may submit questions or comments at the Annual Meeting. If you would like to submit a question, you may do so by joining the virtual meeting at </w:t>
      </w:r>
      <w:r>
        <w:rPr>
          <w:rFonts w:ascii="Times New Roman" w:cs="Times New Roman" w:eastAsia="Times New Roman" w:hAnsi="Times New Roman"/>
          <w:sz w:val="17"/>
          <w:szCs w:val="17"/>
          <w:i w:val="1"/>
          <w:iCs w:val="1"/>
          <w:color w:val="auto"/>
        </w:rPr>
        <w:t>www.virtualshareholdermeeting.com/TSHA2023</w:t>
      </w:r>
      <w:r>
        <w:rPr>
          <w:rFonts w:ascii="Times New Roman" w:cs="Times New Roman" w:eastAsia="Times New Roman" w:hAnsi="Times New Roman"/>
          <w:sz w:val="17"/>
          <w:szCs w:val="17"/>
          <w:color w:val="auto"/>
        </w:rPr>
        <w:t xml:space="preserve"> and typing your question in the box in the meeting portal.</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remarks to one brief question or comment that is relevant to the Annual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displayed on the virtual meeting page. Technical support will be available beginning approximately one hour prior to the meeting on June 22,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For the ten days ending the day prior to the annual meeting, a list of our record stockholders as of the close of business on the record date will be available for examination by any stockholder of record for a legally valid purpose at our corporate headquarters during regular business hours. To access the list of record stockholders beginning June 12, 2023, and until the meeting, stockholders should email </w:t>
      </w:r>
      <w:r>
        <w:rPr>
          <w:rFonts w:ascii="Times New Roman" w:cs="Times New Roman" w:eastAsia="Times New Roman" w:hAnsi="Times New Roman"/>
          <w:sz w:val="18"/>
          <w:szCs w:val="18"/>
          <w:i w:val="1"/>
          <w:iCs w:val="1"/>
          <w:color w:val="auto"/>
        </w:rPr>
        <w:t>IR@tayshagtx.com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proxy statement, Form 10-K and annual report to stockholders are available at </w:t>
      </w:r>
      <w:r>
        <w:rPr>
          <w:rFonts w:ascii="Times New Roman" w:cs="Times New Roman" w:eastAsia="Times New Roman" w:hAnsi="Times New Roman"/>
          <w:sz w:val="18"/>
          <w:szCs w:val="18"/>
          <w:i w:val="1"/>
          <w:iCs w:val="1"/>
          <w:color w:val="auto"/>
        </w:rPr>
        <w:t>http://www.ir.tayshagtx.com</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LECTION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of Directors presently has six members. There are two directors in the class whose term of office expires in 2023. Both of the nominees listed below is currently a director of the Company who was previously elected by the stockholders. If elected at the Annual Meeting, both of these nominees would serve until the 2026 Annual Meeting of Stockholders and until his or her successor has been duly elected and qualified, or, if sooner, until the director’s death, resignation or removal. It is the Company’s policy to invite and encourage directors and nominees for director to attend each Annual Meeting of Stockholders. Last year, four of our seven directors then serving attended the 2022 Annual Meeting of Stockholders.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will instead be voted for the election of a substitute nominee proposed by Taysha. Each person nominated for election has agreed to serve if elected. The Company’s management has no reason to believe that any nominee will be unable to serve.</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LASS</w:t>
      </w:r>
      <w:r>
        <w:rPr>
          <w:rFonts w:ascii="Times New Roman" w:cs="Times New Roman" w:eastAsia="Times New Roman" w:hAnsi="Times New Roman"/>
          <w:sz w:val="18"/>
          <w:szCs w:val="18"/>
          <w:b w:val="1"/>
          <w:bCs w:val="1"/>
          <w:color w:val="auto"/>
        </w:rPr>
        <w:t xml:space="preserve"> III N</w:t>
      </w:r>
      <w:r>
        <w:rPr>
          <w:rFonts w:ascii="Times New Roman" w:cs="Times New Roman" w:eastAsia="Times New Roman" w:hAnsi="Times New Roman"/>
          <w:sz w:val="14"/>
          <w:szCs w:val="14"/>
          <w:b w:val="1"/>
          <w:bCs w:val="1"/>
          <w:color w:val="auto"/>
        </w:rPr>
        <w:t>OMINEES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LECTION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A T</w:t>
      </w:r>
      <w:r>
        <w:rPr>
          <w:rFonts w:ascii="Times New Roman" w:cs="Times New Roman" w:eastAsia="Times New Roman" w:hAnsi="Times New Roman"/>
          <w:sz w:val="14"/>
          <w:szCs w:val="14"/>
          <w:b w:val="1"/>
          <w:bCs w:val="1"/>
          <w:color w:val="auto"/>
        </w:rPr>
        <w:t>HREE</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XPIRING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2026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p>
    <w:p>
      <w:pPr>
        <w:spacing w:after="0" w:line="22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The following is a brief biography of each nominee for director and a discussion of the specific experience, qualifications, attributes or skills of each nominee that led the Nominating and Corporate Governance Committee of the Board of Directors to recommend that person as a nominee for director.</w:t>
      </w:r>
    </w:p>
    <w:p>
      <w:pPr>
        <w:spacing w:after="0" w:line="14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effective functioning of the Board. To provide a mix of experience and perspective on the Board, the Committee also takes into account gender, age and ethnic diversity. The brief biographies below include information, as of the date of this proxy statement, regarding the specific and particular experience, qualifications, attributes or skills of each director or nominee that led the Committee to believe that that nominee should continue to serve on the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Sean P. Nolan</w:t>
      </w:r>
      <w:r>
        <w:rPr>
          <w:rFonts w:ascii="Times New Roman" w:cs="Times New Roman" w:eastAsia="Times New Roman" w:hAnsi="Times New Roman"/>
          <w:sz w:val="18"/>
          <w:szCs w:val="18"/>
          <w:i w:val="1"/>
          <w:iCs w:val="1"/>
          <w:color w:val="auto"/>
        </w:rPr>
        <w:t>, age 55</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Sean P. Nolan has served as our Chief Executive Officer since December 2022 and as the Chairman of our Board of Directors since March 2020. He has served as the President of Nolan Capital, LLC, an investment fund, since October 2019. Mr. Nolan most recently served as President, Chief Executive Officer and a member of the board of directors of AveXis, Inc., a publicly traded gene therapy company, from 2015 to May 2018 until its acquisition by Novartis International AG. Mr. Nolan has served on the board of directors of Ventas, Inc., a publicly traded healthcare real estate investment trust company, since July 2019 and previously served on the board of directors of Neoleukin Therapeutics, Inc., a publicly traded biopharmaceutical company, from 2015 to June 2020.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Mr. Nolan has served on the board of directors of Social Capital Suvretta Holdings Corp. II, a special purpose acquisition company, since September 2021. Mr. Nolan earned a B.S. in biology from John Carroll University. Our Board of Directors believes that Mr. Nolan is qualified to serve as a director based on his role as our Chief Executive Officer and his more than 30 years of broad leadership and management experience in the biopharmaceutical industry.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Laura Sepp-Lorenzino, Ph.D.</w:t>
      </w:r>
      <w:r>
        <w:rPr>
          <w:rFonts w:ascii="Times New Roman" w:cs="Times New Roman" w:eastAsia="Times New Roman" w:hAnsi="Times New Roman"/>
          <w:sz w:val="18"/>
          <w:szCs w:val="18"/>
          <w:i w:val="1"/>
          <w:iCs w:val="1"/>
          <w:color w:val="auto"/>
        </w:rPr>
        <w:t>, age 62</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Laura Sepp-Lorenzino has served as a member of our Board of Directors since November 2020. She has served as Executive Vice President, Chief Scientific Officer of Intellia Therapeutics, Inc., a publicly traded biotechnology company, since May 2019. From 2017 to May 2019, Dr. Sepp-Lorenzino served as Vice President, Head of Nucleic Acid Therapies at Vertex Pharmaceuticals, Inc., a publicly traded biopharmaceutical company. She served as Vice President, Entrepreneur-in-Residence at Alnylam Pharmaceuticals, Inc., a publicly traded biopharmaceutical company, from 2014 to 2017.</w:t>
      </w:r>
    </w:p>
    <w:p>
      <w:pPr>
        <w:spacing w:after="0" w:line="3"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Dr. Sepp-Lorenzino earned a professional degree in biochemistry from the Universidad de Buenos Aires in Argentina and an M.S. and Ph.D. in biochemistry from New York University. Our Board of Directors believes that Dr. Sepp-Lorenzino is qualified to serve as a director based upon her extensive experience in research and development of nucleic acid therapies.</w:t>
      </w:r>
    </w:p>
    <w:p>
      <w:pPr>
        <w:spacing w:after="0" w:line="2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-125095</wp:posOffset>
            </wp:positionV>
            <wp:extent cx="329184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91840" cy="300355"/>
                    </a:xfrm>
                    <a:prstGeom prst="rect">
                      <a:avLst/>
                    </a:prstGeom>
                    <a:noFill/>
                  </pic:spPr>
                </pic:pic>
              </a:graphicData>
            </a:graphic>
          </wp:anchor>
        </w:drawing>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ONTINUING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NTIL THE</w:t>
      </w:r>
      <w:r>
        <w:rPr>
          <w:rFonts w:ascii="Times New Roman" w:cs="Times New Roman" w:eastAsia="Times New Roman" w:hAnsi="Times New Roman"/>
          <w:sz w:val="18"/>
          <w:szCs w:val="18"/>
          <w:b w:val="1"/>
          <w:bCs w:val="1"/>
          <w:color w:val="auto"/>
        </w:rPr>
        <w:t xml:space="preserve"> 2024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Paul B. Manning</w:t>
      </w:r>
      <w:r>
        <w:rPr>
          <w:rFonts w:ascii="Times New Roman" w:cs="Times New Roman" w:eastAsia="Times New Roman" w:hAnsi="Times New Roman"/>
          <w:sz w:val="18"/>
          <w:szCs w:val="18"/>
          <w:i w:val="1"/>
          <w:iCs w:val="1"/>
          <w:color w:val="auto"/>
        </w:rPr>
        <w:t>, age 67</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Paul B. Manning has served as a member of our Board of Directors since March 2020. Mr. Manning currently serves as the Chief Executive Officer of PBM Capital Group, LLC, a private equity investment firm in the business of investing in healthcare and life-science related companies, which he founded in 2010. Mr. Manning has served as interim Chief Executive Officer of SalioGen Therapeutics, Inc., a private biopharmaceutical company, since November 2022. Mr. Manning currently serves as Chairman of the board of directors of Verrica Pharmaceuticals Inc., a publicly traded biopharmaceutical company, and on the boards of directors of Liquidia Corporation, a publicly traded biopharmaceutical company, and Candel Therapeutics, Inc., a publicly traded biopharmaceutical company. Additionally, he previously served on the boards of directors of Dova Pharmaceuticals, Inc., a publicly traded biopharmaceutical company, from 2016 to November 2019 and AveXis, Inc., a publicly traded gene therapy company, from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Kathleen Reape, M.D.</w:t>
      </w:r>
      <w:r>
        <w:rPr>
          <w:rFonts w:ascii="Times New Roman" w:cs="Times New Roman" w:eastAsia="Times New Roman" w:hAnsi="Times New Roman"/>
          <w:sz w:val="18"/>
          <w:szCs w:val="18"/>
          <w:i w:val="1"/>
          <w:iCs w:val="1"/>
          <w:color w:val="auto"/>
        </w:rPr>
        <w:t>, age 57</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Kathleen Reape has served as a member of our Board of Directors since November 2020. Dr. Reape has served as the Chief Development Officer of Akouos, Inc., a gene therapy company, since May 2021. She served as Chief Medical Officer of Spark Therapeutics, Inc. from September 2018 to March 2020 and as the Head of Clinical Research and Development from 2016 to September 2018. Dr. Reape received both her undergraduate and M.D. degrees from the University of Pennsylvania and completed her internship and residency at the University of Florida and University of Medicine and Dentistry of New Jersey. Our Board of Directors believes that Dr. Reape is qualified to serve as a director based upon her extensive experience in gene therapy and clinical research and development as well as her involvement with the regulatory approval of products, including small molecules, biologics, biosimilars and therapeutic devices. Immediately prior to the conclusion of the Annual Meeting, Dr. Reape will resign as a Class III director of our Board of Directors, and our Board has approved her appointment as a Class I director effective immediately prior to the conclusion of the Annual Meeting. Dr. Reape has notified the Board of Directors of her intention to resign from the Board in November 2023 in accordance with the governance guidelines of her employer and not as a result of any disagreement with the Company.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ONTINUING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NTIL THE</w:t>
      </w:r>
      <w:r>
        <w:rPr>
          <w:rFonts w:ascii="Times New Roman" w:cs="Times New Roman" w:eastAsia="Times New Roman" w:hAnsi="Times New Roman"/>
          <w:sz w:val="18"/>
          <w:szCs w:val="18"/>
          <w:b w:val="1"/>
          <w:bCs w:val="1"/>
          <w:color w:val="auto"/>
        </w:rPr>
        <w:t xml:space="preserve"> 2025 A</w:t>
      </w:r>
      <w:r>
        <w:rPr>
          <w:rFonts w:ascii="Times New Roman" w:cs="Times New Roman" w:eastAsia="Times New Roman" w:hAnsi="Times New Roman"/>
          <w:sz w:val="14"/>
          <w:szCs w:val="14"/>
          <w:b w:val="1"/>
          <w:bCs w:val="1"/>
          <w:color w:val="auto"/>
        </w:rPr>
        <w:t>NNUAL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Phillip B. Donenberg</w:t>
      </w:r>
      <w:r>
        <w:rPr>
          <w:rFonts w:ascii="Times New Roman" w:cs="Times New Roman" w:eastAsia="Times New Roman" w:hAnsi="Times New Roman"/>
          <w:sz w:val="18"/>
          <w:szCs w:val="18"/>
          <w:i w:val="1"/>
          <w:iCs w:val="1"/>
          <w:color w:val="auto"/>
        </w:rPr>
        <w:t>, age 62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Phillip B. Donenberg has served as a member of our Board of Directors since August 2020. Mr. Donenberg served as Senior Vice President and Chief Financial Officer of Jaguar Gene Therapy, LLC, a privately held early-stage gene therapy company, from February 2020 to March 2023. Mr. Donenberg has served on the board of directors and as chairman of the audit committee of AVROBIO, Inc., a publicly traded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publicly traded gene therapy company, from 2017 to June 2018 and as Vice President, Corporate Controller from 2016 to 2017. Mr. Donenberg earned a B.S. in accountancy from the University of Illinois Champaign-Urbana College of Business and is a Certified Public Accountant. Our Board of Directors believes that Mr. Donenberg is qualified to serve as a director based on his financial expertise and his experience as a director and executive of companies in the biotechnology and pharmaceutical industries.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Sukumar Nagendran, M.D.</w:t>
      </w:r>
      <w:r>
        <w:rPr>
          <w:rFonts w:ascii="Times New Roman" w:cs="Times New Roman" w:eastAsia="Times New Roman" w:hAnsi="Times New Roman"/>
          <w:sz w:val="18"/>
          <w:szCs w:val="18"/>
          <w:i w:val="1"/>
          <w:iCs w:val="1"/>
          <w:color w:val="auto"/>
        </w:rPr>
        <w:t>, age 57</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Sukumar Nagendran has served as our President and Head of Research and Development since December 2022 and as a member of our Board of Directors since July 2020. Dr. Nagendran previously served as President, Research and Development and Chief Medical Officer at Jaguar Gene Therapy, LLC, from February 2020 to December 2022. Dr. Nagendran has served on the board of directors of Solid Biosciences Inc., a publicly traded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publicly traded gene therapy company, from 2015 to May 2018.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Board Diversity Matrix provides the self-identified personal characteristics for our Board of Directors: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5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27, 2023)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6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4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46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5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6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5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5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28, 2022 can be found in our proxy statement for the 2022 Annual Meeting filed with the SEC on April 28, 2022.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of Directors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of Directors has affirmatively determined that the following three directors are independent directors within the meaning of the applicable Nasdaq listing standards: Phillip B. Donenberg, Kathleen Reape and Laura Sepp-Lorenzino. In making this determination, the Board concluded that none of these directors or nominees for director had a material or other disqualifying relationship with the Company.</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are not currently in compliance with the continued listing requirements as set forth in Nasdaq Listing Rule 5605(b)(1) regarding the composition of our Board because a majority of the board is not comprised of “independent directors.” We are relying on Nasdaq Listing Rule 5605(b)(1)(A), pursuant to which we must regain compliance with Nasdaq listing rules by having a board comprised of a majority of independent directors by the date of our 2023 Annual Meeting. We expect to regain compliance with Nasdaq Listing Rule 5605(b)(1) of the Nasdaq listing rules with respect to the composition of our Board within the cure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The Company’s Board of Directors is currently chaired by the Chief Executive Officer of the Company, Mr. Nolan. 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Mr. Nolan) as compared to a relatively less informed independent Board. The Board intends to consider the appointment of a lead independent director in 2023 to help reinforce the independence of the Board as a whole.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management has taken to monitor and control these exposures, including guidelines and policies to govern the process by which risk assessment and management is undertaken. The Audit Committee also monitors compliance with legal and regulatory requirements. Audit Committee responsibilities also include oversight of information security risk management. Our Nominating and Corporate Governance Committee monitors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In addition, the entire Board receives reports from time to time regarding various enterprise risks facing the Company, and the applicable Board committees receive related reports with respect to the committees’ respective areas of oversight. The Board has delegated to the Board’s Chairman the responsibility of coordinating between the Board and management with regard to the determination and implementation of responses to any problematic risk management issues.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The Board of Directors met 13 times during the last fiscal year. Each director attended 75% or more of the aggregate number of meetings of the Board and of the committees on which he or she served, held during the portion of the last fiscal year for which he or she was a director or committee member.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Board has four standing committees: an Audit Committee, a Compensation Committee, a Nominating and Corporate Governance Committee and a Clinical and Science Committee. The following table provides membership and meeting information for fiscal year 2022 for each of the Board committees: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680" w:type="dxa"/>
            <w:vAlign w:val="bottom"/>
            <w:vMerge w:val="restart"/>
          </w:tcPr>
          <w:p>
            <w:pPr>
              <w:spacing w:after="0"/>
              <w:rPr>
                <w:sz w:val="12"/>
                <w:szCs w:val="12"/>
                <w:color w:val="auto"/>
              </w:rPr>
            </w:pPr>
          </w:p>
        </w:tc>
        <w:tc>
          <w:tcPr>
            <w:tcW w:w="11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6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Clinical and Science</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468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860" w:type="dxa"/>
            <w:vAlign w:val="bottom"/>
            <w:gridSpan w:val="2"/>
          </w:tcPr>
          <w:p>
            <w:pPr>
              <w:jc w:val="center"/>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680"/>
              <w:spacing w:after="0" w:line="203" w:lineRule="exact"/>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80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Paul B. Manning</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Sukumar Nagendran, M.D.</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Sean P. Nolan</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Kathleen Reape, M.D.</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Laura Sepp-Lorenzino, Ph.D.</w:t>
            </w:r>
            <w:r>
              <w:rPr>
                <w:rFonts w:ascii="Times New Roman" w:cs="Times New Roman" w:eastAsia="Times New Roman" w:hAnsi="Times New Roman"/>
                <w:sz w:val="25"/>
                <w:szCs w:val="25"/>
                <w:color w:val="auto"/>
                <w:vertAlign w:val="superscript"/>
              </w:rPr>
              <w:t>(5)</w:t>
            </w:r>
          </w:p>
        </w:tc>
        <w:tc>
          <w:tcPr>
            <w:tcW w:w="11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X</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meetings in fiscal year 2022</w:t>
            </w:r>
          </w:p>
        </w:tc>
        <w:tc>
          <w:tcPr>
            <w:tcW w:w="11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gridSpan w:val="2"/>
            <w:shd w:val="clear" w:color="auto" w:fill="CCEEFF"/>
          </w:tcPr>
          <w:p>
            <w:pPr>
              <w:ind w:left="8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Chairperson</w:t>
      </w:r>
    </w:p>
    <w:p>
      <w:pPr>
        <w:spacing w:after="0" w:line="27" w:lineRule="exact"/>
        <w:rPr>
          <w:sz w:val="20"/>
          <w:szCs w:val="20"/>
          <w:color w:val="auto"/>
        </w:rPr>
      </w:pPr>
    </w:p>
    <w:p>
      <w:pPr>
        <w:ind w:left="540" w:right="8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Manning was appointed to the Compensation Committee in December 2022 in connection with Mr. Nolan’s and Dr. Nagendran’s resignations from the Compensation Committee.</w:t>
      </w:r>
    </w:p>
    <w:p>
      <w:pPr>
        <w:ind w:left="540" w:right="10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his appointment as the Company’s President and Head of Research and Development, Dr. Nagendran served on the Audit Committee and Compensation Committee. Dr. Nagendran resigned from the Audit Committee and Compensation Committee in December 2022.</w:t>
      </w:r>
    </w:p>
    <w:p>
      <w:pPr>
        <w:ind w:left="540" w:right="2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his appointment as the Company’s Chief Executive Officer, Mr. Nolan served on the Compensation Committee and the Nominating and Corporate Governance Committee. Mr. Nolan resigned from the Compensation Committee and Nominating and Corporate Governance Committee in December 2022.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Reape was appointed to the Audit Committee in December 2022 in connection with Dr. Nagendran’s resignation from the Audit Committee.</w:t>
      </w:r>
    </w:p>
    <w:p>
      <w:pPr>
        <w:spacing w:after="0" w:line="9" w:lineRule="exact"/>
        <w:rPr>
          <w:rFonts w:ascii="Times New Roman" w:cs="Times New Roman" w:eastAsia="Times New Roman" w:hAnsi="Times New Roman"/>
          <w:sz w:val="18"/>
          <w:szCs w:val="18"/>
          <w:color w:val="auto"/>
        </w:rPr>
      </w:pPr>
    </w:p>
    <w:p>
      <w:pPr>
        <w:ind w:left="540" w:right="5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Sepp-Lorenzino was appointed to the Compensation Committee in December 2022 in connection with Mr. Nolan’s and Dr. Nagendran’s resignations from the Compensation Committee.</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did not formally meet in 2022, but acted once by unanimous written consent.</w:t>
      </w:r>
    </w:p>
    <w:p>
      <w:pPr>
        <w:spacing w:after="0" w:line="207"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Below is a description of each committee of the Board of Directors. Each of the committees has authority to engage legal counsel or other experts or consultants, as it deems appropriate to carry out its responsibilities. The Board of Directors has determined that each current member of the Audit Committee meets the applicable Nasdaq rules and regulations regarding “independence” and each member of the Audit Committee is free of any</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relationship that would impair his or her individual exercise of independent judgment with regard to the Company. As discussed above, Mr. Manning does not meet the applicable Nasdaq rules and regulations regarding “independence.” Mr. Manning is a member of the Compensation Committee and is chair of the Nominating and Corporate Governance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is currently composed of three directors: Phillip B. Donenberg, Kathleen Reape and Laura Sepp-Lorenzino. The Audit Committee met five times during fiscal year 2022. The Board has adopted a written Audit Committee charter that is available to stockholders on our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standards).</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Mr. Donenberg qualifies as an “audit committee financial expert,” as defined in applicable SEC rules. The Board made a qualitative assessment of Mr. Donenberg’s level of knowledge and experience based on a number of factors, including his formal education, that he is a Certified Public Accountant and his experience as a chief financial officer for public reporting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 The Audit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2022.</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Phillip B. Donenberg,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Kathleen Reape, M.D.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Laura Sepp-Lorenzino, Ph.D.</w:t>
      </w:r>
    </w:p>
    <w:p>
      <w:pPr>
        <w:spacing w:after="0" w:line="232" w:lineRule="exact"/>
        <w:rPr>
          <w:sz w:val="20"/>
          <w:szCs w:val="20"/>
          <w:color w:val="auto"/>
        </w:rPr>
      </w:pPr>
    </w:p>
    <w:p>
      <w:pPr>
        <w:ind w:left="340" w:right="20" w:hanging="224"/>
        <w:spacing w:after="0" w:line="26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modify and oversee the Company’s compensation strategy, policies, plans and programs, including:</w:t>
      </w:r>
    </w:p>
    <w:p>
      <w:pPr>
        <w:spacing w:after="0" w:line="67" w:lineRule="exact"/>
        <w:rPr>
          <w:sz w:val="20"/>
          <w:szCs w:val="20"/>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corporate and individual performance objectives relevant to the compensation of our executive officers, directors and other senior management and evaluating performance in light of these stated objectives;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reviewing and recommending to the Board of Directors for approval, the compensation and other terms of employment or service, including severance and change-in-control arrangements, of our Chief Executive Officer and the other executive officers;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compensation arrangements for our directors;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administration of our equity compensation plans, pension and profit-sharing plans, deferred compensation plans and other similar plan and programs;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policies and practices as they relate to risk management and risk-taking incentives.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Committee is currently composed of three directors: Phillip B. Donenberg, Paul B. Manning and Laura Sepp-Lorenzino. Except for Mr. Manning, all members of the Company’s Compensation Committee are independent (as independence is currently defined in Rule 5605(d)(2) of the Nasdaq listing standards). Although Mr. Manning is not an independent director, Section 5605(d)(2)(B) of the Nasdaq listing standards nonetheless permits the appointment of a non-independent director to the Compensation Committee if the Board, under exceptional and limited circumstances, determines that the non-independent director’s mentorship is required by the best interests of the Company and its stockholders. Based on</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 xml:space="preserve">Mr. Manning’s extensive experience with the Company and familiarity with the industry, the Board concluded that Mr. Manning’s appointment to, and membership on, the Compensation Committee was in the best interests of the Company and its stockholders. Further, a majority of the members of the Compensation Committee are independent directors. Mr. Manning will resign from the Compensation Committee once a suitable replacement can be appointed. The Compensation Committee met three times during fiscal year 2022. The Board has adopted a written Compensation Committee charter that is available to stockholders on the Company’s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the Chief Executive Officer and Aon plc. (“Aon”), the compensation consultant engaged by the Compensation Committee. The Compensation Committee meets regularly in executive session. In addition, various members of management and other employees as well as outside advisors or consultants are frequently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advisors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advisor to the Compensation Committee, other than in-house legal counsel and certain other types of advisors, only after taking into consideration six factors, prescribed by the SEC and Nasdaq, that bear upon the advisor’s independence; however, there is no requirement that any advisor be independent.</w:t>
      </w:r>
    </w:p>
    <w:p>
      <w:pPr>
        <w:spacing w:after="0" w:line="195" w:lineRule="exact"/>
        <w:rPr>
          <w:sz w:val="20"/>
          <w:szCs w:val="20"/>
          <w:color w:val="auto"/>
        </w:rPr>
      </w:pPr>
    </w:p>
    <w:p>
      <w:pPr>
        <w:jc w:val="both"/>
        <w:ind w:left="120" w:right="580"/>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referenced above, the Compensation Committee engaged Aon as its compensation consultant. Our Compensation Committee identified Aon based on Aon’s general reputation in the industry. The Compensation Committee requested that Aon:</w:t>
      </w:r>
    </w:p>
    <w:p>
      <w:pPr>
        <w:spacing w:after="0" w:line="81" w:lineRule="exact"/>
        <w:rPr>
          <w:sz w:val="20"/>
          <w:szCs w:val="20"/>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Compensation Committee in refining the Company’s compensation strategy and in developing and implementing an executive compensation program to execute that strategy.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part of the engagement, the Compensation Committee directed Aon to develop a comparative group of companies and to perform analyses of competitive performance and compensation levels for that group. Aon ultimately developed recommendations that were presented to the Compensation Committee for its consideration. Following an active dialogue with Aon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Compensation Committee recommended that the Board of Directors approve the recommendations of Aon.</w:t>
      </w:r>
    </w:p>
    <w:p>
      <w:pPr>
        <w:spacing w:after="0" w:line="180"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In fiscal year 2022, the Compensation Committee delegated authority to RA Session II, the Company’s former President and Chief Executive Officer, to grant, without any further action required by the Compensation Committee, stock options to employees who are not officers of the Company.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 During fiscal year 2022, Mr. Session exercised his authority to grant options to purchase an aggregate of 2,128,127 shares to non-officer employees.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Historically, the Compensation Committee has determined annual compensation for our executive officers during the first quarter of the year, including any adjustments to annual base salaries and approval of awards of annual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performance bonuses and equity awards, as well as approval of new annual performance objectives for the coming year. In addition, at various meetings throughout the year the Compensation Committee also considers matters related to individual compensation, such as compensation for new executive hires and other strategic compensation issues, such as the efficacy of the Company’s compensation strategy, potential modifications to that strategy and new trends, plans or approaches to compensation. For executives other than the Chief Executive Officer, the Compensation Committee solicits and considers evaluations and recommendations submitted by the Chief Executive Officer when determining the compensation of the other executive officers. In the case of the Chief Executive Officer, the Compensation Committee evaluates his performance, which influences any adjustments the Committee approves to his compensation as well as awards to be granted. As part of its deliberations, the Compensation Committee may review and consider, as appropriate, materials that it deems appropriate, including financial reports and projections, tax and accounting information,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any criteria provided by the Board), reviewing and evaluating incumbent directors and the performance of the Board generally, making recommendations to the Board regarding the membership of the committees of the Board and developing a set of corporate governance principles for the Company.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is currently composed of two directors: Paul B. Manning and Kathleen Reape. Mr. Manning will resign from the Nominating and Corporate Governance Committee once a suitable replacement can be appointed. The Nominating and Corporate Governance Committee did not formally meet during fiscal year 2022, but acted once by unanimous written consent. The Board has adopted a written Nominating and Corporate Governance Committee charter that is available to stockholders on the Company’s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other factors when considering potential candidates, including expertise relevant to the Company’s current and planned operations, having sufficient time to devote to the affairs of the Company, demonstrated excellence in his or her field, having the ability to exercise sound business judgment and having commitment to support the Company’s long-term interests. The Nominating and Corporate Governance Committee retains the right to modify these qualifications from time to time as the Company’s needs change and evolve. Board diversity and inclusion is critical to the Company’s success. Candidates for director nominees are also reviewed in the context of the current composition of the Board, the operating requirements of the Company and the long-term interests of stockholders. In conducting this assessment, the Nominating and Corporate Governance Committee may also consider diversity (including gender, racial and ethnic diversity), age, skills and such other factors as it deems appropriate, given the current needs of the Board and the Company. As presently constituted, the Board represents a deliberate mix of members who have a deep understanding of the Company’s business, as well as members who have different skill sets and points of view on substantive matters pertaining to our business. Our nomination process and our Board’s approach to assessment and evaluation of our nominees support our commitment to diversity and inclusion.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changes to the Board’s membership and identifies and considers qualities, skills and other director attributes that might enhance the composition of the Board. In the case of incumbent directors whose terms of office are set to expire,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Nominating and Corporate Governance Committee reviews these directors’ overall service to the Company during their terms, including the number of meetings attended, level of participation, quality of performance and any other relationships and transactions that could impair the directors’ independence. The Nominating and Corporate Governance Committee also considers the results of the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other factors. The Nominating and Corporate Governance Committee then uses its network to compile a list of potential candidates, which may include recommendations from a professional search firm when deemed appropriate. The Nominating and Corporate Governance Committee conducts any appropriate and necessary inquiries into the backgrounds and qualifications of possible candidates after considering the needs of the Board. The Nominating and Corporate Governance Committee then meets to discuss and consider the candidates’ qualifications and then selects a nominee for recommendation to the Board.</w:t>
      </w:r>
    </w:p>
    <w:p>
      <w:pPr>
        <w:spacing w:after="0" w:line="19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Taysha Gene Therapies, Inc., Attention: Corporate Secretary, 3000 Pegasus Park Drive, Suite 1430, Dallas, Texas 75247, at least 90 days, but not more than 120 days prior to the anniversary date of the mailing of our proxy statement for the preceding year’s Annual Meeting of Stockholders. Submissions must include the information required by our Bylaws, including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submission must be accompanied by the written consent of the proposed nominee to be named as a nominee and to serve as a director if elected.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and Science Committee</w:t>
      </w:r>
    </w:p>
    <w:p>
      <w:pPr>
        <w:spacing w:after="0" w:line="121"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The Clinical and Science Committee of the Board of Directors assists the Board in facilitating oversight of the Company’s clinical and scientific strategic direction. The Clinical and Science Committee regularly evaluates the Company’s clinical, preclinical and research and development pipeline and identifies and provides the Board with strategic advice on significant emerging science and technology issues, innovations and trends.</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Clinical and Science Committee is currently composed of two directors: Kathleen Reape and Laura Sepp-Lorenzino. The Clinical and Science Committee met twice during fiscal year 2022. The Board has not yet adopted a written Clinical and Science Committee Governance Committee charter but intends to consider the adoption of a charter in 2023.</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OMMUNICATIONS WITH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has adopted a formal process by which stockholders may communicate with the Board or any of its directors. Stockholders who wish to communicate with the Board may do so by sending written communications addressed to the Board or the director in care of Taysha Gene Therapies, Inc., 3000 Pegasus Park Drive, Suite 1430, Dallas, Texas 75247, Attn: Corporate Secretary. Each communication must set forth the name and address of the stockholder on whose behalf the communication is sent and the number and class of shares of our stock that are owned beneficially by the stockholder as of the date of the communication.</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These communications will be reviewed by our Corporate Secretary, who will determine whether they should be presented to the Board. The purpose of this screening is to allow the Board to avoid having to consider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communications that contain advertisements or solicitations or are unduly hostile, threatening or similarly inappropriate. All communications directed to the Compliance Officer in accordance with our Whistleblower Policy for Accounting and Auditing Matters that relate to questionable accounting or auditing matters involving our company will be promptly and directly forwarded to the Audit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THICS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the Taysha Code of Business Conduct and Ethics that applies to all officers, directors and employees. The Code of Business Conduct and Ethics is available on our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If the Company makes any substantive amendments to the Code of Business Conduct and Ethics or grants any waiver from a provision of the Code to any executive officer or director, the Company will promptly disclose the nature of the amendment or waiver on its website.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employees, including our executive officers, and the non-employee members of our Board from engaging in short sales, transactions in put or call options, hedging transactions, using margin accounts, or other inherently speculative transactions involving our equity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IRM</w:t>
      </w:r>
    </w:p>
    <w:p>
      <w:pPr>
        <w:spacing w:after="0" w:line="22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Deloitte &amp; Touche LLP as the Company’s independent registered public accounting firm for the fiscal year ending December 31, 2023 and has further directed that management submit the selection of its independent registered public accounting firm for ratification by the stockholders at the Annual Meeting. Deloitte &amp; Touche LLP has audited the Company’s consolidated financial statements since 2020. Representatives of Deloitte &amp; Touche LLP are expected to be present online at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Neither the Company’s Bylaws nor other governing documents or law require stockholder ratification of the selection of Deloitte &amp; Touche LLP as the Company’s independent registered public accounting firm. However, the Audit Committee is submitting the selection of Deloitte &amp; Touche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6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and entitled to vote on the matter at the Annual Meeting will be required to ratify the selection of Deloitte &amp; Touche LLP.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2022 and 2021 by Deloitte &amp; Touche LLP, the Company’s principal accountant.</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1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tcBorders>
              <w:top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3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$ 1,027,254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$ 983,703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4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11,546</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10,624</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43,050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3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$ 1,083,901</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$ 994,327</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080" w:right="80" w:hanging="532"/>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the independent registered public accounting firm in connection with regulatory filings, including registration statements for follow-on equity offerings.</w:t>
      </w:r>
    </w:p>
    <w:p>
      <w:pPr>
        <w:spacing w:after="0" w:line="2" w:lineRule="exact"/>
        <w:rPr>
          <w:rFonts w:ascii="Times New Roman" w:cs="Times New Roman" w:eastAsia="Times New Roman" w:hAnsi="Times New Roman"/>
          <w:sz w:val="18"/>
          <w:szCs w:val="18"/>
          <w:color w:val="auto"/>
        </w:rPr>
      </w:pPr>
    </w:p>
    <w:p>
      <w:pPr>
        <w:ind w:left="1080" w:right="320" w:hanging="532"/>
        <w:spacing w:after="0" w:line="250"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consolidated financial statements and not reported under “Audit Fees.”</w:t>
      </w: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related to an Internal Revenue Code Section 382 study.</w:t>
      </w:r>
    </w:p>
    <w:p>
      <w:pPr>
        <w:spacing w:after="0" w:line="9" w:lineRule="exact"/>
        <w:rPr>
          <w:rFonts w:ascii="Times New Roman" w:cs="Times New Roman" w:eastAsia="Times New Roman" w:hAnsi="Times New Roman"/>
          <w:sz w:val="18"/>
          <w:szCs w:val="18"/>
          <w:color w:val="auto"/>
        </w:rPr>
      </w:pPr>
    </w:p>
    <w:p>
      <w:pPr>
        <w:ind w:left="1080" w:right="360" w:hanging="532"/>
        <w:spacing w:after="0" w:line="260"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aggregate fees billed for products and services provided by our independent registered public accounting firm other than those disclosed above and consist of fees for accessing Deloitte’s online accounting research tool.</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principal accountant’s independence.</w:t>
      </w:r>
    </w:p>
    <w:p>
      <w:pPr>
        <w:spacing w:after="0" w:line="19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-125095</wp:posOffset>
            </wp:positionV>
            <wp:extent cx="3291840"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91840" cy="325755"/>
                    </a:xfrm>
                    <a:prstGeom prst="rect">
                      <a:avLst/>
                    </a:prstGeom>
                    <a:noFill/>
                  </pic:spPr>
                </pic:pic>
              </a:graphicData>
            </a:graphic>
          </wp:anchor>
        </w:drawing>
      </w:r>
    </w:p>
    <w:p>
      <w:pPr>
        <w:spacing w:after="0" w:line="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55"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ROPOSALS</w:t>
      </w:r>
      <w:r>
        <w:rPr>
          <w:rFonts w:ascii="Times New Roman" w:cs="Times New Roman" w:eastAsia="Times New Roman" w:hAnsi="Times New Roman"/>
          <w:sz w:val="18"/>
          <w:szCs w:val="18"/>
          <w:b w:val="1"/>
          <w:bCs w:val="1"/>
          <w:color w:val="auto"/>
        </w:rPr>
        <w:t xml:space="preserve"> 3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4</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ACKGROUND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of Directors has unanimously approved a series of alternate amendments to our Certificate of Incorporation, each of which would:</w:t>
      </w:r>
    </w:p>
    <w:p>
      <w:pPr>
        <w:spacing w:after="0" w:line="131" w:lineRule="exact"/>
        <w:rPr>
          <w:sz w:val="20"/>
          <w:szCs w:val="20"/>
          <w:color w:val="auto"/>
        </w:rPr>
      </w:pPr>
    </w:p>
    <w:p>
      <w:pPr>
        <w:ind w:left="1080" w:right="5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stock split (“Reverse Stock Split”) of all issued and outstanding shares of our common stock, at a ratio ranging from one-for-five (1:5) to one-for-twenty (1:20), inclusive; and</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reduction in the total number of authorized shares of our common stock (“Authorized Shares Reduction”), with the specific number of authorized shares determined by a formula that is based on the ratio utilized for the Reverse Stock Split.</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and, if Proposal 4 is also approved by our stockholders, the Authorized Shares Reduction would reduce the total number of authorized shares of our common stock. The effectiveness of any one of these amendments and the abandonment of the other amendments, or the abandonment of all of these amendments, will be determined by our Board of Directors following the 2023 Annual Meeting and prior to the date of our 2024 Annual Meeting of Stockholders. Our Board of Directors has recommended that these proposed amendments be presented to our stockholders for approval.</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Proposals 3 and 4, and to grant authorization to our Board of Directors to determine, in its discretion, whether to implement a Reverse Stock Split, including its specific timing and ratio, and if (and only if) a Reverse Stock Split is implemented, to implement the resulting corresponding Authorized Shares Reduction. The corresponding Authorized Shares Reduction was designed so that we do not have what some stockholders might view as an unreasonably high number of authorized shares of common stock that are unissued or reserved for issuance following a Reverse Stock Split.</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Should we receive the required stockholder approvals for both Proposals 3 and 4, our Board of Directors will have the sole authority to elect, at any time on or prior to the date of our 2024 Annual Meeting of Stockholders, and without the need for any further action on the part of our stockholders:</w:t>
      </w:r>
    </w:p>
    <w:p>
      <w:pPr>
        <w:ind w:left="120" w:right="20" w:hanging="4"/>
        <w:spacing w:after="0" w:line="255"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effect a Reverse Stock Split, and (2) if so, the number of whole shares of our common stock, between and including two and ten, that will be combined into one share of our common stock, with the resulting corresponding Authorized Shares Reduction as detailed under the captions “— Principal Effects of Reverse Stock Split” and “—Effects of Authorized Shares Reduction” in Proposals 3 and 4, respectively.</w:t>
      </w:r>
    </w:p>
    <w:p>
      <w:pPr>
        <w:spacing w:after="0" w:line="18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implementation of Proposal 4 is expressly conditioned upon the approval and implementation of Proposal 3; if Proposal 3 is not approved and implemented, then Proposal 4 will not be implemented. If we receive the required stockholder approval for Proposal 3 but do not receive the required stockholder approval for Proposal 4, then our Board of Directors will retain the ability to implement a Reverse Stock Split and, if so effected, the total number of authorized shares of our common stock would remain unchanged.</w:t>
      </w:r>
    </w:p>
    <w:p>
      <w:pPr>
        <w:spacing w:after="0" w:line="180"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Notwithstanding approval of Proposals 3 and 4 by our stockholders, our Board of Directors may, in its sole discretion, abandon the proposed amendments and determine prior to the effectiveness of any filing with the Secretary of State of the State of Delaware not to effect any Reverse Stock Split and Authorized Shares Reduction, as permitted under Section 242(c) of the General Corporation Law of the State of Delaware. If our Board of Directors does not implement a Reverse Stock Split on or prior to the date of our 2024 Annual Meeting of Stockholders, the Authorized Shares Reduction will not be implemented and stockholder approval would again be required prior to implementing any Reverse Stock Split or Authorized Shares Reduction.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By approving Proposals 3 and 4, our stockholders will: (a) approve a series of alternate amendments to our Certificate of Incorporation pursuant to which (i) any whole number of outstanding shares of common stock between and including five (5) and twenty (20) could be combined into one share of common stock and (ii) the total number of authorized shares of our common stock would be reduced as detailed in Proposals 3 and 4; and (b) authorize our Board of Directors to file only one such amendment, as determined by the Board in its sole discretion, and to abandon each amendment not selected by the Board. Our Board of Directors may also elect not to undertake any Reverse Stock Split and therefore abandon all amendments.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EVERSE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PLIT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p>
    <w:p>
      <w:pPr>
        <w:spacing w:after="0" w:line="22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Amended and Restated Certificate of Incorporation to effect a Reverse Stock Split. The text of the proposed form of Certificate of Amendment to our Certificate of Incorporation, which we refer to as the Reverse Split Certificate of Amendment, is attached hereto as Appendix A.</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proposing that our Board of Directors have the discretion to select the Reverse Stock Split ratio from within a range between and including one-for-five (1:5) and one-for-twenty (1:20),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Reverse Split Certificate of Amendment with the Secretary of State of the State of Delaware and the Reverse Stock Split will be effective when it is filed with the Secretary of State of the State of Delaware, or such later time as is chosen by the Board and set forth in the Reverse Split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To maintain our listing on The Nasdaq Global Select Market</w:t>
      </w:r>
      <w:r>
        <w:rPr>
          <w:rFonts w:ascii="Times New Roman" w:cs="Times New Roman" w:eastAsia="Times New Roman" w:hAnsi="Times New Roman"/>
          <w:sz w:val="18"/>
          <w:szCs w:val="18"/>
          <w:color w:val="auto"/>
        </w:rPr>
        <w:t>. By potentially increasing our stock price, the Reverse Stock Split would reduce the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common stock could be delisted from The Nasdaq Global Select Market. To maintain our listing on The Nasdaq Global Select Market, we must comply with Nasdaq Marketplace Rules, which requirements include a minimum bid price of $1.00 per share. On April 25, 2023, we were notified by the Nasdaq Stock Market that we do not comply with the $1.00 minimum bid price requirement, as our common stock had traded below the $1.00 minimum bid price for 30 consecutive business days. We were automatically provided with a 180 calendar-day period, ending on October 23, 2023, within which to regain compliance. To regain compliance, our common stock must close at or above the $1.00 minimum bid price for at least 10 consecutive days or more. If we do not regain compliance by October 23, 2023, we may be eligible for an additional 180 calendar-day compliance period if we elect to transfer to The Nasdaq Capital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Our failure to regain compliance during this period could result in delisting.</w:t>
      </w:r>
    </w:p>
    <w:p>
      <w:pPr>
        <w:spacing w:after="0" w:line="19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Board of Directors has considered the potential harm to us and our stockholders should Nasdaq delist our common stock from The Nasdaq Stock Market.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83"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proposed Reverse Stock Split is a potentially effective means for us to maintain compliance with the $1.00 minimum bid requirement and to avoid, or at least mitigate, the likely adverse consequences of our common stock being delisted from The Nasdaq Stock Market by producing the immediate effect of increasing the bid price of our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 potentially improve the marketability and liquidity of our common stock. </w:t>
      </w:r>
      <w:r>
        <w:rPr>
          <w:rFonts w:ascii="Times New Roman" w:cs="Times New Roman" w:eastAsia="Times New Roman" w:hAnsi="Times New Roman"/>
          <w:sz w:val="18"/>
          <w:szCs w:val="18"/>
          <w:color w:val="auto"/>
        </w:rPr>
        <w:t>Our Board of Directors believes that the increased market price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expected as a result of implementing a Reverse Stock Split could improve the marketability and liquidity of our common stock and encourage interest and trading in our common stock.</w:t>
      </w:r>
    </w:p>
    <w:p>
      <w:pPr>
        <w:spacing w:after="0" w:line="81" w:lineRule="exact"/>
        <w:rPr>
          <w:sz w:val="20"/>
          <w:szCs w:val="20"/>
          <w:color w:val="auto"/>
        </w:rPr>
      </w:pPr>
    </w:p>
    <w:p>
      <w:pPr>
        <w:ind w:left="1080" w:right="34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Requirements: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Investors may be dissuaded from purchasing stocks below certain prices because brokers’ commissions, as a percentage of the total transaction value, can be higher for low-priced stocks.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The Reverse Stock Split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3, our Board of Directors may consider, among other things, various factors, such as: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for our common stock on The Nasdaq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failure of our stockholders to approve this Proposal 3 could have serious, adverse effects on us and our stockholders. We could be delisted from The Nasdaq Stock Market because shares of our common stock may continue to trade below the requisite $1.00 per share bid price needed to maintain our listing. If The Nasdaq Stock Market delists our common stock, our shares may then trade on the OTC Bulletin Board or other small trading markets, such as the pink sheets. In that event, our common stock could trade thinly as a microcap or penny stock, adversely decrease to nominal levels of trading and be avoided by retail and institutional investors, resulting in the impaired liquidity of our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1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We cannot assure you that the proposed Reverse Stock Split will increase our stock price and have the desired effect of maintaining compliance with Nasdaq Marketplace Rules</w:t>
      </w:r>
      <w:r>
        <w:rPr>
          <w:rFonts w:ascii="Times New Roman" w:cs="Times New Roman" w:eastAsia="Times New Roman" w:hAnsi="Times New Roman"/>
          <w:sz w:val="18"/>
          <w:szCs w:val="18"/>
          <w:color w:val="auto"/>
        </w:rPr>
        <w:t>. The Board of Directors expects that the Reverse Stock Split will increase the market price of our common stock so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able to regain and maintain compliance with the Nasdaq $1.00 minimum bid price requirement.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Stock Split will not rise in proportion to the reduction in the number of shares of our common stock outstanding resulting from the Reverse Stock Split, and the market price per post-Reverse Stock Split share may not exceed or remain in excess of the $1.00 minimum bid price for a sustained period of time,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percentage of our overall market capitalization may be greater than would occur in the absence of the Reverse Stock Split. Even if the market price per post-Reverse Stock Split share of our common stock remains in excess of $1.00 per share, we may be delisted due to a failure to meet other continued listing requirements, including Nasdaq requirements related to the minimum number of shares that must be in the public float, the minimum market value of the public float and the minimum number of “round lot” holders.</w:t>
      </w:r>
    </w:p>
    <w:p>
      <w:pPr>
        <w:spacing w:after="0" w:line="18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proposed Reverse Stock Split may decrease the liquidity of our common stock and result in higher transaction costs. </w:t>
      </w:r>
      <w:r>
        <w:rPr>
          <w:rFonts w:ascii="Times New Roman" w:cs="Times New Roman" w:eastAsia="Times New Roman" w:hAnsi="Times New Roman"/>
          <w:sz w:val="18"/>
          <w:szCs w:val="18"/>
          <w:color w:val="auto"/>
        </w:rPr>
        <w:t>The liquidity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18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effective increase in the authorized number of shares of our common stock as a result of the Reverse Stock Split could have anti-takeover implications. </w:t>
      </w:r>
      <w:r>
        <w:rPr>
          <w:rFonts w:ascii="Times New Roman" w:cs="Times New Roman" w:eastAsia="Times New Roman" w:hAnsi="Times New Roman"/>
          <w:sz w:val="18"/>
          <w:szCs w:val="18"/>
          <w:color w:val="auto"/>
        </w:rPr>
        <w:t>The implementation of a Reverse Stock Split will result in an effective increase in the authorized number of shares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the number of shares outstanding, which could, under certain circumstances, have anti-takeover implications. The additional shares of common stock that would become available for issuance if this Proposal 3 is approved and a Reverse Stock Split is implemented could be used by us to oppose a hostile takeover attempt or to delay or prevent changes in control or our management. For example, without further stockholder approval, the Board could adopt a “poison pill” which would, under certain circumstances related to an acquisition of our securities that is not approved by the Board, give certain holders the right to acquire additional shares of our common stock at a low price. The Board also could strategically sell shares of common stock in a private transaction to purchasers who would oppose a takeover or favor the current Board. Although this Proposal 3 has been prompted by business and financial considerations and not by the threat of any hostile takeover attempt (nor is the Board currently aware of any such attempts directed at us), stockholders should be aware that approval of this Proposal 3 could facilitate future efforts by us to deter or prevent changes in control, including transactions in which the stockholders might otherwise receive a premium for their shares over then current market prices.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Effects of Reverse Stock Split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Taysha,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131" w:lineRule="exact"/>
        <w:rPr>
          <w:sz w:val="20"/>
          <w:szCs w:val="20"/>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5 to 20 shares of our common stock owned by a stockholder (depending on the Reverse Stock Split ratio selected by the Board), will be combined into one new share of our common stock;</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4 is approved by our stockholders, then, depending on the Reverse Stock Split ratio selected by the Board, the total number of authorized shares of our common stock will be reduced from 200,000,000 shares authorized to a range of 10,000,000 to 40,000,000 shares, as shown in the table below (as described above, this will result in an effective increase in the authorized number of shares of our common stock relative to the number of shares outstanding);</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Proposal 4 is not approved by our stockholders, the total number of authorized shares of our common stock will remain at 200,000,000, resulting in an effective increase in the authorized number of shares of our common stock relative to the number of shares outstanding;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spacing w:after="0" w:line="88"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April 24, 2023, relating to our outstanding common stock based on the proposed Reverse Stock Split ratios (without giving effect to the treatment of fractional shares), and information regarding our authorized shares </w:t>
      </w:r>
      <w:r>
        <w:rPr>
          <w:rFonts w:ascii="Times New Roman" w:cs="Times New Roman" w:eastAsia="Times New Roman" w:hAnsi="Times New Roman"/>
          <w:sz w:val="18"/>
          <w:szCs w:val="18"/>
          <w:b w:val="1"/>
          <w:bCs w:val="1"/>
          <w:color w:val="auto"/>
        </w:rPr>
        <w:t>assuming that Proposal 4 is approved</w:t>
      </w:r>
      <w:r>
        <w:rPr>
          <w:rFonts w:ascii="Times New Roman" w:cs="Times New Roman" w:eastAsia="Times New Roman" w:hAnsi="Times New Roman"/>
          <w:sz w:val="18"/>
          <w:szCs w:val="18"/>
          <w:color w:val="auto"/>
        </w:rPr>
        <w:t xml:space="preserve"> and the corresponding Authorized Shares Reduction is implemented:</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but Unissued</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3940" w:type="dxa"/>
            <w:vAlign w:val="bottom"/>
            <w:vMerge w:val="restart"/>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11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Unreserved</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Pre-Reverse Stock Split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64,178,567</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6,591,664</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129,229,769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40,000,000</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12,835,713</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1,318,333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25,845,954</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20,000,000</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6,417,857</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659,166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12,922,977</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13,333,333</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4,278,571</w:t>
            </w: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439,444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8,615,318</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1:20</w:t>
            </w:r>
          </w:p>
        </w:tc>
        <w:tc>
          <w:tcPr>
            <w:tcW w:w="15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10,000,000</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3,208,928</w:t>
            </w:r>
          </w:p>
        </w:tc>
        <w:tc>
          <w:tcPr>
            <w:tcW w:w="1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329,583</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6,461,489</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contains approximate information, based on share information as of April 24, 2023, relating to our outstanding common stock based on the proposed Reverse Stock Split ratios assuming that </w:t>
      </w:r>
      <w:r>
        <w:rPr>
          <w:rFonts w:ascii="Times New Roman" w:cs="Times New Roman" w:eastAsia="Times New Roman" w:hAnsi="Times New Roman"/>
          <w:sz w:val="18"/>
          <w:szCs w:val="18"/>
          <w:b w:val="1"/>
          <w:bCs w:val="1"/>
          <w:color w:val="auto"/>
        </w:rPr>
        <w:t>Proposal 4 is not approved</w:t>
      </w:r>
      <w:r>
        <w:rPr>
          <w:rFonts w:ascii="Times New Roman" w:cs="Times New Roman" w:eastAsia="Times New Roman" w:hAnsi="Times New Roman"/>
          <w:sz w:val="18"/>
          <w:szCs w:val="18"/>
          <w:color w:val="auto"/>
        </w:rPr>
        <w:t xml:space="preserve"> (without giving effect to the treatment of fractional shares):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3940" w:type="dxa"/>
            <w:vAlign w:val="bottom"/>
            <w:vMerge w:val="restart"/>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5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but Unissued and</w:t>
            </w: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5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50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Unreserved</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Pre-Reverse Stock Split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64,178,567</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6,591,664</w:t>
            </w:r>
          </w:p>
        </w:tc>
        <w:tc>
          <w:tcPr>
            <w:tcW w:w="4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7"/>
              </w:rPr>
              <w:t>129,229,769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200,000,000</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12,835,713</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1,318,333</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185,845,954</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200,000,000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6,417,857</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659,166</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192,922,977</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200,000,000</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4,278,571</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439,444</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195,281,985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200,000,000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3,208,928</w:t>
            </w:r>
          </w:p>
        </w:tc>
        <w:tc>
          <w:tcPr>
            <w:tcW w:w="15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329,583</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196,461,489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or CUSIP number, a number used to identify our common stock.</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and we are subject to the periodic reporting and other requirements of the Securities Exchange Act of 1934, as amended, or the Exchange Act. The implementation of any proposed Reverse Stock Split will not affect the registration of our common stock under the Exchange Act. Our common stock would continue to be listed on The Nasdaq Capital Market under the symbol “TSHA”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3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holder of common stock would otherwise be entitled as a result of the Reverse Stock Split, Taysha will pay cash (without interest) equal to such fraction multiplied by the average of the closing sales prices of the common stock on The Nasdaq Global Select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April 24, 2023, there were 41 stockholders of record of our common stock, which number of record holders includes those holders who are deemed record holders for purposes of the Exchange Act. Upon stockholder approval of this Proposal 3,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be stockholders. For example, if a stockholder held five shares of common stock immediately prior to the Reverse Stock Split and the Reverse Stock Split ratio selected by the Board was 1:10, then such stockholder would cease to be a stockholder of Taysha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this Proposal 3 is approved by our stockholders and our Board of Directors elects to implement a Reverse Stock Split, stockholders of record holding some or all of their shares in certificate form will receive a letter of transmittal from Taysha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p>
    <w:p>
      <w:pPr>
        <w:spacing w:after="0" w:line="19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PRE-SPLIT STOCK CERTIFICATE AND SHOULD NOT SUBMIT ANY CERTIFICATES UNTIL THEY ARE REQUESTED TO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$0.00001 per share after any Reverse Stock Split. As a result, on the Reverse Split Effective Date,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per share common stock net income or loss and net book value would be increased because there would be fewer shares of common stock outstanding. The Reverse Stock Split would be reflected retroactively in our consolidated financial statements. We do not anticipate that any other accounting consequences would arise as a result of any Reverse Stock Split.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Amended and Restated Certificate of Incorporation to allow for a Reverse Stock Split and, if Proposal 4 is approved, to effect the corresponding Authorized Shares Reduction, and we will not independently provide the stockholders with any such right if any Reverse Stock Split and the corresponding Authorized Shares Reduction are implemented.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Material Federal Income Tax Consequences to U.S. Holders</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thereunder and administrative rulings, court decisions and other legal authorities related thereto, each as in effect as of the date of this proxy statement and all of which are subject to change or differing interpretations. Any such change or differing interpretation, which may or may not be retroactive, could alter the tax consequences to the stockholders described herein. This discussion is included for general informational purposes only and does not purport to consider all aspects of U.S. federal income taxation that might be relevant to a U.S. Holder.</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the exercise of warrants, stock options or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stockholders who exercise dissenters’ or appraisal rights,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the alternative minimum tax or the Medicare contribution tax on net investment income, the tax consequences of transactions effectuated prior or subsequent to, or concurrently with, the Reverse Stock Split (whether or not any such transactions are consummated in connection with the Reverse Stock Split) including, without limitation, the tax consequences to holders of options, warrants or similar rights to acquire our common stock.</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131" w:lineRule="exact"/>
        <w:rPr>
          <w:sz w:val="20"/>
          <w:szCs w:val="20"/>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view regarding the tax consequences of the Reverse Stock Split is not binding with the Internal Revenue Service (“IRS”) or the courts. We have not sought, and do not intend to seek, any tax opinion from counsel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ruling from the IRS with respect to any of the statements made in this summary. There can be no assurance that the IRS will not take 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w:t>
      </w:r>
    </w:p>
    <w:p>
      <w:pPr>
        <w:spacing w:after="0" w:line="172"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SHOULD CONSULT THEIR TAX ADVISORS WITH RESPECT TO THE APPLICATION OF THE U.S. FEDERAL INCOME TAX LAWS TO THEIR PARTICULAR SITUATIONS AS WELL AS ANY TAX CONSEQUENCES OF THE REVERSE STOCK SPLIT ARISING UNDER U.S. FEDERAL ESTATE OR GIFT TAX LAWS OR UNDER THE LAWS OF ANY STATE, LOCAL OR NON-U.S. TAXING JURISDICTION OR UNDER ANY APPLICABLE INCOME TAX TREATY.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of the Reverse Stock Split</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intend to treat the Reverse Stock Split as a “recapitalization” for U.S. federal income tax purposes. As a result, a U.S. Holder generally should not recognize gain or loss upon the Reverse Stock Split, except with respect to cash received in lieu of a fractional share of common stock (as described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for the shares of the common stock received should include the holding period for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in Lieu of Fractional Shares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pursuant to the Reverse Stock Split is expected to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Holders of common stock should consult their tax advisors regarding their qualification for an exemption from backup withholding and the procedures for obtaining such an exemption, as well as the procedures for obtaining a credit or refund if backup withholding is imposed.</w:t>
      </w:r>
    </w:p>
    <w:p>
      <w:pPr>
        <w:spacing w:after="0" w:line="17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certain material U.S. federal income tax consequences of the Reverse Stock Split. It is not a complete analysis or discussion of all potential tax effects that may be important to a particular holder. All holders of our common stock should consult their own tax advisors as to the specific tax consequences of the Reverse Stock Split them, including record retention and tax-reporting requirements, and the applicability and effect of any federal, state, local and non-U.S. tax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affirmative vote of the holders of a majority of the outstanding shares of common stock will be required to approve this Proposal 3.</w:t>
      </w:r>
    </w:p>
    <w:p>
      <w:pPr>
        <w:spacing w:after="0" w:line="27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-125095</wp:posOffset>
            </wp:positionV>
            <wp:extent cx="3291840"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91840" cy="325755"/>
                    </a:xfrm>
                    <a:prstGeom prst="rect">
                      <a:avLst/>
                    </a:prstGeom>
                    <a:noFill/>
                  </pic:spPr>
                </pic:pic>
              </a:graphicData>
            </a:graphic>
          </wp:anchor>
        </w:drawing>
      </w:r>
    </w:p>
    <w:p>
      <w:pPr>
        <w:spacing w:after="0" w:line="1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3.</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139"/>
          </w:cols>
          <w:pgMar w:left="320" w:top="45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ROPOSAL</w:t>
      </w:r>
      <w:r>
        <w:rPr>
          <w:rFonts w:ascii="Times New Roman" w:cs="Times New Roman" w:eastAsia="Times New Roman" w:hAnsi="Times New Roman"/>
          <w:sz w:val="18"/>
          <w:szCs w:val="18"/>
          <w:b w:val="1"/>
          <w:bCs w:val="1"/>
          <w:color w:val="auto"/>
        </w:rPr>
        <w:t xml:space="preserve"> 4</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UTHORIZED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EDUCTION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ROPOSAL</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Certificate of Incorporation to effect an Authorized Shares Reduction, with the specific number of authorized shares determined by a formula that is based on the ratio utilized for a Reverse Stock Split. The text of the proposed Certificate of Amendment to our Certificate of Incorporation, which we refer to as the Reverse Split Certificate of Amendment, is attached hereto as Appendix A.</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implementation of this Proposal 4 is expressly conditioned upon the approval and implementation of Proposal 3; if Proposal 3 is not approved and implemented, then this Proposal 4 will not be implemented. Accordingly, if we do not receive the required stockholder approval for Proposal 3 or the Reverse Stock Split is not otherwise implemented on or prior to the date of our 2024 Annual Meeting of Stockholders, then we will not implement the Authorized Shares Reduction. If we receive the required stockholder approval for Proposal 3 but do not receive the required stockholder approval for Proposal 4, then our Board of Directors will nonetheless retain the ability to implement a Reverse Stock Split and, if so effected, the total number of authorized shares of our common stock would remain unchanged.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Authorized Shares Reduction; Certain Risks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As a matter of Delaware law, the implementation of a Reverse Stock Split does not require a reduction in the total number of authorized shares of our common stock. However, if Proposals 3 and 4 are approved by our stockholders and a Reverse Stock Split is implemented, the authorized number of shares of our common stock also would be reduced according to the schedule set forth under “—Effects of Authorized Shares Reduction” below. The reduction in the authorized number of shares of common stock will not be proportionate to the Reverse Stock Split ratio, though, so the practical effect of any Reverse Stock Split and the corresponding Authorized Shares Reduction would be to increase the number of authorized shares of our common stock relative to the number of shares outstanding.</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described in more detail under “—Reasons for Reverse Stock Split” in Proposal 3, our Board of Directors desires to have a sufficient number of unissued and unreserved authorized shares of common stock following the implementation of a Reverse Stock Split to provide us with flexibility with respect to our authorized capital sufficient to execute our business strategy. At the same time, the corresponding Authorized Shares Reduction was designed so that we do not have what some stockholders might view as an unreasonably high number of authorized shares of common stock that are unissued or reserved for issuance following the Reverse Stock Split. In this regard, if Proposal 3 is approved but this Proposal 4 is not approved, then the authorized number of shares of our common stock would not be reduced at all even if a Reverse Stock Split is implemented; accordingly, our Board of Directors believes that this Proposal 4 is in the best interests of Taysha and our stockholders and strikes the appropriate balance in the event a Reverse Stock Split is implemented. However, the implementation of a Reverse Stock Split and the resulting effective increase in the number of authorized shares of our common stock relative to the number of shares outstanding, could, under certain circumstances, have anti-takeover implications, as described in more detail under “—Certain Risks and Potential Disadvantages Associated with the Reverse Stock Split” in Proposal 3. Although we are not proposing a Reverse Stock Split as a result of any threat of a hostile takeover attempt (nor is the Board of Directors currently aware of any such attempts directed at us), stockholders should be aware that if Proposal 3 is approved but this Proposal 4 is not approved, the anti-takeover implications associated with any Reverse Stock Split may be enhanced due to the additional number of shares of common stock that could be used by us to deter or prevent changes in control.</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Authorized Shares Reduction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principal effect of the Authorized Shares Reduction will be that the number of authorized shares of our common stock will be reduced, depending on the exact Reverse Stock Split ratio selected by the Board from 200,000,000 shares to a range from 10,000,000 to 40,000,000.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Authorized Shares Reduction would not have any effect on the rights of existing stockholders, and the par value of the common stock would remain unchanged at $0.00001 per share. The table below shows how the Reverse Stock Split ratio selected by the Board will determine the corresponding Authorized Shares Reduction if this Proposal 4 is approved and a Reverse Stock Split is implemented:</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Reverse Stock Split Ratio</w:t>
            </w:r>
          </w:p>
        </w:tc>
        <w:tc>
          <w:tcPr>
            <w:tcW w:w="4560" w:type="dxa"/>
            <w:vAlign w:val="bottom"/>
            <w:vMerge w:val="restart"/>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13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None (current)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13,333,333</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1:20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If this Proposal 4 is not approved, but Proposal 3 is approved and the Reverse Stock Split is implemented, then the authorized number of shares of our common stock would remain unchanged at 200,000,000. For additional information regarding the effects of a Reverse Stock Split, see “—Principal Effects of Reverse Stock Split” in Proposal 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 Date; Conditionality</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The proposed Authorized Shares Reduction would become effective at 5:00 p.m., Eastern time, on the date of filing of a Certificate of Amendment with the office of the Secretary of State of the State of Delaware, or such later date as is chosen by the Board and set forth in the Certificate of Amendment.</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of Directors intends to proceed with the Authorized Shares Reduction only if and when a Reverse Stock Split is implemented. Accordingly, should we not receive the required stockholder approval for Proposal 3 or the Reverse Stock Split is not otherwise implemented on or prior to the date of our 2024 Annual Meeting of Stockholders, then we will not implement the Authorized Shares Reduction even if this Proposal 4 is approved. In this regard, the implementation of Proposal 4 is expressly conditioned upon the approval and implementation of Proposal 3; if Proposal 3 is not approved and implemented, then Proposal 4 will not be implemented. If we receive the required stockholder approval for Proposal 3 but do not receive the required stockholder approval for Proposal 4, then our Board of Directors will nonetheless retain the option to implement a Reverse Stock Split and if so effected, the total number of authorized shares of our common stock would remain unchanged.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will be required to approve this Proposal 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tc>
      </w:tr>
      <w:tr>
        <w:trPr>
          <w:trHeight w:val="432"/>
        </w:trPr>
        <w:tc>
          <w:tcPr>
            <w:tcW w:w="1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executive officers, and their respective ages as of April 27, 2023, are as follows:</w:t>
            </w:r>
          </w:p>
        </w:tc>
      </w:tr>
      <w:tr>
        <w:trPr>
          <w:trHeight w:val="41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24"/>
                <w:szCs w:val="24"/>
                <w:color w:val="auto"/>
              </w:rPr>
            </w:pPr>
          </w:p>
        </w:tc>
        <w:tc>
          <w:tcPr>
            <w:tcW w:w="660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Sean Nolan</w:t>
            </w: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Kamran Alam</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Sukumar Nagendran, M.D.</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Head of Research and Development and Director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biographies of Mr. Nolan and Dr. Nagendran are set forth in “Proposal 1: Election of Directors” above.</w:t>
      </w:r>
    </w:p>
    <w:p>
      <w:pPr>
        <w:spacing w:after="0" w:line="223"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Kamran Alam </w:t>
      </w:r>
      <w:r>
        <w:rPr>
          <w:rFonts w:ascii="Times New Roman" w:cs="Times New Roman" w:eastAsia="Times New Roman" w:hAnsi="Times New Roman"/>
          <w:sz w:val="18"/>
          <w:szCs w:val="18"/>
          <w:color w:val="auto"/>
        </w:rPr>
        <w:t>has served as our Chief Financial Officer since August 2020. Mr. Alam previously served as Senior Vice President, Finance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Rocket Pharmaceuticals, Inc., a biopharmaceutical company, from October 2019 to July 2020 and as Vice President, Finance at AveXis, Inc., a publicly traded gene therapy company, from April 2016 to October 2019. From 2013 to April 2016, he held positions of increasing responsibility at Aptinyx Inc., a publicly traded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WNERSHIP</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WNERS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ANAGEMENT</w:t>
      </w:r>
    </w:p>
    <w:p>
      <w:pPr>
        <w:spacing w:after="0" w:line="20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April 15, 2023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92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880" w:type="dxa"/>
            <w:vAlign w:val="bottom"/>
            <w:tcBorders>
              <w:top w:val="single" w:sz="8" w:color="auto"/>
            </w:tcBorders>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6480" w:type="dxa"/>
            <w:vAlign w:val="bottom"/>
            <w:vMerge w:val="restart"/>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6480" w:type="dxa"/>
            <w:vAlign w:val="bottom"/>
            <w:vMerge w:val="continue"/>
          </w:tcPr>
          <w:p>
            <w:pPr>
              <w:spacing w:after="0"/>
              <w:rPr>
                <w:sz w:val="15"/>
                <w:szCs w:val="15"/>
                <w:color w:val="auto"/>
              </w:rPr>
            </w:pPr>
          </w:p>
        </w:tc>
        <w:tc>
          <w:tcPr>
            <w:tcW w:w="188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90"/>
        </w:trPr>
        <w:tc>
          <w:tcPr>
            <w:tcW w:w="8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RA Session II</w:t>
            </w:r>
            <w:r>
              <w:rPr>
                <w:rFonts w:ascii="Times New Roman" w:cs="Times New Roman" w:eastAsia="Times New Roman" w:hAnsi="Times New Roman"/>
                <w:sz w:val="25"/>
                <w:szCs w:val="25"/>
                <w:color w:val="auto"/>
                <w:vertAlign w:val="superscript"/>
              </w:rPr>
              <w:t>(2)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9,861,494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Astellas Gene Therapies, Inc. </w:t>
            </w:r>
            <w:r>
              <w:rPr>
                <w:rFonts w:ascii="Times New Roman" w:cs="Times New Roman" w:eastAsia="Times New Roman" w:hAnsi="Times New Roman"/>
                <w:sz w:val="25"/>
                <w:szCs w:val="25"/>
                <w:color w:val="auto"/>
                <w:vertAlign w:val="superscript"/>
              </w:rPr>
              <w:t>(3)</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7,266,342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Paul B. Manning</w:t>
            </w:r>
            <w:r>
              <w:rPr>
                <w:rFonts w:ascii="Times New Roman" w:cs="Times New Roman" w:eastAsia="Times New Roman" w:hAnsi="Times New Roman"/>
                <w:sz w:val="25"/>
                <w:szCs w:val="25"/>
                <w:color w:val="auto"/>
                <w:vertAlign w:val="superscript"/>
              </w:rPr>
              <w:t>(4)</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6,994,166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(5)</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3,204,922</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Sean P. Nolan</w:t>
            </w:r>
            <w:r>
              <w:rPr>
                <w:rFonts w:ascii="Times New Roman" w:cs="Times New Roman" w:eastAsia="Times New Roman" w:hAnsi="Times New Roman"/>
                <w:sz w:val="25"/>
                <w:szCs w:val="25"/>
                <w:color w:val="auto"/>
                <w:vertAlign w:val="superscript"/>
              </w:rPr>
              <w:t>(6)</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1,135,326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RA Session II</w:t>
            </w:r>
            <w:r>
              <w:rPr>
                <w:rFonts w:ascii="Times New Roman" w:cs="Times New Roman" w:eastAsia="Times New Roman" w:hAnsi="Times New Roman"/>
                <w:sz w:val="25"/>
                <w:szCs w:val="25"/>
                <w:color w:val="auto"/>
                <w:vertAlign w:val="superscript"/>
              </w:rPr>
              <w:t>(2)</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9,861,494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Kamran Alam</w:t>
            </w:r>
            <w:r>
              <w:rPr>
                <w:rFonts w:ascii="Times New Roman" w:cs="Times New Roman" w:eastAsia="Times New Roman" w:hAnsi="Times New Roman"/>
                <w:sz w:val="25"/>
                <w:szCs w:val="25"/>
                <w:color w:val="auto"/>
                <w:vertAlign w:val="superscript"/>
              </w:rPr>
              <w:t>(7)</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178,059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Sukumar Nagendran, M.D.</w:t>
            </w:r>
            <w:r>
              <w:rPr>
                <w:rFonts w:ascii="Times New Roman" w:cs="Times New Roman" w:eastAsia="Times New Roman" w:hAnsi="Times New Roman"/>
                <w:sz w:val="25"/>
                <w:szCs w:val="25"/>
                <w:color w:val="auto"/>
                <w:vertAlign w:val="superscript"/>
              </w:rPr>
              <w:t>(8)</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78,068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(9)</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51,672</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Paul B. Manning</w:t>
            </w:r>
            <w:r>
              <w:rPr>
                <w:rFonts w:ascii="Times New Roman" w:cs="Times New Roman" w:eastAsia="Times New Roman" w:hAnsi="Times New Roman"/>
                <w:sz w:val="25"/>
                <w:szCs w:val="25"/>
                <w:color w:val="auto"/>
                <w:vertAlign w:val="superscript"/>
              </w:rPr>
              <w:t>(4)</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6,994,166</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Kathleen Reape, M.D.</w:t>
            </w:r>
            <w:r>
              <w:rPr>
                <w:rFonts w:ascii="Times New Roman" w:cs="Times New Roman" w:eastAsia="Times New Roman" w:hAnsi="Times New Roman"/>
                <w:sz w:val="25"/>
                <w:szCs w:val="25"/>
                <w:color w:val="auto"/>
                <w:vertAlign w:val="superscript"/>
              </w:rPr>
              <w:t>(10)</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41,333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Laura Sepp-Lorenzino, Ph.D.</w:t>
            </w:r>
            <w:r>
              <w:rPr>
                <w:rFonts w:ascii="Times New Roman" w:cs="Times New Roman" w:eastAsia="Times New Roman" w:hAnsi="Times New Roman"/>
                <w:sz w:val="25"/>
                <w:szCs w:val="25"/>
                <w:color w:val="auto"/>
                <w:vertAlign w:val="superscript"/>
              </w:rPr>
              <w:t>(11)</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41,333</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executive officers and directors as a group (7 persons)</w:t>
            </w:r>
            <w:r>
              <w:rPr>
                <w:rFonts w:ascii="Times New Roman" w:cs="Times New Roman" w:eastAsia="Times New Roman" w:hAnsi="Times New Roman"/>
                <w:sz w:val="25"/>
                <w:szCs w:val="25"/>
                <w:color w:val="auto"/>
                <w:vertAlign w:val="superscript"/>
              </w:rPr>
              <w:t>(12)</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8,519,957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of 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64,178,567 shares outstanding on April 15, 2023, adjusted as required by rules promulgated by the SEC. Except as otherwise noted below, the address for persons listed in the table is c/o Taysha Gene Therapies, Inc., 3000 Pegasus Park Drive, Suite 1430, Dallas, Texas 75247.</w:t>
      </w:r>
    </w:p>
    <w:p>
      <w:pPr>
        <w:spacing w:after="0" w:line="2"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9,420,842 shares of common stock, (b) 141,090 shares of common stock held by the Session 2020 Annuity Trust I, of which Mr. Session is the trustee and has sole voting and investment power with respect to the shares held by such trust, (c) 141,090 shares of common stock held by the Session 2020 Annuity Trust II, of which Mr. Session is the trustee and has sole voting and investment power with respect to the shares held by such trust, and (d) 158,472 shares of common stock issuable upon the exercise of options exercisable within 60 days of April 15, 2023. Mr. Session ceased serving as our President and Chief Executive Officer in December 2022 and as a member of our Board of Directors in March 2023. Pursuant to the terms of his separation agreement, all equity awards ceased vesting upon his departure from the Board of Directors. Pursuant to the terms of our 2020 Stock Incentive Plan, Mr. Session may exercise outstanding options for a period of three months following cessation of his continuous service with the Company.</w:t>
      </w:r>
    </w:p>
    <w:p>
      <w:pPr>
        <w:spacing w:after="0" w:line="3"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Gene Therapies, Inc., or Astellas, shares voting and investment power with respect to all shares of common stock it beneficially owns with Astellas Pharma, Inc., a company organized under the laws of Japan, and Astellas US Holding, Inc., a company incorporated under the laws of the State of Delaware. The address of the principal business office of Astellas Gene Therapies, Inc. is 225 Gateway Blvd., South San Francisco, California 94080.</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3"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1,500,000 shares of common stock, (b) 3,195,205 shares of common stock held by The Paul B. Manning Revocable Trust dated May 10, 2000, of which Mr. Manning is the trustee and has sole voting and investment power with respect to the shares held by such trust, (c) 2,091,704 shares of common stock held by BKB Growth Investments, LLC, (d) 142,202 shares of common stock held by Paul &amp; Diane Manning JTWROS, (e) 22,000 shares of common stock held by BKB G2 Investments LLC and (f) 43,055 shares of common stock issuable upon the exercise of options exercisable within 60 days of April 15, 2023. Mr. Manning is a co-manager of Tiger Lily Capital, LLC, the manager of BKB Growth Investments, LLC and BKB G2 Investments LLC, and has shared voting and investment power with respect to the shares held by BKB Growth Investments, LLC and BKB G2 Investments LLC. The business address for each person and entity named in this footnote is 200 Garrett Street, Suite S, Charlottesville, Virginia 22902.</w:t>
      </w:r>
    </w:p>
    <w:p>
      <w:pPr>
        <w:ind w:left="540" w:right="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9, 2023 by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has the sole voting power with respect to the shares. Both FMR LLC and Abigail P. Johnson may be considered to have sole investment power with respect to the shares. The business address for FMR LLC is 245 Summer Street, Boston, Massachusetts 02110.</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1,091,101 shares of common stock held by Nolan Capital, LLC, (b) 1,170 shares of common stock held by Sean P. Nolan, individually and (c) 43,055 shares of common stock issuable upon the exercise of options exercisable within 60 days of April 15, 2023. Mr. Nolan is the President of Nolan Capital, LLC and has shared voting and investment power with respect to the shares held by Nolan Capital, LLC. The business address for each person and entity named in this footnote is 8 The Green, Ste. R, Dover, Delaware 19901.</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100,560 shares of common stock and (b) 77,499 shares of common stock issuable upon the exercise of options exercisable within 60 days of April 15, 2023.</w:t>
      </w:r>
    </w:p>
    <w:p>
      <w:pPr>
        <w:ind w:left="540" w:right="2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29,226 shares of common stock and (b) 48,842 shares of common stock issuable upon the exercise of options exercisable within 60 days of April 15, 2023.</w:t>
      </w:r>
    </w:p>
    <w:p>
      <w:pPr>
        <w:ind w:left="540" w:right="12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3,000 shares of common stock and (b) 48,672 shares of common stock issuable upon the exercise of options exercisable within 60 days of April 15, 2023.</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41,333 shares of common stock issuable upon the exercise of options within 60 days of April 15,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41,333 shares of common stock issuable upon the exercise of options exercisable within 60 days of April 15, 2023.</w:t>
      </w:r>
    </w:p>
    <w:p>
      <w:pPr>
        <w:spacing w:after="0" w:line="9"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8,176,168 shares of common stock and (b) 343,789 shares of common stock issuable upon the exercise of options exercisable within 60 days of April 15,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the Company’s knowledge, based on a review of the copies of such reports filed on the SEC’s EDGAR system and written representations that no other reports were required, during the fiscal year ended December 31, 2022, all Section 16(a) filing requirements applicable to its officers, directors and greater than ten percent beneficial owners were complied with; except that a late Form 4 was filed on behalf of RA Session II reporting the grant of an option to purchase 199,500 shares of common stock awarded in the discretion of the Compensation Committee for 2021 performance, which was due November 14, 2022 but was filed on December 23, 2022.</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years ended December 31, 2022 and 2021.</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6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gridSpan w:val="2"/>
            <w:vMerge w:val="continue"/>
          </w:tcPr>
          <w:p>
            <w:pPr>
              <w:spacing w:after="0"/>
              <w:rPr>
                <w:sz w:val="12"/>
                <w:szCs w:val="12"/>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2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52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240" w:type="dxa"/>
            <w:vAlign w:val="bottom"/>
          </w:tcPr>
          <w:p>
            <w:pPr>
              <w:spacing w:after="0"/>
              <w:rPr>
                <w:sz w:val="13"/>
                <w:szCs w:val="13"/>
                <w:color w:val="auto"/>
              </w:rPr>
            </w:pPr>
          </w:p>
        </w:tc>
        <w:tc>
          <w:tcPr>
            <w:tcW w:w="126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Sean Nolan</w:t>
            </w: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680" w:type="dxa"/>
            <w:vAlign w:val="bottom"/>
            <w:gridSpan w:val="2"/>
            <w:vMerge w:val="continue"/>
            <w:shd w:val="clear" w:color="auto" w:fill="CCEEFF"/>
          </w:tcPr>
          <w:p>
            <w:pPr>
              <w:spacing w:after="0"/>
              <w:rPr>
                <w:sz w:val="8"/>
                <w:szCs w:val="8"/>
                <w:color w:val="auto"/>
              </w:rPr>
            </w:pPr>
          </w:p>
        </w:tc>
        <w:tc>
          <w:tcPr>
            <w:tcW w:w="200" w:type="dxa"/>
            <w:vAlign w:val="bottom"/>
            <w:vMerge w:val="restart"/>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25,000</w:t>
            </w:r>
          </w:p>
        </w:tc>
        <w:tc>
          <w:tcPr>
            <w:tcW w:w="8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1,800,276</w:t>
            </w:r>
          </w:p>
        </w:tc>
        <w:tc>
          <w:tcPr>
            <w:tcW w:w="9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74,000</w:t>
            </w:r>
            <w:r>
              <w:rPr>
                <w:rFonts w:ascii="Times New Roman" w:cs="Times New Roman" w:eastAsia="Times New Roman" w:hAnsi="Times New Roman"/>
                <w:sz w:val="10"/>
                <w:szCs w:val="10"/>
                <w:color w:val="auto"/>
              </w:rPr>
              <w:t>(4)</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1,899,276</w:t>
            </w:r>
          </w:p>
        </w:tc>
        <w:tc>
          <w:tcPr>
            <w:tcW w:w="0" w:type="dxa"/>
            <w:vAlign w:val="bottom"/>
          </w:tcPr>
          <w:p>
            <w:pPr>
              <w:spacing w:after="0"/>
              <w:rPr>
                <w:sz w:val="1"/>
                <w:szCs w:val="1"/>
                <w:color w:val="auto"/>
              </w:rPr>
            </w:pPr>
          </w:p>
        </w:tc>
      </w:tr>
      <w:tr>
        <w:trPr>
          <w:trHeight w:val="173"/>
        </w:trPr>
        <w:tc>
          <w:tcPr>
            <w:tcW w:w="4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r>
              <w:rPr>
                <w:rFonts w:ascii="Times New Roman" w:cs="Times New Roman" w:eastAsia="Times New Roman" w:hAnsi="Times New Roman"/>
                <w:sz w:val="10"/>
                <w:szCs w:val="10"/>
                <w:color w:val="auto"/>
              </w:rPr>
              <w:t>(3)</w:t>
            </w:r>
          </w:p>
        </w:tc>
        <w:tc>
          <w:tcPr>
            <w:tcW w:w="2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660" w:type="dxa"/>
            <w:vAlign w:val="bottom"/>
            <w:tcBorders>
              <w:right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 Session II</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537,939</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271,400</w:t>
            </w:r>
            <w:r>
              <w:rPr>
                <w:rFonts w:ascii="Times New Roman" w:cs="Times New Roman" w:eastAsia="Times New Roman" w:hAnsi="Times New Roman"/>
                <w:sz w:val="10"/>
                <w:szCs w:val="10"/>
                <w:color w:val="auto"/>
              </w:rPr>
              <w:t>(7)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1,153,690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40"/>
              <w:spacing w:after="0" w:line="232" w:lineRule="exact"/>
              <w:rPr>
                <w:sz w:val="20"/>
                <w:szCs w:val="20"/>
                <w:color w:val="auto"/>
              </w:rPr>
            </w:pPr>
            <w:r>
              <w:rPr>
                <w:rFonts w:ascii="Times New Roman" w:cs="Times New Roman" w:eastAsia="Times New Roman" w:hAnsi="Times New Roman"/>
                <w:sz w:val="14"/>
                <w:szCs w:val="14"/>
                <w:color w:val="auto"/>
              </w:rPr>
              <w:t>173</w:t>
            </w:r>
            <w:r>
              <w:rPr>
                <w:rFonts w:ascii="Times New Roman" w:cs="Times New Roman" w:eastAsia="Times New Roman" w:hAnsi="Times New Roman"/>
                <w:sz w:val="21"/>
                <w:szCs w:val="21"/>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1,963,202</w:t>
            </w:r>
          </w:p>
        </w:tc>
        <w:tc>
          <w:tcPr>
            <w:tcW w:w="0" w:type="dxa"/>
            <w:vAlign w:val="bottom"/>
          </w:tcPr>
          <w:p>
            <w:pPr>
              <w:spacing w:after="0"/>
              <w:rPr>
                <w:sz w:val="1"/>
                <w:szCs w:val="1"/>
                <w:color w:val="auto"/>
              </w:rPr>
            </w:pPr>
          </w:p>
        </w:tc>
      </w:tr>
      <w:tr>
        <w:trPr>
          <w:trHeight w:val="281"/>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Former President, Chief Executive Officer and Director</w:t>
            </w:r>
            <w:r>
              <w:rPr>
                <w:rFonts w:ascii="Times New Roman" w:cs="Times New Roman" w:eastAsia="Times New Roman" w:hAnsi="Times New Roman"/>
                <w:sz w:val="10"/>
                <w:szCs w:val="10"/>
                <w:color w:val="auto"/>
              </w:rPr>
              <w:t>(5)</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542,800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4,028,250</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150</w:t>
            </w:r>
            <w:r>
              <w:rPr>
                <w:rFonts w:ascii="Times New Roman" w:cs="Times New Roman" w:eastAsia="Times New Roman" w:hAnsi="Times New Roman"/>
                <w:sz w:val="21"/>
                <w:szCs w:val="21"/>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4,571,200</w:t>
            </w:r>
          </w:p>
        </w:tc>
        <w:tc>
          <w:tcPr>
            <w:tcW w:w="0" w:type="dxa"/>
            <w:vAlign w:val="bottom"/>
          </w:tcPr>
          <w:p>
            <w:pPr>
              <w:spacing w:after="0"/>
              <w:rPr>
                <w:sz w:val="1"/>
                <w:szCs w:val="1"/>
                <w:color w:val="auto"/>
              </w:rPr>
            </w:pPr>
          </w:p>
        </w:tc>
      </w:tr>
      <w:tr>
        <w:trPr>
          <w:trHeight w:val="124"/>
        </w:trPr>
        <w:tc>
          <w:tcPr>
            <w:tcW w:w="46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Kamran Alam</w:t>
            </w:r>
          </w:p>
        </w:tc>
        <w:tc>
          <w:tcPr>
            <w:tcW w:w="2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2022</w:t>
            </w:r>
          </w:p>
        </w:tc>
        <w:tc>
          <w:tcPr>
            <w:tcW w:w="76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401,700</w:t>
            </w:r>
          </w:p>
        </w:tc>
        <w:tc>
          <w:tcPr>
            <w:tcW w:w="880" w:type="dxa"/>
            <w:vAlign w:val="bottom"/>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color w:val="auto"/>
              </w:rPr>
              <w:t>156,000</w:t>
            </w:r>
            <w:r>
              <w:rPr>
                <w:rFonts w:ascii="Times New Roman" w:cs="Times New Roman" w:eastAsia="Times New Roman" w:hAnsi="Times New Roman"/>
                <w:sz w:val="10"/>
                <w:szCs w:val="10"/>
                <w:color w:val="auto"/>
              </w:rPr>
              <w:t>(7)</w:t>
            </w:r>
          </w:p>
        </w:tc>
        <w:tc>
          <w:tcPr>
            <w:tcW w:w="86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498,215</w:t>
            </w:r>
          </w:p>
        </w:tc>
        <w:tc>
          <w:tcPr>
            <w:tcW w:w="114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136,578</w:t>
            </w:r>
          </w:p>
        </w:tc>
        <w:tc>
          <w:tcPr>
            <w:tcW w:w="126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9,330</w:t>
            </w:r>
            <w:r>
              <w:rPr>
                <w:rFonts w:ascii="Times New Roman" w:cs="Times New Roman" w:eastAsia="Times New Roman" w:hAnsi="Times New Roman"/>
                <w:sz w:val="10"/>
                <w:szCs w:val="10"/>
                <w:color w:val="auto"/>
              </w:rPr>
              <w:t>(8)</w:t>
            </w:r>
          </w:p>
        </w:tc>
        <w:tc>
          <w:tcPr>
            <w:tcW w:w="660" w:type="dxa"/>
            <w:vAlign w:val="bottom"/>
            <w:tcBorders>
              <w:right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1,201,823</w:t>
            </w:r>
          </w:p>
        </w:tc>
        <w:tc>
          <w:tcPr>
            <w:tcW w:w="0" w:type="dxa"/>
            <w:vAlign w:val="bottom"/>
          </w:tcPr>
          <w:p>
            <w:pPr>
              <w:spacing w:after="0"/>
              <w:rPr>
                <w:sz w:val="1"/>
                <w:szCs w:val="1"/>
                <w:color w:val="auto"/>
              </w:rPr>
            </w:pPr>
          </w:p>
        </w:tc>
      </w:tr>
      <w:tr>
        <w:trPr>
          <w:trHeight w:val="173"/>
        </w:trPr>
        <w:tc>
          <w:tcPr>
            <w:tcW w:w="4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390,000</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1,412,006</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5,515</w:t>
            </w:r>
            <w:r>
              <w:rPr>
                <w:rFonts w:ascii="Times New Roman" w:cs="Times New Roman" w:eastAsia="Times New Roman" w:hAnsi="Times New Roman"/>
                <w:sz w:val="10"/>
                <w:szCs w:val="10"/>
                <w:color w:val="auto"/>
              </w:rPr>
              <w:t>(8)</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1,807,521</w:t>
            </w:r>
          </w:p>
        </w:tc>
        <w:tc>
          <w:tcPr>
            <w:tcW w:w="0" w:type="dxa"/>
            <w:vAlign w:val="bottom"/>
          </w:tcPr>
          <w:p>
            <w:pPr>
              <w:spacing w:after="0"/>
              <w:rPr>
                <w:sz w:val="1"/>
                <w:szCs w:val="1"/>
                <w:color w:val="auto"/>
              </w:rPr>
            </w:pPr>
          </w:p>
        </w:tc>
      </w:tr>
      <w:tr>
        <w:trPr>
          <w:trHeight w:val="232"/>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Sukumar Nagendran, MD</w:t>
            </w: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23,542</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1,285,910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54,093</w:t>
            </w:r>
            <w:r>
              <w:rPr>
                <w:rFonts w:ascii="Times New Roman" w:cs="Times New Roman" w:eastAsia="Times New Roman" w:hAnsi="Times New Roman"/>
                <w:sz w:val="10"/>
                <w:szCs w:val="10"/>
                <w:color w:val="auto"/>
              </w:rPr>
              <w:t>(4)</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1,363,545</w:t>
            </w:r>
          </w:p>
        </w:tc>
        <w:tc>
          <w:tcPr>
            <w:tcW w:w="0" w:type="dxa"/>
            <w:vAlign w:val="bottom"/>
          </w:tcPr>
          <w:p>
            <w:pPr>
              <w:spacing w:after="0"/>
              <w:rPr>
                <w:sz w:val="1"/>
                <w:szCs w:val="1"/>
                <w:color w:val="auto"/>
              </w:rPr>
            </w:pPr>
          </w:p>
        </w:tc>
      </w:tr>
      <w:tr>
        <w:trPr>
          <w:trHeight w:val="190"/>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President and Head of Research and Development</w:t>
            </w:r>
            <w:r>
              <w:rPr>
                <w:rFonts w:ascii="Times New Roman" w:cs="Times New Roman" w:eastAsia="Times New Roman" w:hAnsi="Times New Roman"/>
                <w:sz w:val="10"/>
                <w:szCs w:val="10"/>
                <w:color w:val="auto"/>
              </w:rPr>
              <w:t>(9)</w:t>
            </w: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4" w:lineRule="exact"/>
        <w:rPr>
          <w:sz w:val="20"/>
          <w:szCs w:val="20"/>
          <w:color w:val="auto"/>
        </w:rPr>
      </w:pPr>
    </w:p>
    <w:p>
      <w:pPr>
        <w:ind w:left="540" w:right="60" w:hanging="424"/>
        <w:spacing w:after="0" w:line="253"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option awards granted during the year measured pursuant to ASC Topic 718, the basis for computing stock-based compensation in our financial statements. This calculation assumes that the named executive officer will perform the requisite service for the award to vest in full as required by SEC rules. The fair value of each stock option grant is estimated on the date of grant using the Black-Scholes option pricing model. The significant factors and assumptions incorporated in the Black-Scholes-Merton model used to estimate the value of the options are described in Note 8 to our consolidated financial statements included in our Annual Report on Form 10-K (File No. 001-39536) filed with the SEC on March 28, 2023. These amounts do not reflect the actual economic value that will be realized by the named executive officer upon vesting of the stock options, the exercise of the stock options or the sale of the common stock underlying such stock options.</w:t>
      </w:r>
    </w:p>
    <w:p>
      <w:pPr>
        <w:ind w:left="540" w:right="18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w:t>
      </w:r>
    </w:p>
    <w:p>
      <w:pPr>
        <w:jc w:val="both"/>
        <w:ind w:left="540" w:right="10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Nolan’s service with us commenced in December 2022. The 2022 salary reported reflects the pro rata portion of Mr. Nolan’s annual salary of $600,000 earned during 2022 from commencement of his employment through December 31, 2022. Mr. Nolan was not a named executive officer for 2021, and as a result, his compensation for that year has been omitted pursuant to applicable SEC rules and regulations.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earned as a director prior to such executive’s appointment as an executive officer in December 2022.</w:t>
      </w:r>
    </w:p>
    <w:p>
      <w:pPr>
        <w:spacing w:after="0" w:line="9"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Session ceased serving as our President and Chief Executive Officer in December 2022 and as a member of our Board of Directors in March 2023. Mr. Session did not receive any additional compensation in his capacity as a director in 2022 or 2021. The 2022 salary reported reflects the pro rata portion of Mr. Session’s annual salary of $542,800 earned during 2022 through the date on which his service with us as President and Chief Executive Officer concluded.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life insurance premiums for employee benefit.</w:t>
      </w:r>
    </w:p>
    <w:p>
      <w:pPr>
        <w:spacing w:after="0" w:line="9" w:lineRule="exact"/>
        <w:rPr>
          <w:rFonts w:ascii="Times New Roman" w:cs="Times New Roman" w:eastAsia="Times New Roman" w:hAnsi="Times New Roman"/>
          <w:sz w:val="18"/>
          <w:szCs w:val="18"/>
          <w:color w:val="auto"/>
        </w:rPr>
      </w:pPr>
    </w:p>
    <w:p>
      <w:pPr>
        <w:jc w:val="both"/>
        <w:ind w:left="540" w:right="640" w:hanging="424"/>
        <w:spacing w:after="0" w:line="265"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10, 2022, the Compensation Committee approved discretionary performance bonuses, with respect to overall corporate and individual executive achievements in 2021, of $271,400 and $156,000 for each of Messrs. Session and Alam, respectively. With respect to</w:t>
      </w:r>
    </w:p>
    <w:p>
      <w:pPr>
        <w:ind w:left="540"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Session’s performance bonus, the Compensation Committee offered Mr. Session the opportunity, and Mr. Session elected, to receive his bonus in the form of an option to purchase 199,500 shares of our common stock. On March 6, 2023, upon mutual agreement, the option was cancelled and replaced with an award of 251,296 vested shares of the Company’s common stock.</w:t>
      </w:r>
    </w:p>
    <w:p>
      <w:pPr>
        <w:spacing w:after="0" w:line="1"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Company matching contributions to benefit plans (e.g., company 401(k) matching) and life insurance premiums for employee benefit.</w:t>
      </w:r>
    </w:p>
    <w:p>
      <w:pPr>
        <w:spacing w:after="0" w:line="9" w:lineRule="exact"/>
        <w:rPr>
          <w:rFonts w:ascii="Times New Roman" w:cs="Times New Roman" w:eastAsia="Times New Roman" w:hAnsi="Times New Roman"/>
          <w:sz w:val="18"/>
          <w:szCs w:val="18"/>
          <w:color w:val="auto"/>
        </w:rPr>
      </w:pPr>
    </w:p>
    <w:p>
      <w:pPr>
        <w:ind w:left="540" w:right="160" w:hanging="424"/>
        <w:spacing w:after="0" w:line="277" w:lineRule="auto"/>
        <w:tabs>
          <w:tab w:leader="none" w:pos="5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Nagendran’s service with us commenced in December 2022. The 2022 salary reported reflects the pro rata portion of Dr. Nagendran’s annual salary of $565,000 earned during 2022 from commencement of his employment through December 31, 2022. Dr. Nagendran was not a named executive officer for 2021, and as a result, his compensation for that year has been omitted pursuant to applicable SEC rules and regulations.</w:t>
      </w: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left="120" w:right="400"/>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named executive officer’s individual performance.</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With respect to the year ended December 31, 2022, the Compensation Committee approved a base salary of $401,700 for Mr. Alam and determined to not approve changes to the base salaries for Mr. Nolan or Dr. Nagendran.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10, 2022, the Compensation Committee approved discretionary performance bonuses, with respect to overall corporate and individual executive achievements in 2021, of $271,400 and $156,000 for each of Messrs. Session and Alam, respectively. With respect to Mr. Session’s performance bonus, the Compensation Committee offered Mr. Session the opportunity, and Mr. Session elected, to receive his bonus in the form of an option to purchase 199,500 shares of our common stock. As originally granted, 25% of the total number of shares underlying the option would vest and become exercisable on November 10, 2023 and the remainder would vest and become exercisable in 36 equal monthly installments thereafter, subject to Mr. Session’s continuous service through each applicable vesting date. On March 6, 2023, upon mutual agreement, the option was cancelled and replaced with an award of 251,296 vested shares of the Company’s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ind w:left="120" w:right="140"/>
        <w:spacing w:after="0" w:line="271" w:lineRule="auto"/>
        <w:rPr>
          <w:sz w:val="20"/>
          <w:szCs w:val="20"/>
          <w:color w:val="auto"/>
        </w:rPr>
      </w:pPr>
      <w:r>
        <w:rPr>
          <w:rFonts w:ascii="Times New Roman" w:cs="Times New Roman" w:eastAsia="Times New Roman" w:hAnsi="Times New Roman"/>
          <w:sz w:val="17"/>
          <w:szCs w:val="17"/>
          <w:color w:val="auto"/>
        </w:rPr>
        <w:t>Our named executive officers are eligible to receive annual incentive compensation based on the satisfaction of individual and corporate performance objectives established by the Board of Directors. Each named executive officer has a target annual incentive opportunity, calculated as a percentage of annual base salary, and may earn more or less than the target amount based on our company’s and his individual performance. For 2022, the target annual incentive opportunities as a percentage of base salary for our named executive officers were 50% for Mr. Session and 40% for Mr. Alam. The amounts of any annual incentives earned are determined after the end of the year, based on the achievement of the designated corporate and individual performance objectives, and may be paid in cash or equity. The Compensation Committee determined that the percentage attainment of our corporate goals for 2022 was 85% and approved an individual performance achievement payout for Mr. Alam in the amount reflected in the column of the Summary Compensation Table above entitled “Non-Equity Incentive Plan Compensation.” The Compensation Committee used its discretion to award such annual incentive compensation to Mr. Alam as follows, each awarded under the Company’s 2020 Stock Incentive Plan on February 2, 2023:</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to</w:t>
            </w:r>
          </w:p>
        </w:tc>
        <w:tc>
          <w:tcPr>
            <w:tcW w:w="1600" w:type="dxa"/>
            <w:vAlign w:val="bottom"/>
          </w:tcPr>
          <w:p>
            <w:pPr>
              <w:spacing w:after="0"/>
              <w:rPr>
                <w:sz w:val="13"/>
                <w:szCs w:val="13"/>
                <w:color w:val="auto"/>
              </w:rPr>
            </w:pPr>
          </w:p>
        </w:tc>
        <w:tc>
          <w:tcPr>
            <w:tcW w:w="2840" w:type="dxa"/>
            <w:vAlign w:val="bottom"/>
            <w:gridSpan w:val="2"/>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Shares</w:t>
            </w:r>
          </w:p>
        </w:tc>
        <w:tc>
          <w:tcPr>
            <w:tcW w:w="1600" w:type="dxa"/>
            <w:vAlign w:val="bottom"/>
          </w:tcPr>
          <w:p>
            <w:pPr>
              <w:spacing w:after="0"/>
              <w:rPr>
                <w:sz w:val="12"/>
                <w:szCs w:val="12"/>
                <w:color w:val="auto"/>
              </w:rPr>
            </w:pPr>
          </w:p>
        </w:tc>
        <w:tc>
          <w:tcPr>
            <w:tcW w:w="2840" w:type="dxa"/>
            <w:vAlign w:val="bottom"/>
            <w:gridSpan w:val="2"/>
          </w:tcPr>
          <w:p>
            <w:pPr>
              <w:jc w:val="center"/>
              <w:ind w:right="1780"/>
              <w:spacing w:after="0" w:line="149" w:lineRule="exact"/>
              <w:rPr>
                <w:sz w:val="20"/>
                <w:szCs w:val="20"/>
                <w:color w:val="auto"/>
              </w:rPr>
            </w:pPr>
            <w:r>
              <w:rPr>
                <w:rFonts w:ascii="Times New Roman" w:cs="Times New Roman" w:eastAsia="Times New Roman" w:hAnsi="Times New Roman"/>
                <w:sz w:val="14"/>
                <w:szCs w:val="14"/>
                <w:b w:val="1"/>
                <w:bCs w:val="1"/>
                <w:color w:val="auto"/>
              </w:rPr>
              <w:t>Stock Unit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0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1600" w:type="dxa"/>
            <w:vAlign w:val="bottom"/>
          </w:tcPr>
          <w:p>
            <w:pPr>
              <w:spacing w:after="0"/>
              <w:rPr>
                <w:sz w:val="15"/>
                <w:szCs w:val="15"/>
                <w:color w:val="auto"/>
              </w:rPr>
            </w:pPr>
          </w:p>
        </w:tc>
        <w:tc>
          <w:tcPr>
            <w:tcW w:w="284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(“RSU”)</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3"/>
        </w:trPr>
        <w:tc>
          <w:tcPr>
            <w:tcW w:w="8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rPr>
              <w:t>49,846</w:t>
            </w:r>
            <w:r>
              <w:rPr>
                <w:rFonts w:ascii="Times New Roman" w:cs="Times New Roman" w:eastAsia="Times New Roman" w:hAnsi="Times New Roman"/>
                <w:sz w:val="23"/>
                <w:szCs w:val="23"/>
                <w:color w:val="auto"/>
                <w:vertAlign w:val="superscript"/>
              </w:rPr>
              <w:t>(1)</w:t>
            </w:r>
          </w:p>
        </w:tc>
        <w:tc>
          <w:tcPr>
            <w:tcW w:w="1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rPr>
              <w:t>24,923</w:t>
            </w:r>
            <w:r>
              <w:rPr>
                <w:rFonts w:ascii="Times New Roman" w:cs="Times New Roman" w:eastAsia="Times New Roman" w:hAnsi="Times New Roman"/>
                <w:sz w:val="23"/>
                <w:szCs w:val="23"/>
                <w:color w:val="auto"/>
                <w:vertAlign w:val="superscript"/>
              </w:rPr>
              <w:t>(2)</w:t>
            </w:r>
          </w:p>
        </w:tc>
        <w:tc>
          <w:tcPr>
            <w:tcW w:w="1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$136,578</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gridSpan w:val="2"/>
          </w:tcPr>
          <w:p>
            <w:pPr>
              <w:jc w:val="right"/>
              <w:ind w:right="646"/>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302260</wp:posOffset>
            </wp:positionV>
            <wp:extent cx="762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80" w:right="100" w:hanging="532"/>
        <w:spacing w:after="0" w:line="254"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24,923 shares underlying this option are subject to time-based vesting wherein 25% of the shares shall vest and become exercisable on February 2, 2024 and the remainder shall vest and become exercisable in 36 equal monthly installments thereafter, (b) 12,461 shares underlying this option shall vest upon the achievement of the closing price of the Company’s common stock on Nasdaq of at least $4.00 per share on or before December 31, 2023, and (c) the remaining shares underlying this option shall vest only upon the achievement of certain clinical trial milestones, in each case subject to Mr. Alam’s continuous service through each applicable vesting date.</w:t>
      </w:r>
    </w:p>
    <w:p>
      <w:pPr>
        <w:spacing w:after="0" w:line="3"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12,461 shares underlying this RSU shall vest 25% on each of February 2, 2024, February 2, 2025, February 2, 2026 and February 2, 2027 (b) 6,230 shares underlying this RSU shall vest upon the achievement of the closing price of the Company’s common stock on Nasdaq of at least $4.00 per share on or before December 31, 2023, and (c) the remaining shares underlying this RSU shall vest only upon the achievement of certain clinical trial milestones, in each case subject to Mr. Alam’s continuous service through each applicable vesting date.</w:t>
      </w:r>
    </w:p>
    <w:p>
      <w:pPr>
        <w:spacing w:after="0" w:line="187"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Mr. Session was not eligible to receive annual incentive compensation for 2022 as his employment ended in December 2022. Pursuant to their respective executive compensation agreements, Mr. Nolan and Dr. Nagendran did not become eligible for an annual discretionary bonus until calendar year 2023.</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2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 Following the completion of our initial public offering, we grant all equity awards pursuant to our 2020 Stock Incentive Plan.</w:t>
      </w:r>
    </w:p>
    <w:p>
      <w:pPr>
        <w:spacing w:after="0" w:line="16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February 23, 2022, the Compensation Committee granted options to purchase 217,850 and 80,000 shares of our common stock to each of Messrs. Session and Alam, respectively, at a per-share exercise price of $5.96. Each option vested and became exercisable as to 25% of the total number of shares underlying the option on February 23, 2023, and the remainder will vest and become exercisable in 36 substantially equal monthly installments thereafter, subject to each named executive officer’s continuous service to us through each applicable vesting date.</w:t>
      </w:r>
    </w:p>
    <w:p>
      <w:pPr>
        <w:spacing w:after="0" w:line="180"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April 6, 2022, the Compensation Committee granted options to purchase 40,000 shares of our common stock to Mr. Alam at a per-share exercise price of $6.52. The option vested and became exercisable as to 25% of the total number of shares underlying the option on April 6, 2023 and the remainder will best and become exercisable in 36 equal monthly installments thereafter, subject to Mr. Alam’s continuous service to us through each applicable vesting date.</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Mr. Nolan and Dr. Nagendran’s service with us commenced in December 2022. In connection with their service as non-employee directors prior to their respective appointments, on June 17, 2022 Mr. Nolan and Dr. Nagendran each received a grant of options to purchase 15,500 shares of common stock at a per-share exercise price of $2.81. The shares shall vest on the earlier of June 17, 2023 and the Annual Meeting. In accordance with their respective employment agreements, on December 30, 2022 the Compensation Committee granted Mr. Nolan and Dr. Nagendran options to purchase 1,106,131 and 790,093 shares of common stock at a per-share exercise price of $2.26. 25% of the shares subject to each option vest on December 16, 2023, and the remaining shares vest in 36 equal monthly installments thereafter, subject to each named executive officer’s continuous service to us through each applicable vesting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2022. All awards listed in the below table were granted under our 2020 Stock Incentive Plan, with the exception of the April 2020 award to Mr. Session, which was granted under our 2020 Equity Incentive Plan.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tcBorders>
              <w:top w:val="single" w:sz="8" w:color="auto"/>
            </w:tcBorders>
            <w:gridSpan w:val="2"/>
          </w:tcPr>
          <w:p>
            <w:pPr>
              <w:jc w:val="center"/>
              <w:ind w:right="39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vMerge w:val="continue"/>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5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40" w:type="dxa"/>
            <w:vAlign w:val="bottom"/>
            <w:gridSpan w:val="2"/>
          </w:tcPr>
          <w:p>
            <w:pPr>
              <w:jc w:val="center"/>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13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Sean Nolan</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9/23/2020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23,250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7,750</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2"/>
              </w:rPr>
              <w:t>(3)</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9/22/2030</w:t>
            </w:r>
          </w:p>
        </w:tc>
        <w:tc>
          <w:tcPr>
            <w:tcW w:w="4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6/17/2021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15,500</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6/16/2031</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6/17/2022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15,500</w:t>
            </w:r>
            <w:r>
              <w:rPr>
                <w:rFonts w:ascii="Times New Roman" w:cs="Times New Roman" w:eastAsia="Times New Roman" w:hAnsi="Times New Roman"/>
                <w:sz w:val="25"/>
                <w:szCs w:val="25"/>
                <w:color w:val="auto"/>
                <w:vertAlign w:val="superscript"/>
              </w:rPr>
              <w:t>(4)</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6/16/2032</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12/30/2022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1,106,131</w:t>
            </w:r>
            <w:r>
              <w:rPr>
                <w:rFonts w:ascii="Times New Roman" w:cs="Times New Roman" w:eastAsia="Times New Roman" w:hAnsi="Times New Roman"/>
                <w:sz w:val="25"/>
                <w:szCs w:val="25"/>
                <w:color w:val="auto"/>
                <w:vertAlign w:val="superscript"/>
              </w:rPr>
              <w:t>(5)</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12/29/2032</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6"/>
                <w:szCs w:val="16"/>
                <w:color w:val="auto"/>
              </w:rPr>
              <w:t>RA Session II</w:t>
            </w:r>
            <w:r>
              <w:rPr>
                <w:rFonts w:ascii="Times New Roman" w:cs="Times New Roman" w:eastAsia="Times New Roman" w:hAnsi="Times New Roman"/>
                <w:sz w:val="22"/>
                <w:szCs w:val="22"/>
                <w:color w:val="auto"/>
                <w:vertAlign w:val="superscript"/>
              </w:rPr>
              <w:t>(6)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4/1/2020</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6"/>
                <w:szCs w:val="16"/>
                <w:color w:val="auto"/>
              </w:rPr>
              <w:t>85,494</w:t>
            </w:r>
            <w:r>
              <w:rPr>
                <w:rFonts w:ascii="Times New Roman" w:cs="Times New Roman" w:eastAsia="Times New Roman" w:hAnsi="Times New Roman"/>
                <w:sz w:val="22"/>
                <w:szCs w:val="22"/>
                <w:color w:val="auto"/>
                <w:vertAlign w:val="superscript"/>
              </w:rPr>
              <w:t>(7)</w:t>
            </w:r>
          </w:p>
        </w:tc>
        <w:tc>
          <w:tcPr>
            <w:tcW w:w="116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193,216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1/19/2021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95,689</w:t>
            </w:r>
          </w:p>
        </w:tc>
        <w:tc>
          <w:tcPr>
            <w:tcW w:w="1340" w:type="dxa"/>
            <w:vAlign w:val="bottom"/>
            <w:gridSpan w:val="2"/>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104,011</w:t>
            </w:r>
            <w:r>
              <w:rPr>
                <w:rFonts w:ascii="Times New Roman" w:cs="Times New Roman" w:eastAsia="Times New Roman" w:hAnsi="Times New Roman"/>
                <w:sz w:val="25"/>
                <w:szCs w:val="25"/>
                <w:color w:val="auto"/>
                <w:vertAlign w:val="superscript"/>
              </w:rPr>
              <w:t>(8)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w:t>
            </w:r>
          </w:p>
        </w:tc>
        <w:tc>
          <w:tcPr>
            <w:tcW w:w="134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1/18/2031</w:t>
            </w:r>
            <w:r>
              <w:rPr>
                <w:rFonts w:ascii="Times New Roman" w:cs="Times New Roman" w:eastAsia="Times New Roman" w:hAnsi="Times New Roman"/>
                <w:sz w:val="25"/>
                <w:szCs w:val="25"/>
                <w:color w:val="auto"/>
                <w:vertAlign w:val="superscript"/>
              </w:rPr>
              <w:t>(6)</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2/23/2022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217,850</w:t>
            </w:r>
            <w:r>
              <w:rPr>
                <w:rFonts w:ascii="Times New Roman" w:cs="Times New Roman" w:eastAsia="Times New Roman" w:hAnsi="Times New Roman"/>
                <w:sz w:val="25"/>
                <w:szCs w:val="25"/>
                <w:color w:val="auto"/>
                <w:vertAlign w:val="superscript"/>
              </w:rPr>
              <w:t>(9)</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40" w:type="dxa"/>
            <w:vAlign w:val="bottom"/>
            <w:gridSpan w:val="2"/>
          </w:tcPr>
          <w:p>
            <w:pPr>
              <w:jc w:val="right"/>
              <w:ind w:right="300"/>
              <w:spacing w:after="0" w:line="216" w:lineRule="exact"/>
              <w:rPr>
                <w:sz w:val="20"/>
                <w:szCs w:val="20"/>
                <w:color w:val="auto"/>
              </w:rPr>
            </w:pPr>
            <w:r>
              <w:rPr>
                <w:rFonts w:ascii="Times New Roman" w:cs="Times New Roman" w:eastAsia="Times New Roman" w:hAnsi="Times New Roman"/>
                <w:sz w:val="17"/>
                <w:szCs w:val="17"/>
                <w:color w:val="auto"/>
              </w:rPr>
              <w:t>2/22/2032</w:t>
            </w:r>
            <w:r>
              <w:rPr>
                <w:rFonts w:ascii="Times New Roman" w:cs="Times New Roman" w:eastAsia="Times New Roman" w:hAnsi="Times New Roman"/>
                <w:sz w:val="25"/>
                <w:szCs w:val="25"/>
                <w:color w:val="auto"/>
                <w:vertAlign w:val="superscript"/>
              </w:rPr>
              <w:t>(6)</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11/10/2022</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73"/>
              <w:spacing w:after="0" w:line="235" w:lineRule="exact"/>
              <w:rPr>
                <w:sz w:val="20"/>
                <w:szCs w:val="20"/>
                <w:color w:val="auto"/>
              </w:rPr>
            </w:pPr>
            <w:r>
              <w:rPr>
                <w:rFonts w:ascii="Times New Roman" w:cs="Times New Roman" w:eastAsia="Times New Roman" w:hAnsi="Times New Roman"/>
                <w:sz w:val="18"/>
                <w:szCs w:val="18"/>
                <w:color w:val="auto"/>
              </w:rPr>
              <w:t>199,500</w:t>
            </w:r>
            <w:r>
              <w:rPr>
                <w:rFonts w:ascii="Times New Roman" w:cs="Times New Roman" w:eastAsia="Times New Roman" w:hAnsi="Times New Roman"/>
                <w:sz w:val="26"/>
                <w:szCs w:val="26"/>
                <w:color w:val="auto"/>
                <w:vertAlign w:val="superscript"/>
              </w:rPr>
              <w:t>(10)</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340" w:type="dxa"/>
            <w:vAlign w:val="bottom"/>
            <w:gridSpan w:val="2"/>
          </w:tcPr>
          <w:p>
            <w:pPr>
              <w:jc w:val="right"/>
              <w:ind w:right="220"/>
              <w:spacing w:after="0" w:line="235" w:lineRule="exact"/>
              <w:rPr>
                <w:sz w:val="20"/>
                <w:szCs w:val="20"/>
                <w:color w:val="auto"/>
              </w:rPr>
            </w:pPr>
            <w:r>
              <w:rPr>
                <w:rFonts w:ascii="Times New Roman" w:cs="Times New Roman" w:eastAsia="Times New Roman" w:hAnsi="Times New Roman"/>
                <w:sz w:val="18"/>
                <w:szCs w:val="18"/>
                <w:color w:val="auto"/>
              </w:rPr>
              <w:t>11/9/2032</w:t>
            </w:r>
            <w:r>
              <w:rPr>
                <w:rFonts w:ascii="Times New Roman" w:cs="Times New Roman" w:eastAsia="Times New Roman" w:hAnsi="Times New Roman"/>
                <w:sz w:val="26"/>
                <w:szCs w:val="26"/>
                <w:color w:val="auto"/>
                <w:vertAlign w:val="superscript"/>
              </w:rPr>
              <w:t>(10)</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Kamran Alam</w:t>
            </w:r>
          </w:p>
        </w:tc>
        <w:tc>
          <w:tcPr>
            <w:tcW w:w="12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09/23/2020</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33,541</w:t>
            </w:r>
          </w:p>
        </w:tc>
        <w:tc>
          <w:tcPr>
            <w:tcW w:w="1340" w:type="dxa"/>
            <w:vAlign w:val="bottom"/>
            <w:gridSpan w:val="2"/>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36,459</w:t>
            </w:r>
            <w:r>
              <w:rPr>
                <w:rFonts w:ascii="Times New Roman" w:cs="Times New Roman" w:eastAsia="Times New Roman" w:hAnsi="Times New Roman"/>
                <w:sz w:val="26"/>
                <w:szCs w:val="26"/>
                <w:color w:val="auto"/>
                <w:vertAlign w:val="superscript"/>
              </w:rPr>
              <w:t>(8)</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31.00</w:t>
            </w:r>
          </w:p>
        </w:tc>
        <w:tc>
          <w:tcPr>
            <w:tcW w:w="134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1/18/2031</w:t>
            </w:r>
          </w:p>
        </w:tc>
        <w:tc>
          <w:tcPr>
            <w:tcW w:w="158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165,561</w:t>
            </w:r>
            <w:r>
              <w:rPr>
                <w:rFonts w:ascii="Times New Roman" w:cs="Times New Roman" w:eastAsia="Times New Roman" w:hAnsi="Times New Roman"/>
                <w:sz w:val="25"/>
                <w:szCs w:val="25"/>
                <w:color w:val="auto"/>
                <w:vertAlign w:val="superscript"/>
              </w:rPr>
              <w:t>(11)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374,168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01/19/2021</w:t>
            </w:r>
          </w:p>
        </w:tc>
        <w:tc>
          <w:tcPr>
            <w:tcW w:w="98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02/23/2022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80,000</w:t>
            </w:r>
            <w:r>
              <w:rPr>
                <w:rFonts w:ascii="Times New Roman" w:cs="Times New Roman" w:eastAsia="Times New Roman" w:hAnsi="Times New Roman"/>
                <w:sz w:val="25"/>
                <w:szCs w:val="25"/>
                <w:color w:val="auto"/>
                <w:vertAlign w:val="superscript"/>
              </w:rPr>
              <w:t>(9)</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2/22/2032</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04/6/2022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5"/>
                <w:szCs w:val="25"/>
                <w:color w:val="auto"/>
                <w:vertAlign w:val="superscript"/>
              </w:rPr>
              <w:t>(12)</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4/5/2032</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Sukumar Nagendran</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9/2/2020</w:t>
            </w:r>
          </w:p>
        </w:tc>
        <w:tc>
          <w:tcPr>
            <w:tcW w:w="9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4,936</w:t>
            </w:r>
          </w:p>
        </w:tc>
        <w:tc>
          <w:tcPr>
            <w:tcW w:w="1340" w:type="dxa"/>
            <w:vAlign w:val="bottom"/>
            <w:gridSpan w:val="2"/>
          </w:tcPr>
          <w:p>
            <w:pPr>
              <w:jc w:val="right"/>
              <w:ind w:right="173"/>
              <w:spacing w:after="0" w:line="198" w:lineRule="exact"/>
              <w:rPr>
                <w:sz w:val="20"/>
                <w:szCs w:val="20"/>
                <w:color w:val="auto"/>
              </w:rPr>
            </w:pPr>
            <w:r>
              <w:rPr>
                <w:rFonts w:ascii="Times New Roman" w:cs="Times New Roman" w:eastAsia="Times New Roman" w:hAnsi="Times New Roman"/>
                <w:sz w:val="16"/>
                <w:szCs w:val="16"/>
                <w:color w:val="auto"/>
              </w:rPr>
              <w:t>3,235</w:t>
            </w:r>
            <w:r>
              <w:rPr>
                <w:rFonts w:ascii="Times New Roman" w:cs="Times New Roman" w:eastAsia="Times New Roman" w:hAnsi="Times New Roman"/>
                <w:sz w:val="22"/>
                <w:szCs w:val="22"/>
                <w:color w:val="auto"/>
                <w:vertAlign w:val="superscript"/>
              </w:rPr>
              <w:t>(13)</w:t>
            </w:r>
          </w:p>
        </w:tc>
        <w:tc>
          <w:tcPr>
            <w:tcW w:w="7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14.90</w:t>
            </w:r>
          </w:p>
        </w:tc>
        <w:tc>
          <w:tcPr>
            <w:tcW w:w="134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9/2/2030</w:t>
            </w: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09/23/2020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23,250</w:t>
            </w:r>
          </w:p>
        </w:tc>
        <w:tc>
          <w:tcPr>
            <w:tcW w:w="1340" w:type="dxa"/>
            <w:vAlign w:val="bottom"/>
            <w:gridSpan w:val="2"/>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7,750</w:t>
            </w:r>
            <w:r>
              <w:rPr>
                <w:rFonts w:ascii="Times New Roman" w:cs="Times New Roman" w:eastAsia="Times New Roman" w:hAnsi="Times New Roman"/>
                <w:sz w:val="25"/>
                <w:szCs w:val="25"/>
                <w:color w:val="auto"/>
                <w:vertAlign w:val="superscript"/>
              </w:rPr>
              <w:t>(3)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9/23/2030</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6/17/2021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15,500</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6/16/2031</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6/17/2022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15,500</w:t>
            </w:r>
            <w:r>
              <w:rPr>
                <w:rFonts w:ascii="Times New Roman" w:cs="Times New Roman" w:eastAsia="Times New Roman" w:hAnsi="Times New Roman"/>
                <w:sz w:val="25"/>
                <w:szCs w:val="25"/>
                <w:color w:val="auto"/>
                <w:vertAlign w:val="superscript"/>
              </w:rPr>
              <w:t>(4)</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6/16/2032</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12/30/2022</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790,093</w:t>
            </w:r>
            <w:r>
              <w:rPr>
                <w:rFonts w:ascii="Times New Roman" w:cs="Times New Roman" w:eastAsia="Times New Roman" w:hAnsi="Times New Roman"/>
                <w:sz w:val="26"/>
                <w:szCs w:val="26"/>
                <w:color w:val="auto"/>
                <w:vertAlign w:val="superscript"/>
              </w:rPr>
              <w:t>(5)</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12/29/2032</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540" w:right="140" w:hanging="424"/>
        <w:spacing w:after="0" w:line="257"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listed in the table were granted with a per share exercise price equal to or above the estimated fair market value of our common stock on the date of grant. The fair market value of one share of common stock is determined to be equal to the closing price of our common stock on the Nasdaq Global Market on the date of grant (or the closing price on the last preceding date for which such quotation exists).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common stock is based on the closing price of our common stock on the Nasdaq Global Market on December 31, 2022.</w:t>
      </w:r>
    </w:p>
    <w:p>
      <w:pPr>
        <w:spacing w:after="0" w:line="9" w:lineRule="exact"/>
        <w:rPr>
          <w:rFonts w:ascii="Times New Roman" w:cs="Times New Roman" w:eastAsia="Times New Roman" w:hAnsi="Times New Roman"/>
          <w:sz w:val="18"/>
          <w:szCs w:val="18"/>
          <w:color w:val="auto"/>
        </w:rPr>
      </w:pPr>
    </w:p>
    <w:p>
      <w:pPr>
        <w:ind w:left="540" w:right="76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option vest and become exercisable in 36 equal monthly installments, subject to the named executive officer’s continuous service through each applicable vesting date.</w:t>
      </w:r>
    </w:p>
    <w:p>
      <w:pPr>
        <w:ind w:left="540" w:right="8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option vest on the earlier of June 17, 2023 and the Annual Meeting, subject to the named executive officer’s continuous service through each applicable vesting date.</w:t>
      </w: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number of shares underlying the option shall vest and become exercisable on December 16, 2023 and the remainder shall vest and become exercisable in 36 equal monthly installments thereafter, subject to the named executive officer’s continuous service through each applicable vesting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Session ceased serving as our President and Chief Executive Officer in December 2022 and as a member of our Board of Directors in March 2023. Pursuant to the terms of his separation agreement, all equity awards ceased vesting upon his departure from the Board of Directors. Pursuant to the terms of our 2020 Stock Incentive Plan, (i) Mr. Session may exercise outstanding options for a period of three months following cessation of his continuous service with the Company, and (ii) unvested portions of any restricted stock awards held by Mr. Session were forfeited.</w:t>
      </w:r>
    </w:p>
    <w:p>
      <w:pPr>
        <w:spacing w:after="0" w:line="1" w:lineRule="exact"/>
        <w:rPr>
          <w:rFonts w:ascii="Times New Roman" w:cs="Times New Roman" w:eastAsia="Times New Roman" w:hAnsi="Times New Roman"/>
          <w:sz w:val="18"/>
          <w:szCs w:val="18"/>
          <w:color w:val="auto"/>
        </w:rPr>
      </w:pPr>
    </w:p>
    <w:p>
      <w:pPr>
        <w:ind w:left="540" w:right="30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restricted common stock award vested, with respect to 33% of the award on April 1, 2021, and the remaining shares vest in 24 equal monthly installments, subject to Mr. Session’s continuous service through each applicable vesting date. See Note 6 regarding Mr. Session’s outstanding equity awards.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hanging="424"/>
        <w:spacing w:after="0" w:line="257"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number of shares underlying the option vested and became exercisable on January 19, 2022 and the remainder shall vest and become exercisable in 36 equal monthly installments thereafter, subject to the named executive officer’s continuous service through each applicable vesting date. See Note 6 regarding Mr. Session’s outstanding equity awards.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number of shares underlying the option vested and became exercisable on February 23, 2023 and the remainder shall vest and become exercisable in 36 equal monthly installments thereafter, subject to the named executive officer’s continuous service through each applicable vesting date. See Note 6 regarding Mr. Session’s outstanding equity awards.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10, 2022, the Compensation Committee in its discretion approved a $271,400 performance bonus for Mr. Session. The Compensation Committee offered Mr. Session the opportunity to receive his bonus in the form of an option to purchase 199,500 shares of the Company’s common stock. As originally granted, 25% of the total number of shares underlying the option would vest and become exercisable on November 10, 2023 and the remainder would vest and become exercisable in 36 equal monthly installments thereafter, subject to Mr. Session’s continuous service through each applicable vesting date. On March 6, 2023, upon mutual agreement, the option was cancelled and replaced with an award of 251,296 vested shares of the Company’s common stock.</w:t>
      </w:r>
    </w:p>
    <w:p>
      <w:pPr>
        <w:spacing w:after="0" w:line="2"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restricted stock unit vest in four equal annual installments on each of August 17, 2021, August 17, 2022, August 17, 2023 and August 17, 2024, subject to the named executive officer’s continuous service as of each such vesting date.</w:t>
      </w:r>
    </w:p>
    <w:p>
      <w:pPr>
        <w:ind w:left="540" w:right="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number of shares underlying the option vested and became exercisable on April 6, 2023 and the remainder shall vest and become exercisable in 36 equal monthly installments thereafter, subject to the named executive officer’s continuous service through each applicable vesting date.</w:t>
      </w:r>
    </w:p>
    <w:p>
      <w:pPr>
        <w:spacing w:after="0" w:line="1"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number of shares underlying the option vested and became exercisable on July 28, 2021, with the remaining shares vesting in equal monthly installments thereafter, subject to the named executive officer’s continuous service through each applicable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 and Other Compensation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retirement or deferred compensation plan sponsored by us during 2022 other than our 401(k) plan described below. During 2022, our named executive officers were eligible to participate in our employee benefit plans on the same basis offered to our employees generally, including health insurance and group life insurance benefits.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maintain a 401(k) plan that is intended to qualify as a tax-qualified plan under Section 401 of the U.S. Internal Revenue Code of 1986, as amended, or the Code, which our named executive officers are eligible to participate in on the same basis as our other employees. Eligible employees may make voluntary contributions from their eligible pay, up to certain applicable annual limits set by the Code. The 401(k) plan is intended to be qualified under Section 401(a) of the Code with the 401(k) plan’s related trust intended to be tax exempt under Section 501(a) of the Code. We may make discretionary matching contributions of 100% of employee contributions, up to an annual maximum of 3% of eligible compensation per calendar year for each employee. We generally do not provide perquisites or personal benefits except in very limited circumstances, and we did not provide any perquisites to our named executive officers in 2022.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with Mr. Nolan</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entered into an executive employment agreement with Mr. Nolan, which reflects an initial annual base salary of $600,000, which is subject to adjustment at the discretion of the Board of Directors, and an annual bonus target equal to 60% of Mr. Nolan’s base salary to be awarded based upon the achievement of individual and company performance goals as determined by our Board of Directors.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executive employment agreement, if we terminate Mr. Nolan’s employment without “Cause,” or if Mr. Nolan terminates his employment for “Good Reason” (each, as defined in the executive employment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agreement), he will be entitled to continued payment of his base salary for twelve (12) months and payment or reimbursement of COBRA premiums for twelve (12) months or, if earlier, the date when he becomes eligible for substantially equivalent health insurance coverage in connection with new employment. Such severance benefits are conditioned upon Mr. Nolan’s execution of and compliance with an effective and irrevocable general release, compliance with certain non-competition and non-solicitation obligations, resignation from all positions with us and return of all our property. The executive employment agreement further provides that Mr. Nolan is entitled to severance benefits described in “—Potential Payments Upon Termination or Change in Control”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and Restated Employment Agreement with Mr. Session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previously entered into an amended and restated executive employment agreement with Mr. Session, which reflected an initial annual base salary of $542,800, which was subject to adjustment at the discretion of our Board of Directors, and an annual bonus target equal to 50% of Mr. Session’s annual base salary, which was to be awarded based upon the achievement of individual and company performance goals as determined by our Board of Directors.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amended and restated executive employment agreement, if we had terminated Mr. Session’s employment without “Cause,” or if</w:t>
      </w:r>
    </w:p>
    <w:p>
      <w:pPr>
        <w:spacing w:after="0" w:line="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Session had terminated his employment for “good reason” (each, as defined in the executive employment agreement), he would have been entitled to continued payment of his base salary for 12 months and his then-outstanding equity awards would have vested in full. Such severance and acceleration benefits were conditioned upon Mr. Session’s execution of and compliance with an effective and irrevocable general release, compliance with certain non-competition and non-solicitation obligations, resignation from all positions with us and return of all our property.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Separation Agreement with Mr. Session</w:t>
      </w:r>
    </w:p>
    <w:p>
      <w:pPr>
        <w:spacing w:after="0" w:line="11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On December 16, 2022, Mr. Session, resigned from his operating role, effective immediately. In connection with his resignation, we entered into a separation agreement with Mr. Session, dated as of March 7, 2023 (the “Separation Agreement”), providing for the terms of Mr. Session’s separation from employment with the Company. Under the Separation Agreement, we have agreed, provided that Mr. Session does not revoke the Separation Agreement, to provide Mr. Session with the following separation payments and benefits (i) salary continuation payments, in an aggregate amount equal to his annualized base salary as of the Separation Date payable on the Company’s regular payroll commencing on the first payroll run occurring on or after March 15, 2023, and continuing for 12 months thereafter, less all applicable taxes and withholdings; and (ii) subject to Mr. Session’s election of COBRA, payment of the premiums for group health and/or dental insurance coverage under COBRA until the earlier of (a) December 31, 2023, (b) the date on which Mr. Session becomes eligible to receive group health insurance coverage through another employer, or (c) the date Mr. Session to be eligible for COBRA continuation coverage for any reason. The Separation Agreement contains mutual releases, subject to customary exceptions, and mutual covenants not to disparage.</w:t>
      </w:r>
    </w:p>
    <w:p>
      <w:pPr>
        <w:spacing w:after="0" w:line="19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Mr. Session’s execution of the Separation Agreement, the Compensation Committee awarded Mr. Session 251,296 vested shares of the Company’s common stock, which replaced the canceled award of an option to purchase 199,500 shares of the Company’s common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and Restated Offer Letter with Mr. Alam</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have entered into an amended and restated offer letter with Mr. Alam. The amended and restated offer letter reflects an initial annual base salary of $390,000, which is subject to adjustment at the discretion of our Board of Directors, and an annual bonus target equal to 40% of Mr. Alam’s annual base salary to be awarded based upon the achievement of individual and company performance goals as determined by our Board of Directors.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Pursuant to the amended and restated offer letter, if we terminate Mr. Alam’s employment without “Cause,” or if Mr. Alam terminates his employment for “good reason” (each, as defined in the amended and restated offer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letter), he will be entitled to continued payment of his base salary for 12 months. Such severance benefits are conditioned upon the Mr. Alam’s execution of and compliance with an effective and irrevocable general release, compliance with certain non-competition and non-solicitation obligations, resignation from all positions with us and return of all our property. The amended and restated offer letter further provides that Mr. Alam is entitled to the severance benefits described in “—Potential Payments Upon Termination or Change in Control”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Agreement with Sukumar Nagendran, M.D.</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entered into an executive employment agreement with Dr. Nagendran, which reflects an initial annual base salary of $565,000, which is subject to adjustment at the discretion of the Board of Directors, and an annual bonus target equal to 50% of Dr. Nagendran’s base salary to be awarded based upon the achievement of individual and company performance goals as determined by our Board of Directors.</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Pursuant to the executive employment agreement, if we terminate Dr. Nagendran’s employment without “Cause,” or if Dr. Nagendran terminates his employment for “Good Reason” (each, as defined in the executive employment agreement), he will be entitled to continued payment of his base salary for twelve (12) months and payment or reimbursement of COBRA premiums for twelve (12) months or, if earlier, the date when he becomes eligible for substantially equivalent health insurance coverage in connection with new employment. Such severance benefits are conditioned upon Dr. Nagendran’s execution of and compliance with an effective and irrevocable general release, compliance with certain non-competition and non-solicitation obligations, resignation from all positions with us and return of all our property. The executive employment agreement further provides that Dr. Nagendran is entitled to severance benefits described in “—Potential Payments Upon Termination or Change in Control”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severance benefits under the terms of our Change in Control Severance Plan adopted by the Board of Directors in September 2020.</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Change in Control Severance Plan provides for severance benefits upon a “covered termination” that occurs during a “change in control period” (each as described below). Upon a covered termination that occurs during a change in control period, participants will be entitled to a lump sum payment equal to the participant’s base salary for a specified period (18 months for Mr. Nolan, 15 months for Dr. Nagendran and 12 months Mr. Alam), a lump sum payment equal to a multiple of the participant’s target annual bonus (150% for Mr. Nolan and 100% for each of Dr. Nagendran and</w:t>
      </w:r>
    </w:p>
    <w:p>
      <w:pPr>
        <w:spacing w:after="0" w:line="3" w:lineRule="exact"/>
        <w:rPr>
          <w:sz w:val="20"/>
          <w:szCs w:val="20"/>
          <w:color w:val="auto"/>
        </w:rPr>
      </w:pPr>
    </w:p>
    <w:p>
      <w:pPr>
        <w:jc w:val="both"/>
        <w:ind w:left="120" w:right="180"/>
        <w:spacing w:after="0" w:line="290" w:lineRule="auto"/>
        <w:rPr>
          <w:sz w:val="20"/>
          <w:szCs w:val="20"/>
          <w:color w:val="auto"/>
        </w:rPr>
      </w:pPr>
      <w:r>
        <w:rPr>
          <w:rFonts w:ascii="Times New Roman" w:cs="Times New Roman" w:eastAsia="Times New Roman" w:hAnsi="Times New Roman"/>
          <w:sz w:val="17"/>
          <w:szCs w:val="17"/>
          <w:color w:val="auto"/>
        </w:rPr>
        <w:t>Mr. Alam), payment of continued group health benefits for a period of months (18 months for Mr. Nolan, 15 months for Dr. Nagendran and 12 months for Mr. Alam) and full accelerated vesting of all outstanding equity awards (including performance-based awards, which shall vest at 100% of target).</w:t>
      </w:r>
    </w:p>
    <w:p>
      <w:pPr>
        <w:spacing w:after="0" w:line="15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All severance benefits under the Change in Control Severance Plan are subject to the participant’s execution of an effective release of claims against the company and compliance with the terms of any confidential information agreement, proprietary information and inventions agreement and any other agreement between the participant and the Company. For purposes of the Change in Control Severance Plan, a “covered termination” is a termination of employment by the Company without “Cause,” as defined in the Change in Control Severance Plan, or as a result of the participant’s resignation for “good reason,” as defined in the Change in Control Severance Plan, in either case, not as a result of death or disability. For purposes of the Change in Control Severance Plan, a “change in control period” is the period of time beginning on the date on which a “change in control,” as defined in the 2020 Stock Incentive Plan, becomes effective (or, in the case of Mr. Nolan and Dr. Nagendran, the period beginning three months prior to the date on which a change in control becomes effective) and ending on the first anniversary of the effective date of such change in control.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2022 certain information with respect to the compensation of our non-employee directors. RA Session II, our former President and Chief Executive Officer, was also a member of our Board of Directors during fiscal year 2022 but did not receive any additional compensation for service as a director. Compensation information for Sean Nolan and Sukumar Nagendran is set forth in “Executive Compensation” above.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Fees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1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20" w:type="dxa"/>
            <w:vAlign w:val="bottom"/>
            <w:gridSpan w:val="2"/>
            <w:vMerge w:val="continue"/>
          </w:tcPr>
          <w:p>
            <w:pPr>
              <w:spacing w:after="0"/>
              <w:rPr>
                <w:sz w:val="12"/>
                <w:szCs w:val="12"/>
                <w:color w:val="auto"/>
              </w:rPr>
            </w:pP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18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3"/>
                <w:szCs w:val="13"/>
                <w:color w:val="auto"/>
              </w:rPr>
            </w:pPr>
          </w:p>
        </w:tc>
        <w:tc>
          <w:tcPr>
            <w:tcW w:w="700" w:type="dxa"/>
            <w:vAlign w:val="bottom"/>
          </w:tcPr>
          <w:p>
            <w:pPr>
              <w:ind w:left="12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(1)(2)</w:t>
            </w:r>
          </w:p>
        </w:tc>
        <w:tc>
          <w:tcPr>
            <w:tcW w:w="420" w:type="dxa"/>
            <w:vAlign w:val="bottom"/>
          </w:tcPr>
          <w:p>
            <w:pPr>
              <w:spacing w:after="0"/>
              <w:rPr>
                <w:sz w:val="13"/>
                <w:szCs w:val="13"/>
                <w:color w:val="auto"/>
              </w:rPr>
            </w:pPr>
          </w:p>
        </w:tc>
        <w:tc>
          <w:tcPr>
            <w:tcW w:w="66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Phillip B. Donenberg</w:t>
            </w:r>
          </w:p>
        </w:tc>
        <w:tc>
          <w:tcPr>
            <w:tcW w:w="76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55,000</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rPr>
              <w:t>29,140</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84,140</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43,000</w:t>
            </w:r>
          </w:p>
        </w:tc>
        <w:tc>
          <w:tcPr>
            <w:tcW w:w="40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29,140</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72,140</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Reape, M.D.</w:t>
            </w: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43,076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29,140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72,216</w:t>
            </w:r>
          </w:p>
        </w:tc>
        <w:tc>
          <w:tcPr>
            <w:tcW w:w="0" w:type="dxa"/>
            <w:vAlign w:val="bottom"/>
          </w:tcPr>
          <w:p>
            <w:pPr>
              <w:spacing w:after="0"/>
              <w:rPr>
                <w:sz w:val="1"/>
                <w:szCs w:val="1"/>
                <w:color w:val="auto"/>
              </w:rPr>
            </w:pPr>
          </w:p>
        </w:tc>
      </w:t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Sepp-Lorenzino, Ph.D.</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44,538</w:t>
            </w:r>
          </w:p>
        </w:tc>
        <w:tc>
          <w:tcPr>
            <w:tcW w:w="40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29,140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82550</wp:posOffset>
            </wp:positionV>
            <wp:extent cx="7626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46" w:lineRule="exact"/>
        <w:rPr>
          <w:sz w:val="20"/>
          <w:szCs w:val="20"/>
          <w:color w:val="auto"/>
        </w:rPr>
      </w:pPr>
    </w:p>
    <w:p>
      <w:pPr>
        <w:ind w:left="1080" w:hanging="532"/>
        <w:spacing w:after="0" w:line="253"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stock options granted under our 2020 Stock Incentive Plan, computed in accordance with ASC Topic 718. The fair value of each stock option grant is estimated on the date of grant using the Black-Scholes option pricing model. The significant factors and assumptions incorporated in the Black-Scholes-Merton model used to estimate the value of the options are described in Note 8 to our consolidated financial statements included in our Annual Report on Form 10-K (File No. 001-39536) filed with the SEC on March 28, 2023. This amount does not reflect the actual economic value that may be realized by such director.</w:t>
      </w:r>
    </w:p>
    <w:p>
      <w:pPr>
        <w:spacing w:after="0" w:line="5" w:lineRule="exact"/>
        <w:rPr>
          <w:rFonts w:ascii="Times New Roman" w:cs="Times New Roman" w:eastAsia="Times New Roman" w:hAnsi="Times New Roman"/>
          <w:sz w:val="18"/>
          <w:szCs w:val="18"/>
          <w:color w:val="auto"/>
        </w:rPr>
      </w:pPr>
    </w:p>
    <w:p>
      <w:pPr>
        <w:ind w:left="1080" w:right="100" w:hanging="532"/>
        <w:spacing w:after="0" w:line="260"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aggregate number of option awards outstanding for each of our directors who is not a named executive officer, as of December 31, 2022:</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56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7560" w:type="dxa"/>
            <w:vAlign w:val="bottom"/>
            <w:vMerge w:val="continue"/>
          </w:tcPr>
          <w:p>
            <w:pPr>
              <w:spacing w:after="0"/>
              <w:rPr>
                <w:sz w:val="15"/>
                <w:szCs w:val="15"/>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03"/>
        </w:trPr>
        <w:tc>
          <w:tcPr>
            <w:tcW w:w="7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Phillip B. Donenberg</w:t>
            </w:r>
          </w:p>
        </w:tc>
        <w:tc>
          <w:tcPr>
            <w:tcW w:w="1320" w:type="dxa"/>
            <w:vAlign w:val="bottom"/>
            <w:tcBorders>
              <w:top w:val="single" w:sz="8" w:color="auto"/>
            </w:tcBorders>
            <w:shd w:val="clear" w:color="auto" w:fill="CCEEFF"/>
          </w:tcPr>
          <w:p>
            <w:pPr>
              <w:jc w:val="right"/>
              <w:ind w:right="298"/>
              <w:spacing w:after="0" w:line="203" w:lineRule="exact"/>
              <w:rPr>
                <w:sz w:val="20"/>
                <w:szCs w:val="20"/>
                <w:color w:val="auto"/>
              </w:rPr>
            </w:pPr>
            <w:r>
              <w:rPr>
                <w:rFonts w:ascii="Times New Roman" w:cs="Times New Roman" w:eastAsia="Times New Roman" w:hAnsi="Times New Roman"/>
                <w:sz w:val="18"/>
                <w:szCs w:val="18"/>
                <w:color w:val="auto"/>
              </w:rPr>
              <w:t>70,171</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13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Reape, M.D.</w:t>
            </w:r>
          </w:p>
        </w:tc>
        <w:tc>
          <w:tcPr>
            <w:tcW w:w="13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Sepp-Lorenzino, Ph.D.</w:t>
            </w:r>
          </w:p>
        </w:tc>
        <w:tc>
          <w:tcPr>
            <w:tcW w:w="13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62,000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Non-Employee Director Compensation Policy, pursuant to which each of our directors who is not an employee or consultant of our company is eligible to receive compensation for service on our Board of Directors and committees of our Board of Directors.</w:t>
      </w:r>
    </w:p>
    <w:p>
      <w:pPr>
        <w:spacing w:after="0" w:line="16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Each eligible director will receive an annual cash retainer of $35,000 for serving on our Board of Directors, and the independent chairperson of the Board of Directors will receive an additional annual cash retainer of $30,000 for his or her service. The chairperson of the Audit Committee and the chairperson of the Clinical and Science Committee of our Board of Directors will be entitled to an additional annual cash retainer of $15,000, the chairperson of the Compensation Committee of our Board of Directors will be entitled to an additional annual cash retainer of $10,000 and the chairperson of the Nominating and Corporate Governance Committee of our Board of Directors will be entitled to an additional annual cash retainer of $8,000. The members of the Audit Committee and the members of the Clinical and Science Committee of our Board of Directors will be entitled to an additional annual cash retainer of $7,500, the members of the Compensation Committee of our Board of Directors will be entitled to an additional annual cash retainer of $5,000 and the members of the Nominating and Corporate Governance Committee of our Board of Directors will be entitled to an additional annual cash retainer of $4,000; however, in each case such cash retainer is payable only to members who are not the chairperson of such committee.</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upon the pricing of our initial public offering, each eligible director was granted a non-statutory stock option to purchase 31,000 shares of our common stock at the initial public offering price under our 2020 Stock Incentive Plan, with the shares vesting in 36 equal monthly installments, subject to continued service as a director through each vesting date. Each new eligible director who joins our Board of Directors will be granted a non-statutory stock option to purchase 31,000 shares of our common stock under our 2020 Stock Incentive Plan, with the shares vesting in 36 equal monthly installments, subject to continued service as a director through each vesting date.</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will be granted a non-statutory stock option to purchase 15,500 shares of our common stock under our 2020 Stock Incentive Plan, with the shares vesting on the earlier of the first anniversary of the date of grant or the next annual stockholders meeting, subject to continued service as a director though the applicable vesting date.</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option awarded to eligible directors under the Non-Employee Director Compensation Policy will be subject to accelerated vesting upon a Change in Control (as defined in the 2020 Stock Incentive Plan).</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Select Market on the date of grant. Each stock option will have a term of ten years from the date of grant, subject to earlier termination in connection with a termination of the eligible director’s continuous service with us (provided that upon a termination of service other than for death, disability or cause, the post-termination exercise period will be 12 months from the date of termination).</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455"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UTHORIZED FOR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 December 31,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gridSpan w:val="4"/>
            <w:vMerge w:val="restart"/>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740" w:type="dxa"/>
            <w:vAlign w:val="bottom"/>
            <w:gridSpan w:val="4"/>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74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40" w:type="dxa"/>
            <w:vAlign w:val="bottom"/>
            <w:gridSpan w:val="4"/>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74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4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4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740" w:type="dxa"/>
            <w:vAlign w:val="bottom"/>
            <w:gridSpan w:val="4"/>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740" w:type="dxa"/>
            <w:vAlign w:val="bottom"/>
            <w:gridSpan w:val="4"/>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3"/>
          </w:tcPr>
          <w:p>
            <w:pPr>
              <w:jc w:val="center"/>
              <w:ind w:right="10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5"/>
                <w:szCs w:val="15"/>
                <w:color w:val="auto"/>
              </w:rPr>
            </w:pPr>
          </w:p>
        </w:tc>
        <w:tc>
          <w:tcPr>
            <w:tcW w:w="1600" w:type="dxa"/>
            <w:vAlign w:val="bottom"/>
            <w:gridSpan w:val="3"/>
          </w:tcPr>
          <w:p>
            <w:pPr>
              <w:jc w:val="center"/>
              <w:ind w:right="114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40" w:type="dxa"/>
            <w:vAlign w:val="bottom"/>
          </w:tcPr>
          <w:p>
            <w:pPr>
              <w:spacing w:after="0"/>
              <w:rPr>
                <w:sz w:val="15"/>
                <w:szCs w:val="15"/>
                <w:color w:val="auto"/>
              </w:rPr>
            </w:pPr>
          </w:p>
        </w:tc>
        <w:tc>
          <w:tcPr>
            <w:tcW w:w="8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60" w:type="dxa"/>
            <w:vAlign w:val="bottom"/>
            <w:tcBorders>
              <w:top w:val="single" w:sz="8" w:color="auto"/>
            </w:tcBorders>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16"/>
                <w:szCs w:val="16"/>
                <w:color w:val="auto"/>
              </w:rPr>
              <w:t>7,415,922</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ind w:left="200"/>
              <w:spacing w:after="0" w:line="203" w:lineRule="exact"/>
              <w:rPr>
                <w:sz w:val="20"/>
                <w:szCs w:val="20"/>
                <w:color w:val="auto"/>
              </w:rPr>
            </w:pPr>
            <w:r>
              <w:rPr>
                <w:rFonts w:ascii="Times New Roman" w:cs="Times New Roman" w:eastAsia="Times New Roman" w:hAnsi="Times New Roman"/>
                <w:sz w:val="16"/>
                <w:szCs w:val="16"/>
                <w:color w:val="auto"/>
              </w:rPr>
              <w:t>9.83</w:t>
            </w:r>
            <w:r>
              <w:rPr>
                <w:rFonts w:ascii="Times New Roman" w:cs="Times New Roman" w:eastAsia="Times New Roman" w:hAnsi="Times New Roman"/>
                <w:sz w:val="23"/>
                <w:szCs w:val="23"/>
                <w:color w:val="auto"/>
                <w:vertAlign w:val="superscript"/>
              </w:rPr>
              <w:t>(2)</w:t>
            </w:r>
          </w:p>
        </w:tc>
        <w:tc>
          <w:tcPr>
            <w:tcW w:w="1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ind w:left="120"/>
              <w:spacing w:after="0" w:line="203" w:lineRule="exact"/>
              <w:rPr>
                <w:sz w:val="20"/>
                <w:szCs w:val="20"/>
                <w:color w:val="auto"/>
              </w:rPr>
            </w:pPr>
            <w:r>
              <w:rPr>
                <w:rFonts w:ascii="Times New Roman" w:cs="Times New Roman" w:eastAsia="Times New Roman" w:hAnsi="Times New Roman"/>
                <w:sz w:val="16"/>
                <w:szCs w:val="16"/>
                <w:color w:val="auto"/>
              </w:rPr>
              <w:t>673,666</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6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7,415,922</w:t>
            </w:r>
          </w:p>
        </w:tc>
        <w:tc>
          <w:tcPr>
            <w:tcW w:w="9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9.83</w:t>
            </w:r>
          </w:p>
        </w:tc>
        <w:tc>
          <w:tcPr>
            <w:tcW w:w="10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673,666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underlying options and restricted stock units granted pursuant to our 2020 Equity Incentive Plan and 2020 Stock Incentive Plan.</w:t>
      </w:r>
    </w:p>
    <w:p>
      <w:pPr>
        <w:spacing w:after="0" w:line="27"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includes 1,257,844 shares included in column a that are issuable upon vesting of restricted stock units which have no exercise price. The weighted average exercise price of the outstanding options was $11.84 per share as of December 31, 2022.</w:t>
      </w:r>
    </w:p>
    <w:p>
      <w:pPr>
        <w:ind w:left="540" w:right="40" w:hanging="424"/>
        <w:spacing w:after="0" w:line="25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2020 Stock Incentive Plan and 2020 Employee Stock Purchase Plan. The number of shares of our common stock reserved for issuance under our 2020 Stock Incentive Plan automatically increases on January 1 of each year, continuing through and including January 1, 2030, by 5% of the total number of shares of our common stock outstanding on December 31 of the preceding calendar year, or a lesser number of shares determined by our Board of Directors. Pursuant to this provision, we added 3,160,375 shares of common stock that are available for issuance under the 2020 Stock Incentive Plan on January 1, 2023, which is not reflected in the table above. The number of shares of our common stock reserved for issuance under our 2020 Employee Stock Purchase Plan automatically increases on January 1 of each year, continuing through and including January 1, 2030, by 1% of the total number of shares of our common stock outstanding on December 31 of the preceding calendar year, or a lesser number of shares determined by our Board of Directors. Pursuant to this provision, we added 632,075 shares of common stock that are available for issuance under the 2020 Employee Stock Purchase Plan on January 1, 2023, which is not reflected in the table above. No shares have been issued under the 2020 Employee Stock Purchase Plan.</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In September 2020, we adopted a related person transaction policy, which we amended in April 2022,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such person’s immediate family members and any entity owned or controlled by such person.</w:t>
      </w:r>
    </w:p>
    <w:p>
      <w:pPr>
        <w:spacing w:after="0" w:line="173"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2021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Relationship with UT Southwestern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(the “UT Southwestern Agreement”) with The University of Texas Southwestern Medical Center (“UT Southwestern”). We are also obligated to provide research and development funding pursuant to certain sponsored research agreements entered into beginning in April 2020 in connection with the UT Southwestern Agreement. We paid an aggregate of $8.2 million to UT Southwestern under the sponsored research agreements during the year ended December 31, 2021, during which time UT Southwestern was a beneficial owner of more than 5% of our capital stock. UT Southwestern was not a beneficial owner of more than 5% of our capital stock at any time during the year ended December 31, 2022.</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January 2021, we launched an innovation fund with UT Southwestern, pursuant to which we support UT Southwestern’s gene therapy discovery activities. We will have an exclusive option on new programs and intellectual property associated with, and arising from, the research conducted under this arrangement.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Astellas Transactions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Astellas is the beneficial owner of greater than 5% of our capital stock. On October 21, 2022, we entered into an Option Agreement (the “Option Agreement”) with Astellas (f/k/a Audentes Therapeutics, Inc. (d/b/a Astellas Gene Therapy)), granting Astellas an exclusive option to obtain exclusive, worldwide, royalty and milestone-bearing rights and licenses related to two of our clinical programs, TSHA-120 and TSHA-102. As partial consideration for the rights granted to Astellas under the Option Agreement, Astellas paid us a one-time payment in the amount of $20.0 million in November 2022.</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Also on October 21, 2022, we entered into a securities purchase agreement (the “Securities Purchase Agreement”), with Astellas, pursuant to which we agreed to issue and sell to Astellas in a private placement (the “Private Placement”) an aggregate of 7,266,342 shares of our common stock for aggregate gross proceeds of approximately $30.0 million. The Private Placement closed on October 24, 2022. Pursuant to the Securities Purchase Agreement, in connection with the Private Placement, Astellas has the right to designate one individual to attend all meetings of the Board in a non-voting observer capacity.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October 2022 Public Offering</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October 26, 2022, we entered into an Underwriting Agreement (the “Underwriting Agreement”) with Goldman Sachs &amp; Co. LLC (the “Underwriter”), to issue and sell 14,000,000 shares of our common stock in an underwritten public offering (the “Offering”). The offering price to the public was $2.00 per share and the Underwriter purchased the shares from us pursuant to the Underwriting Agreement at a price of $1.88 per share. The offering closed on October 31, 2022 and we received net proceeds of $26.0 million after deducting underwriting discounts, commissions and offering expenses. Entities affiliated with Mr. Manning, a member of our Board of Directors and a beneficial owner of greater than 5% of our capital stock, purchased 1,500,000 shares of our common stock in the Offering at the public offering price for an aggregate purchase price of $3.0 million.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or offer letter agreements with certain of our executive officers and separation agreements with certain of our former executive officers. For more information regarding our employment agreements with our named executive officers, see “Executive Compensation—Employment Agreements with our Named Executive Officers.”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also employ Patrick Nolan as our Business Development Manager. Patrick Nolan is the son of Sean P. Nolan, our Chief Executive Officer and Chairman of our Board of Directors. We paid total compensation for Patrick Nolan in an aggregate amount of $99,440 and $140,556 during the years ended December 31, 2022 and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our company. Under our amended and restated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to which he or she is or may be made a party by reason of his or her position as a director, officer or other agent of our company, and otherwise to the fullest extent permitted under Delaware law and our amended and restated bylaws.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OUSEHOLDING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ROXY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ATERIALS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Taysha Gene Therapies, Inc., Attention: Corporate Secretary, 3000 Pegasus Park Drive, Suite 1430, Dallas, Texas 75247. Stockholders who currently receive multiple copies of the Annual Meeting materials at their addresses and would like to request “householding” of their communications should contact their brokers.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Kamran Alam</w:t>
      </w:r>
    </w:p>
    <w:p>
      <w:pPr>
        <w:spacing w:after="0" w:line="11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Kamran Alam</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May 8, 2023</w:t>
      </w:r>
    </w:p>
    <w:p>
      <w:pPr>
        <w:spacing w:after="0" w:line="2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2022 is available without charge upon written request to: Taysha Gene Therapies, Inc., Attention: Corporate Secretary, Taysha Gene Therapies, Inc., 3000 Pegasus Park Drive, Suite 1430, Dallas, Texas 75247.</w:t>
      </w:r>
    </w:p>
    <w:p>
      <w:pPr>
        <w:spacing w:after="0" w:line="1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80"/>
          </w:cols>
          <w:pgMar w:left="320" w:top="455" w:right="7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Reverse Split Certificate of Amendment</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9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Company is Taysha Gene Therapies, Inc., and that this corporation was originally incorporated in Texas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Texas Business Organizations Code.</w:t>
      </w:r>
    </w:p>
    <w:p>
      <w:pPr>
        <w:spacing w:after="0" w:line="47"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subsequently converted to a corporation incorporated under the DGCL and filed the Certificate of Incorporation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13, 2020 under the name Taysha Gene Therapies, Inc., which was amended and restated on March 4, 2020 and July 2, 2020, amended on July 28, 2020 and September 16, 2020 and amended and restated on September 28, 2020.</w:t>
      </w:r>
    </w:p>
    <w:p>
      <w:pPr>
        <w:spacing w:after="0" w:line="6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amending its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as follows:</w:t>
      </w:r>
    </w:p>
    <w:p>
      <w:pPr>
        <w:spacing w:after="0" w:line="47" w:lineRule="exact"/>
        <w:rPr>
          <w:sz w:val="20"/>
          <w:szCs w:val="20"/>
          <w:color w:val="auto"/>
        </w:rPr>
      </w:pPr>
    </w:p>
    <w:p>
      <w:pPr>
        <w:ind w:left="560"/>
        <w:spacing w:after="0" w:line="238" w:lineRule="auto"/>
        <w:rPr>
          <w:sz w:val="20"/>
          <w:szCs w:val="20"/>
          <w:color w:val="auto"/>
        </w:rPr>
      </w:pPr>
      <w:r>
        <w:rPr>
          <w:rFonts w:ascii="Times New Roman" w:cs="Times New Roman" w:eastAsia="Times New Roman" w:hAnsi="Times New Roman"/>
          <w:sz w:val="18"/>
          <w:szCs w:val="18"/>
          <w:color w:val="auto"/>
        </w:rPr>
        <w:t>Effective as of the effective time of 5:00 p.m., Eastern Time, on [***DATE***]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[five (5) / ten (10) / fifteen (15) / twenty (20)]</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of the Company’s Common Stock, par value $0.00001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Reverse Split</w:t>
      </w:r>
      <w:r>
        <w:rPr>
          <w:rFonts w:ascii="Times New Roman" w:cs="Times New Roman" w:eastAsia="Times New Roman" w:hAnsi="Times New Roman"/>
          <w:sz w:val="18"/>
          <w:szCs w:val="18"/>
          <w:color w:val="auto"/>
        </w:rPr>
        <w:t>”); provided, however, no fractional shares of Common Stock shall be issued as a result of the 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Company’s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Company or the respective holders thereof, represent that number of whole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9"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pacing w:after="0" w:line="1" w:lineRule="exact"/>
        <w:rPr>
          <w:sz w:val="20"/>
          <w:szCs w:val="20"/>
          <w:color w:val="auto"/>
        </w:rPr>
      </w:pPr>
    </w:p>
    <w:p>
      <w:pPr>
        <w:ind w:left="540" w:right="20" w:hanging="424"/>
        <w:spacing w:after="0" w:line="233" w:lineRule="auto"/>
        <w:tabs>
          <w:tab w:leader="none" w:pos="5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amendments approve the combination of any whole number of shares of the Company’s Common Stock between and including five (5) and twenty (20)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A of Article IV of the Certificate of Incorporation is amended and restated to read in its entirety as follows:</w:t>
      </w:r>
    </w:p>
    <w:p>
      <w:pPr>
        <w:spacing w:after="0" w:line="117"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The Company is authorized to issue two classes of stock to be designated, respectively, “Common Stock” and “Preferred Stock.” The total number of shares of all classes of capital stock which the Company shall have authority to issue is [50,000,000 / 30,000,000 / 23,333,333 / 20,000,000] shares consisting of (i) [40,000,000 / 20,000,000 / 13,333,333 / 10,000,000]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$0.00001 par value per share, and (ii) 10,000,000 shares of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$0.00001 par value per share.”</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117"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IFTH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approval, and was duly adopted in accordance with the provisions of Section 242 of the DGCL.</w:t>
      </w:r>
    </w:p>
    <w:p>
      <w:pPr>
        <w:spacing w:after="0" w:line="47" w:lineRule="exact"/>
        <w:rPr>
          <w:sz w:val="20"/>
          <w:szCs w:val="20"/>
          <w:color w:val="auto"/>
        </w:rPr>
      </w:pPr>
    </w:p>
    <w:p>
      <w:pPr>
        <w:ind w:left="120" w:right="180" w:firstLine="440"/>
        <w:spacing w:after="0" w:line="299" w:lineRule="auto"/>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IXTH</w:t>
      </w:r>
      <w:r>
        <w:rPr>
          <w:rFonts w:ascii="Times New Roman" w:cs="Times New Roman" w:eastAsia="Times New Roman" w:hAnsi="Times New Roman"/>
          <w:sz w:val="18"/>
          <w:szCs w:val="18"/>
          <w:color w:val="auto"/>
        </w:rPr>
        <w:t>: This amendment to the Certificate of Incorporation shall be effective on and as of as of the effective time of 5:00 p.m., Eastern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1"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next business day after filing with the Secretary of State of the State of Delaware.</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Taysha Gene Therapies, Inc. has caused this Certificate of Amendment to be executed by its Chief Executive Officer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[***DATE***].</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Sean P. Nolan</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40"/>
          </w:cols>
          <w:pgMar w:left="320" w:top="455"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4"/>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8"/>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bullet"/>
      <w:start w:val="1"/>
    </w:lvl>
  </w:abstractNum>
  <w:abstractNum w:abstractNumId="36">
    <w:nsid w:val="7724C67E"/>
    <w:multiLevelType w:val="hybridMultilevel"/>
    <w:lvl w:ilvl="0">
      <w:lvlJc w:val="left"/>
      <w:lvlText w:val="2"/>
      <w:numFmt w:val="bullet"/>
      <w:start w:val="1"/>
    </w:lvl>
  </w:abstractNum>
  <w:abstractNum w:abstractNumId="37">
    <w:nsid w:val="5C482A9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2023-05-08T15:05:56Z</dcterms:created>
  <dcterms:modified xsi:type="dcterms:W3CDTF">2023-05-08T15:05:56Z</dcterms:modified>
</cp:coreProperties>
</file>