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0001979666</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0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0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0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835"/>
        </w:trPr>
        <w:tc>
          <w:tcPr>
            <w:tcW w:w="60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020" w:type="dxa"/>
            <w:vAlign w:val="bottom"/>
          </w:tcPr>
          <w:p>
            <w:pPr>
              <w:spacing w:after="0"/>
              <w:rPr>
                <w:sz w:val="24"/>
                <w:szCs w:val="24"/>
                <w:color w:val="auto"/>
              </w:rPr>
            </w:pPr>
          </w:p>
        </w:tc>
        <w:tc>
          <w:tcPr>
            <w:tcW w:w="348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TAYSHA GENE THERAPIES,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020" w:type="dxa"/>
            <w:vAlign w:val="bottom"/>
          </w:tcPr>
          <w:p>
            <w:pPr>
              <w:spacing w:after="0"/>
              <w:rPr>
                <w:sz w:val="24"/>
                <w:szCs w:val="24"/>
                <w:color w:val="auto"/>
              </w:rPr>
            </w:pPr>
          </w:p>
        </w:tc>
        <w:tc>
          <w:tcPr>
            <w:tcW w:w="34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001-39536</w:t>
            </w:r>
          </w:p>
        </w:tc>
      </w:tr>
      <w:tr>
        <w:trPr>
          <w:trHeight w:val="258"/>
        </w:trPr>
        <w:tc>
          <w:tcPr>
            <w:tcW w:w="300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34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3000 PEGASUS PARK DRIVE</w:t>
            </w:r>
          </w:p>
        </w:tc>
      </w:tr>
      <w:tr>
        <w:trPr>
          <w:trHeight w:val="243"/>
        </w:trPr>
        <w:tc>
          <w:tcPr>
            <w:tcW w:w="30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348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SUITE 1430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020" w:type="dxa"/>
            <w:vAlign w:val="bottom"/>
          </w:tcPr>
          <w:p>
            <w:pPr>
              <w:spacing w:after="0"/>
              <w:rPr>
                <w:sz w:val="21"/>
                <w:szCs w:val="21"/>
                <w:color w:val="auto"/>
              </w:rPr>
            </w:pPr>
          </w:p>
        </w:tc>
        <w:tc>
          <w:tcPr>
            <w:tcW w:w="348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DALLAS</w:t>
            </w:r>
          </w:p>
        </w:tc>
      </w:tr>
      <w:tr>
        <w:trPr>
          <w:trHeight w:val="243"/>
        </w:trPr>
        <w:tc>
          <w:tcPr>
            <w:tcW w:w="30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348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4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75247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20" w:type="dxa"/>
            <w:vAlign w:val="bottom"/>
          </w:tcPr>
          <w:p>
            <w:pPr>
              <w:spacing w:after="0"/>
              <w:rPr>
                <w:sz w:val="24"/>
                <w:szCs w:val="24"/>
                <w:color w:val="auto"/>
              </w:rPr>
            </w:pPr>
          </w:p>
        </w:tc>
        <w:tc>
          <w:tcPr>
            <w:tcW w:w="34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214-612-0000</w:t>
            </w:r>
          </w:p>
        </w:tc>
      </w:tr>
      <w:tr>
        <w:trPr>
          <w:trHeight w:val="297"/>
        </w:trPr>
        <w:tc>
          <w:tcPr>
            <w:tcW w:w="60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Fred Porter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Affiliate-Chief of Staff &amp;amp;amp; Tech.Op.Officer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Maxim Group LLC</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 Park Avenue, 16th</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889</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4196.08</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10022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273919373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40" w:val="left"/>
          <w:tab w:leader="none" w:pos="5920" w:val="left"/>
          <w:tab w:leader="none" w:pos="6260" w:val="left"/>
          <w:tab w:leader="none" w:pos="738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9540"/>
        <w:spacing w:after="0"/>
        <w:rPr>
          <w:sz w:val="20"/>
          <w:szCs w:val="20"/>
          <w:color w:val="auto"/>
        </w:rPr>
      </w:pPr>
      <w:r>
        <w:rPr>
          <w:rFonts w:ascii="Times New Roman" w:cs="Times New Roman" w:eastAsia="Times New Roman" w:hAnsi="Times New Roman"/>
          <w:sz w:val="22"/>
          <w:szCs w:val="22"/>
          <w:color w:val="auto"/>
        </w:rPr>
        <w:t>Vested grant</w:t>
      </w:r>
    </w:p>
    <w:p>
      <w:pPr>
        <w:spacing w:after="0" w:line="4" w:lineRule="exact"/>
        <w:rPr>
          <w:sz w:val="20"/>
          <w:szCs w:val="20"/>
          <w:color w:val="auto"/>
        </w:rPr>
      </w:pPr>
    </w:p>
    <w:p>
      <w:pPr>
        <w:ind w:left="9540"/>
        <w:spacing w:after="0"/>
        <w:rPr>
          <w:sz w:val="20"/>
          <w:szCs w:val="20"/>
          <w:color w:val="auto"/>
        </w:rPr>
      </w:pPr>
      <w:r>
        <w:rPr>
          <w:rFonts w:ascii="Times New Roman" w:cs="Times New Roman" w:eastAsia="Times New Roman" w:hAnsi="Times New Roman"/>
          <w:sz w:val="22"/>
          <w:szCs w:val="22"/>
          <w:color w:val="auto"/>
        </w:rPr>
        <w:t>settled in stock;</w:t>
      </w:r>
    </w:p>
    <w:p>
      <w:pPr>
        <w:ind w:left="9540"/>
        <w:spacing w:after="0" w:line="230" w:lineRule="auto"/>
        <w:rPr>
          <w:sz w:val="20"/>
          <w:szCs w:val="20"/>
          <w:color w:val="auto"/>
        </w:rPr>
      </w:pPr>
      <w:r>
        <w:rPr>
          <w:rFonts w:ascii="Times New Roman" w:cs="Times New Roman" w:eastAsia="Times New Roman" w:hAnsi="Times New Roman"/>
          <w:sz w:val="22"/>
          <w:szCs w:val="22"/>
          <w:color w:val="auto"/>
        </w:rPr>
        <w:t>consideration was</w:t>
      </w:r>
    </w:p>
    <w:p>
      <w:pPr>
        <w:ind w:left="40"/>
        <w:spacing w:after="0"/>
        <w:tabs>
          <w:tab w:leader="none" w:pos="4240" w:val="left"/>
          <w:tab w:leader="none" w:pos="8480" w:val="left"/>
        </w:tabs>
        <w:rPr>
          <w:sz w:val="20"/>
          <w:szCs w:val="20"/>
          <w:color w:val="auto"/>
        </w:rPr>
      </w:pPr>
      <w:r>
        <w:rPr>
          <w:rFonts w:ascii="Times New Roman" w:cs="Times New Roman" w:eastAsia="Times New Roman" w:hAnsi="Times New Roman"/>
          <w:sz w:val="22"/>
          <w:szCs w:val="22"/>
          <w:color w:val="auto"/>
        </w:rPr>
        <w:t>Common Stock 02/03/2026 RSU Award</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889</w:t>
      </w:r>
      <w:r>
        <w:rPr>
          <w:sz w:val="20"/>
          <w:szCs w:val="20"/>
          <w:color w:val="auto"/>
        </w:rPr>
        <w:tab/>
      </w:r>
      <w:r>
        <w:rPr>
          <w:rFonts w:ascii="Times New Roman" w:cs="Times New Roman" w:eastAsia="Times New Roman" w:hAnsi="Times New Roman"/>
          <w:sz w:val="21"/>
          <w:szCs w:val="21"/>
          <w:color w:val="auto"/>
        </w:rPr>
        <w:t>02/03/2026 Reporting Person's</w:t>
      </w:r>
    </w:p>
    <w:p>
      <w:pPr>
        <w:ind w:left="9540"/>
        <w:spacing w:after="0" w:line="230" w:lineRule="auto"/>
        <w:rPr>
          <w:sz w:val="20"/>
          <w:szCs w:val="20"/>
          <w:color w:val="auto"/>
        </w:rPr>
      </w:pPr>
      <w:r>
        <w:rPr>
          <w:rFonts w:ascii="Times New Roman" w:cs="Times New Roman" w:eastAsia="Times New Roman" w:hAnsi="Times New Roman"/>
          <w:sz w:val="22"/>
          <w:szCs w:val="22"/>
          <w:color w:val="auto"/>
        </w:rPr>
        <w:t>continued service</w:t>
      </w:r>
    </w:p>
    <w:p>
      <w:pPr>
        <w:ind w:left="9540"/>
        <w:spacing w:after="0" w:line="231" w:lineRule="auto"/>
        <w:rPr>
          <w:sz w:val="20"/>
          <w:szCs w:val="20"/>
          <w:color w:val="auto"/>
        </w:rPr>
      </w:pPr>
      <w:r>
        <w:rPr>
          <w:rFonts w:ascii="Times New Roman" w:cs="Times New Roman" w:eastAsia="Times New Roman" w:hAnsi="Times New Roman"/>
          <w:sz w:val="22"/>
          <w:szCs w:val="22"/>
          <w:color w:val="auto"/>
        </w:rPr>
        <w:t>as an employee of</w:t>
      </w:r>
    </w:p>
    <w:p>
      <w:pPr>
        <w:ind w:left="9540"/>
        <w:spacing w:after="0"/>
        <w:rPr>
          <w:sz w:val="20"/>
          <w:szCs w:val="20"/>
          <w:color w:val="auto"/>
        </w:rPr>
      </w:pPr>
      <w:r>
        <w:rPr>
          <w:rFonts w:ascii="Times New Roman" w:cs="Times New Roman" w:eastAsia="Times New Roman" w:hAnsi="Times New Roman"/>
          <w:sz w:val="22"/>
          <w:szCs w:val="22"/>
          <w:color w:val="auto"/>
        </w:rPr>
        <w:t>the Issuer.</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Frederick Porter</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Taysha Gene Therapies, Inc. 3000 Pegasus Park Drive, Suite 1430 Dallas TX 75247</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Frederick Porter</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Taysha Gene Therapies, Inc. 3000 Pegasus Park Drive, Suite 1430 Dallas TX 75247</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01/23/2026 43003</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204264.25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01/26/2026 12987</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59870.07</w:t>
            </w:r>
          </w:p>
        </w:tc>
      </w:tr>
    </w:tbl>
    <w:p>
      <w:pPr>
        <w:spacing w:after="0" w:line="563" w:lineRule="exact"/>
        <w:rPr>
          <w:sz w:val="20"/>
          <w:szCs w:val="20"/>
          <w:color w:val="auto"/>
        </w:rPr>
      </w:pPr>
    </w:p>
    <w:p>
      <w:pPr>
        <w:sectPr>
          <w:pgSz w:w="11900" w:h="16838" w:orient="portrait"/>
          <w:cols w:equalWidth="0" w:num="2">
            <w:col w:w="3260" w:space="400"/>
            <w:col w:w="7580"/>
          </w:cols>
          <w:pgMar w:left="320" w:top="10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jc w:val="center"/>
        <w:ind w:left="1000" w:right="260"/>
        <w:spacing w:after="0" w:line="195" w:lineRule="auto"/>
        <w:tabs>
          <w:tab w:leader="none" w:pos="10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The Reporting Person is selling the securities set forth herein pursuant to a mandatory sell-to-cover arrangement for the purpose of satisfying income tax liabilities incurred upon vesting of restricted stock unit awards only.</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02/04/2026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Frederick Porter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2026-02-04T17:44:48Z</dcterms:created>
  <dcterms:modified xsi:type="dcterms:W3CDTF">2026-02-04T17:44:48Z</dcterms:modified>
</cp:coreProperties>
</file>