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SCHEDULE 14A INFORMATION</w:t>
      </w:r>
    </w:p>
    <w:p>
      <w:pPr>
        <w:spacing w:after="0" w:line="11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ind w:right="-29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60" w:lineRule="exact"/>
        <w:rPr>
          <w:sz w:val="24"/>
          <w:szCs w:val="24"/>
          <w:color w:val="auto"/>
        </w:rPr>
      </w:pPr>
    </w:p>
    <w:p>
      <w:pPr>
        <w:jc w:val="center"/>
        <w:ind w:right="-299"/>
        <w:spacing w:after="0"/>
        <w:rPr>
          <w:sz w:val="20"/>
          <w:szCs w:val="20"/>
          <w:color w:val="auto"/>
        </w:rPr>
      </w:pPr>
      <w:r>
        <w:rPr>
          <w:rFonts w:ascii="Arial" w:cs="Arial" w:eastAsia="Arial" w:hAnsi="Arial"/>
          <w:sz w:val="36"/>
          <w:szCs w:val="36"/>
          <w:b w:val="1"/>
          <w:bCs w:val="1"/>
          <w:color w:val="auto"/>
        </w:rPr>
        <w:t>Taysha Gene Therapies, Inc.</w:t>
      </w:r>
    </w:p>
    <w:p>
      <w:pPr>
        <w:spacing w:after="0" w:line="4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right="4820" w:hanging="544"/>
        <w:spacing w:after="0" w:line="390" w:lineRule="auto"/>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 Title of each class of securities to which transaction applies:</w:t>
      </w:r>
    </w:p>
    <w:p>
      <w:pPr>
        <w:spacing w:after="0" w:line="228" w:lineRule="exact"/>
        <w:rPr>
          <w:rFonts w:ascii="MS PGothic" w:cs="MS PGothic" w:eastAsia="MS PGothic" w:hAnsi="MS PGothic"/>
          <w:sz w:val="17"/>
          <w:szCs w:val="17"/>
          <w:color w:val="auto"/>
        </w:rPr>
      </w:pPr>
    </w:p>
    <w:p>
      <w:pPr>
        <w:ind w:left="660"/>
        <w:spacing w:after="0"/>
        <w:rPr>
          <w:rFonts w:ascii="MS PGothic" w:cs="MS PGothic" w:eastAsia="MS PGothic" w:hAnsi="MS PGothic"/>
          <w:sz w:val="17"/>
          <w:szCs w:val="17"/>
          <w:color w:val="auto"/>
        </w:rPr>
      </w:pPr>
      <w:r>
        <w:rPr>
          <w:rFonts w:ascii="Arial" w:cs="Arial" w:eastAsia="Arial" w:hAnsi="Arial"/>
          <w:sz w:val="18"/>
          <w:szCs w:val="18"/>
          <w:color w:val="auto"/>
        </w:rPr>
        <w:t>Aggregate number of securities to which transaction applies:</w:t>
      </w:r>
    </w:p>
    <w:p>
      <w:pPr>
        <w:spacing w:after="0" w:line="333" w:lineRule="exact"/>
        <w:rPr>
          <w:rFonts w:ascii="MS PGothic" w:cs="MS PGothic" w:eastAsia="MS PGothic" w:hAnsi="MS PGothic"/>
          <w:sz w:val="17"/>
          <w:szCs w:val="17"/>
          <w:color w:val="auto"/>
        </w:rPr>
      </w:pPr>
    </w:p>
    <w:p>
      <w:pPr>
        <w:ind w:left="660"/>
        <w:spacing w:after="0" w:line="277" w:lineRule="auto"/>
        <w:rPr>
          <w:rFonts w:ascii="MS PGothic" w:cs="MS PGothic" w:eastAsia="MS PGothic" w:hAnsi="MS PGothic"/>
          <w:sz w:val="17"/>
          <w:szCs w:val="17"/>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MS PGothic" w:cs="MS PGothic" w:eastAsia="MS PGothic" w:hAnsi="MS PGothic"/>
          <w:sz w:val="17"/>
          <w:szCs w:val="17"/>
          <w:color w:val="auto"/>
        </w:rPr>
      </w:pPr>
    </w:p>
    <w:p>
      <w:pPr>
        <w:ind w:left="660" w:right="6560"/>
        <w:spacing w:after="0" w:line="646" w:lineRule="auto"/>
        <w:rPr>
          <w:rFonts w:ascii="MS PGothic" w:cs="MS PGothic" w:eastAsia="MS PGothic" w:hAnsi="MS PGothic"/>
          <w:sz w:val="17"/>
          <w:szCs w:val="17"/>
          <w:color w:val="auto"/>
        </w:rPr>
      </w:pPr>
      <w:r>
        <w:rPr>
          <w:rFonts w:ascii="Arial" w:cs="Arial" w:eastAsia="Arial" w:hAnsi="Arial"/>
          <w:sz w:val="18"/>
          <w:szCs w:val="18"/>
          <w:color w:val="auto"/>
        </w:rPr>
        <w:t>Proposed maximum aggregate value of transaction: Total fee paid:</w:t>
      </w:r>
    </w:p>
    <w:p>
      <w:pPr>
        <w:spacing w:after="0" w:line="33" w:lineRule="exact"/>
        <w:rPr>
          <w:rFonts w:ascii="MS PGothic" w:cs="MS PGothic" w:eastAsia="MS PGothic" w:hAnsi="MS PGothic"/>
          <w:sz w:val="17"/>
          <w:szCs w:val="17"/>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60" w:right="120" w:hanging="544"/>
        <w:spacing w:after="0" w:line="306" w:lineRule="auto"/>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660"/>
        <w:spacing w:after="0"/>
        <w:rPr>
          <w:rFonts w:ascii="MS PGothic" w:cs="MS PGothic" w:eastAsia="MS PGothic" w:hAnsi="MS PGothic"/>
          <w:sz w:val="17"/>
          <w:szCs w:val="17"/>
          <w:color w:val="auto"/>
        </w:rPr>
      </w:pPr>
      <w:r>
        <w:rPr>
          <w:rFonts w:ascii="Arial" w:cs="Arial" w:eastAsia="Arial" w:hAnsi="Arial"/>
          <w:sz w:val="18"/>
          <w:szCs w:val="18"/>
          <w:color w:val="auto"/>
        </w:rPr>
        <w:t>Amount Previously Paid:</w:t>
      </w:r>
    </w:p>
    <w:p>
      <w:pPr>
        <w:spacing w:after="0" w:line="333" w:lineRule="exact"/>
        <w:rPr>
          <w:rFonts w:ascii="MS PGothic" w:cs="MS PGothic" w:eastAsia="MS PGothic" w:hAnsi="MS PGothic"/>
          <w:sz w:val="17"/>
          <w:szCs w:val="17"/>
          <w:color w:val="auto"/>
        </w:rPr>
      </w:pPr>
    </w:p>
    <w:p>
      <w:pPr>
        <w:ind w:left="660" w:right="6880"/>
        <w:spacing w:after="0" w:line="626" w:lineRule="auto"/>
        <w:rPr>
          <w:rFonts w:ascii="MS PGothic" w:cs="MS PGothic" w:eastAsia="MS PGothic" w:hAnsi="MS PGothic"/>
          <w:sz w:val="17"/>
          <w:szCs w:val="17"/>
          <w:color w:val="auto"/>
        </w:rPr>
      </w:pPr>
      <w:r>
        <w:rPr>
          <w:rFonts w:ascii="Arial" w:cs="Arial" w:eastAsia="Arial" w:hAnsi="Arial"/>
          <w:sz w:val="18"/>
          <w:szCs w:val="18"/>
          <w:color w:val="auto"/>
        </w:rPr>
        <w:t>Form, Schedule or Registration Statement No.: Filing Party:</w:t>
      </w:r>
    </w:p>
    <w:p>
      <w:pPr>
        <w:ind w:left="660"/>
        <w:spacing w:after="0"/>
        <w:rPr>
          <w:rFonts w:ascii="MS PGothic" w:cs="MS PGothic" w:eastAsia="MS PGothic" w:hAnsi="MS PGothic"/>
          <w:sz w:val="17"/>
          <w:szCs w:val="17"/>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-3216275</wp:posOffset>
            </wp:positionV>
            <wp:extent cx="6643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-2873375</wp:posOffset>
            </wp:positionV>
            <wp:extent cx="6643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-2393315</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-2050415</wp:posOffset>
            </wp:positionV>
            <wp:extent cx="6643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-1707515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-824865</wp:posOffset>
            </wp:positionV>
            <wp:extent cx="664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-481965</wp:posOffset>
            </wp:positionV>
            <wp:extent cx="6643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-139065</wp:posOffset>
            </wp:positionV>
            <wp:extent cx="6643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203200</wp:posOffset>
            </wp:positionV>
            <wp:extent cx="6643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426085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320" w:top="230"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205740</wp:posOffset>
            </wp:positionV>
            <wp:extent cx="2228850" cy="540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3000 Pegasus Park Drive</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Suite 1430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Dallas, Texas 75247</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17,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221" w:lineRule="exact"/>
        <w:rPr>
          <w:sz w:val="20"/>
          <w:szCs w:val="20"/>
          <w:color w:val="auto"/>
        </w:rPr>
      </w:pPr>
    </w:p>
    <w:p>
      <w:pPr>
        <w:ind w:left="120" w:right="340"/>
        <w:spacing w:after="0" w:line="261" w:lineRule="auto"/>
        <w:rPr>
          <w:sz w:val="20"/>
          <w:szCs w:val="20"/>
          <w:color w:val="auto"/>
        </w:rPr>
      </w:pPr>
      <w:r>
        <w:rPr>
          <w:rFonts w:ascii="Arial" w:cs="Arial" w:eastAsia="Arial" w:hAnsi="Arial"/>
          <w:sz w:val="18"/>
          <w:szCs w:val="18"/>
          <w:color w:val="auto"/>
        </w:rPr>
        <w:t xml:space="preserve">You are cordially invited to attend the Annual Meeting of Stockholders of </w:t>
      </w:r>
      <w:r>
        <w:rPr>
          <w:rFonts w:ascii="Arial" w:cs="Arial" w:eastAsia="Arial" w:hAnsi="Arial"/>
          <w:sz w:val="18"/>
          <w:szCs w:val="18"/>
          <w:b w:val="1"/>
          <w:bCs w:val="1"/>
          <w:color w:val="auto"/>
        </w:rPr>
        <w:t>TAYSHA GENE THERAPIES, INC.</w:t>
      </w:r>
      <w:r>
        <w:rPr>
          <w:rFonts w:ascii="Arial" w:cs="Arial" w:eastAsia="Arial" w:hAnsi="Arial"/>
          <w:sz w:val="18"/>
          <w:szCs w:val="18"/>
          <w:color w:val="auto"/>
        </w:rPr>
        <w:t>, a Delaware corporation (the “Company”). The meeting will be held on Thursday, June 17, 2021 at 10:00 a.m., Eastern Time and, in light of public health concerns regarding the COVID-19 pandemic, will be a virtual stockholder meeting through which you can listen to the meeting, submit questions and vote online, for the following purposes:</w:t>
      </w:r>
    </w:p>
    <w:p>
      <w:pPr>
        <w:spacing w:after="0" w:line="89" w:lineRule="exact"/>
        <w:rPr>
          <w:sz w:val="20"/>
          <w:szCs w:val="20"/>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Board’s nominees, RA Session II and Paul B. Manning, to the Board of Directors to hold office until the 2024 Annual Meeting of Stockholders.</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Deloitte &amp; Touche LLP as the independent registered public accounting firm of the Company for the year ending December 31, 2021.</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The meeting can be accessed by visiting </w:t>
      </w:r>
      <w:r>
        <w:rPr>
          <w:rFonts w:ascii="Arial" w:cs="Arial" w:eastAsia="Arial" w:hAnsi="Arial"/>
          <w:sz w:val="18"/>
          <w:szCs w:val="18"/>
          <w:i w:val="1"/>
          <w:iCs w:val="1"/>
          <w:color w:val="auto"/>
        </w:rPr>
        <w:t>www.virtualshareholdermeeting.com/TSHA2021</w:t>
      </w:r>
      <w:r>
        <w:rPr>
          <w:rFonts w:ascii="Arial" w:cs="Arial" w:eastAsia="Arial" w:hAnsi="Arial"/>
          <w:sz w:val="18"/>
          <w:szCs w:val="18"/>
          <w:color w:val="auto"/>
        </w:rPr>
        <w:t xml:space="preserve"> and entering the control number included in the proxy card in the enclosed proxy materials. You will not be able to attend the meeting in person.</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record date for the Annual Meeting is April 20, 2021. Only stockholders of record at the close of business on that date may vote at the meeting or any adjournment thereof.</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Important Notice Regarding the Availability of Proxy Materials for the Virtual Stockholders’ Meeting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00341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34365"/>
                    </a:xfrm>
                    <a:prstGeom prst="rect">
                      <a:avLst/>
                    </a:prstGeom>
                    <a:noFill/>
                  </pic:spPr>
                </pic:pic>
              </a:graphicData>
            </a:graphic>
          </wp:anchor>
        </w:drawing>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Held on June 17, 2021 at 10:00 a.m., Eastern Time.</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proxy statement and annual report to stockholders</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xml:space="preserve">are available at </w:t>
      </w:r>
      <w:r>
        <w:rPr>
          <w:rFonts w:ascii="Arial" w:cs="Arial" w:eastAsia="Arial" w:hAnsi="Arial"/>
          <w:sz w:val="16"/>
          <w:szCs w:val="16"/>
          <w:i w:val="1"/>
          <w:iCs w:val="1"/>
          <w:color w:val="auto"/>
        </w:rPr>
        <w:t>http://www.ir.tayshagtx.com</w:t>
      </w:r>
      <w:r>
        <w:rPr>
          <w:rFonts w:ascii="Arial" w:cs="Arial" w:eastAsia="Arial" w:hAnsi="Arial"/>
          <w:sz w:val="16"/>
          <w:szCs w:val="16"/>
          <w:color w:val="auto"/>
        </w:rPr>
        <w: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071245" cy="52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2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Timothy J. Douros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04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339"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700" w:type="dxa"/>
            <w:vAlign w:val="bottom"/>
            <w:gridSpan w:val="3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THESE PROXY MATERIALS AND VOTING</w:t>
              </w:r>
            </w:hyperlink>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3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PROPOSAL 1 ELECTION OF DIRECTORS</w:t>
              </w:r>
            </w:hyperlink>
          </w:p>
        </w:tc>
        <w:tc>
          <w:tcPr>
            <w:tcW w:w="3180" w:type="dxa"/>
            <w:vAlign w:val="bottom"/>
            <w:tcBorders>
              <w:top w:val="single" w:sz="8" w:color="0000EE"/>
            </w:tcBorders>
            <w:gridSpan w:val="8"/>
          </w:tcPr>
          <w:p>
            <w:pPr>
              <w:spacing w:after="0"/>
              <w:rPr>
                <w:sz w:val="17"/>
                <w:szCs w:val="17"/>
                <w:color w:val="auto"/>
              </w:rPr>
            </w:pPr>
          </w:p>
        </w:tc>
        <w:tc>
          <w:tcPr>
            <w:tcW w:w="322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70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REGARDING THE BOARD OF DIRECTORS AND CORPORATE GOVERNANCE</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Independence of the Board of Directors</w:t>
              </w:r>
            </w:hyperlink>
          </w:p>
        </w:tc>
        <w:tc>
          <w:tcPr>
            <w:tcW w:w="216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w:t>
              </w:r>
            </w:hyperlink>
          </w:p>
        </w:tc>
        <w:tc>
          <w:tcPr>
            <w:tcW w:w="6500" w:type="dxa"/>
            <w:vAlign w:val="bottom"/>
            <w:gridSpan w:val="1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Role of the Board in Risk Oversight</w:t>
              </w:r>
            </w:hyperlink>
          </w:p>
        </w:tc>
        <w:tc>
          <w:tcPr>
            <w:tcW w:w="6740" w:type="dxa"/>
            <w:vAlign w:val="bottom"/>
            <w:gridSpan w:val="1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Meetings of the Board of Directors</w:t>
              </w:r>
            </w:hyperlink>
          </w:p>
        </w:tc>
        <w:tc>
          <w:tcPr>
            <w:tcW w:w="6820" w:type="dxa"/>
            <w:vAlign w:val="bottom"/>
            <w:gridSpan w:val="1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44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Information Regarding Committees of the Board of Directors</w:t>
              </w:r>
            </w:hyperlink>
          </w:p>
        </w:tc>
        <w:tc>
          <w:tcPr>
            <w:tcW w:w="492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Audit Committee</w:t>
              </w:r>
            </w:hyperlink>
          </w:p>
        </w:tc>
        <w:tc>
          <w:tcPr>
            <w:tcW w:w="7720" w:type="dxa"/>
            <w:vAlign w:val="bottom"/>
            <w:gridSpan w:val="2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Compensation Committee</w:t>
              </w:r>
            </w:hyperlink>
          </w:p>
        </w:tc>
        <w:tc>
          <w:tcPr>
            <w:tcW w:w="7100" w:type="dxa"/>
            <w:vAlign w:val="bottom"/>
            <w:gridSpan w:val="2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8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Nominating and Corporate Governance Committee</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34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Stockholder Communications with the Board of Directors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4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Code of Ethics</w:t>
              </w:r>
            </w:hyperlink>
          </w:p>
        </w:tc>
        <w:tc>
          <w:tcPr>
            <w:tcW w:w="518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34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Hedging Policy</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2 RATIFICATION OF SELECTION OF INDEPENDENT REGISTERED PUBLIC ACCOUNTING FIRM</w:t>
              </w:r>
            </w:hyperlink>
          </w:p>
        </w:tc>
        <w:tc>
          <w:tcPr>
            <w:tcW w:w="9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Principal Accountant Fees and Services</w:t>
              </w:r>
            </w:hyperlink>
          </w:p>
        </w:tc>
        <w:tc>
          <w:tcPr>
            <w:tcW w:w="6480" w:type="dxa"/>
            <w:vAlign w:val="bottom"/>
            <w:gridSpan w:val="1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Pre-Approval Policies and Procedures</w:t>
              </w:r>
            </w:hyperlink>
          </w:p>
        </w:tc>
        <w:tc>
          <w:tcPr>
            <w:tcW w:w="6600" w:type="dxa"/>
            <w:vAlign w:val="bottom"/>
            <w:gridSpan w:val="1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OFFICERS</w:t>
              </w:r>
            </w:hyperlink>
          </w:p>
        </w:tc>
        <w:tc>
          <w:tcPr>
            <w:tcW w:w="7800" w:type="dxa"/>
            <w:vAlign w:val="bottom"/>
            <w:gridSpan w:val="2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700" w:type="dxa"/>
            <w:vAlign w:val="bottom"/>
            <w:gridSpan w:val="3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EXECUTIVE COMPENSATION</w:t>
              </w:r>
            </w:hyperlink>
          </w:p>
        </w:tc>
        <w:tc>
          <w:tcPr>
            <w:tcW w:w="4280" w:type="dxa"/>
            <w:vAlign w:val="bottom"/>
            <w:tcBorders>
              <w:top w:val="single" w:sz="8" w:color="0000EE"/>
            </w:tcBorders>
            <w:gridSpan w:val="18"/>
          </w:tcPr>
          <w:p>
            <w:pPr>
              <w:spacing w:after="0"/>
              <w:rPr>
                <w:sz w:val="17"/>
                <w:szCs w:val="17"/>
                <w:color w:val="auto"/>
              </w:rPr>
            </w:pPr>
          </w:p>
        </w:tc>
        <w:tc>
          <w:tcPr>
            <w:tcW w:w="298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9340" w:type="dxa"/>
            <w:vAlign w:val="bottom"/>
            <w:gridSpan w:val="2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Summary Compensation Table</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Outstanding Equity Awards as of December 31, 2020</w:t>
              </w:r>
            </w:hyperlink>
          </w:p>
        </w:tc>
        <w:tc>
          <w:tcPr>
            <w:tcW w:w="550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700" w:type="dxa"/>
            <w:vAlign w:val="bottom"/>
            <w:gridSpan w:val="3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700" w:type="dxa"/>
            <w:vAlign w:val="bottom"/>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SECURITIES AUTHORIZED FOR ISSUANCE UNDER EQUITY COMPENSATION PLANS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6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TRANSACTIONS WITH RELATED PERSONS AND INDEMNIFICATION</w:t>
              </w:r>
            </w:hyperlink>
          </w:p>
        </w:tc>
        <w:tc>
          <w:tcPr>
            <w:tcW w:w="1320" w:type="dxa"/>
            <w:vAlign w:val="bottom"/>
            <w:tcBorders>
              <w:top w:val="single" w:sz="8" w:color="0000EE"/>
            </w:tcBorders>
            <w:gridSpan w:val="3"/>
          </w:tcPr>
          <w:p>
            <w:pPr>
              <w:spacing w:after="0"/>
              <w:rPr>
                <w:sz w:val="17"/>
                <w:szCs w:val="17"/>
                <w:color w:val="auto"/>
              </w:rPr>
            </w:pPr>
          </w:p>
        </w:tc>
        <w:tc>
          <w:tcPr>
            <w:tcW w:w="274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Related Person Transactions Policy and Procedures</w:t>
              </w:r>
            </w:hyperlink>
          </w:p>
        </w:tc>
        <w:tc>
          <w:tcPr>
            <w:tcW w:w="564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Certain Related Person Transactions</w:t>
              </w:r>
            </w:hyperlink>
          </w:p>
        </w:tc>
        <w:tc>
          <w:tcPr>
            <w:tcW w:w="6720" w:type="dxa"/>
            <w:vAlign w:val="bottom"/>
            <w:gridSpan w:val="1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934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Indemnification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4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HOUSEHOLDING OF PROXY MATERIALS</w:t>
              </w:r>
            </w:hyperlink>
          </w:p>
        </w:tc>
        <w:tc>
          <w:tcPr>
            <w:tcW w:w="6300" w:type="dxa"/>
            <w:vAlign w:val="bottom"/>
            <w:gridSpan w:val="1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700" w:type="dxa"/>
            <w:vAlign w:val="bottom"/>
            <w:gridSpan w:val="3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OTHER MATTERS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TAYSHA GENE THERAPIES, INC.</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3000 Pegasus Park Drive</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Suite 1430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Dallas, Texas 75247</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17, 2021</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sent you these proxy materials because the Board of Directors of Taysha Gene Therapies, Inc. (sometimes referred to as the “Company” or “Taysha”) is soliciting your proxy to vote at the 2021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w:t>
      </w:r>
      <w:r>
        <w:rPr>
          <w:rFonts w:ascii="Arial" w:cs="Arial" w:eastAsia="Arial" w:hAnsi="Arial"/>
          <w:sz w:val="18"/>
          <w:szCs w:val="18"/>
          <w:b w:val="1"/>
          <w:bCs w:val="1"/>
          <w:color w:val="auto"/>
        </w:rPr>
        <w:t>, or follow the instructions below to submit your</w:t>
      </w:r>
      <w:r>
        <w:rPr>
          <w:rFonts w:ascii="Arial" w:cs="Arial" w:eastAsia="Arial" w:hAnsi="Arial"/>
          <w:sz w:val="18"/>
          <w:szCs w:val="18"/>
          <w:color w:val="auto"/>
        </w:rPr>
        <w:t xml:space="preserve"> </w:t>
      </w:r>
      <w:r>
        <w:rPr>
          <w:rFonts w:ascii="Arial" w:cs="Arial" w:eastAsia="Arial" w:hAnsi="Arial"/>
          <w:sz w:val="18"/>
          <w:szCs w:val="18"/>
          <w:b w:val="1"/>
          <w:bCs w:val="1"/>
          <w:color w:val="auto"/>
        </w:rPr>
        <w:t>proxy over the telephone or through the internet</w:t>
      </w:r>
      <w:r>
        <w:rPr>
          <w:rFonts w:ascii="Arial" w:cs="Arial" w:eastAsia="Arial" w:hAnsi="Arial"/>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mail these proxy materials on or about April 29, 2021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The Annual Meeting will be a virtual stockholder meeting held on Thursday, June 17, 2021 at 10:00 a.m., Eastern Time, through which you can listen to the meeting, submit questions and vote online. The Annual Meeting can be accessed by visiting </w:t>
      </w:r>
      <w:r>
        <w:rPr>
          <w:rFonts w:ascii="Arial" w:cs="Arial" w:eastAsia="Arial" w:hAnsi="Arial"/>
          <w:sz w:val="16"/>
          <w:szCs w:val="16"/>
          <w:i w:val="1"/>
          <w:iCs w:val="1"/>
          <w:color w:val="auto"/>
        </w:rPr>
        <w:t>www.virtualshareholdermeeting.com/TSHA2021</w:t>
      </w:r>
      <w:r>
        <w:rPr>
          <w:rFonts w:ascii="Arial" w:cs="Arial" w:eastAsia="Arial" w:hAnsi="Arial"/>
          <w:sz w:val="16"/>
          <w:szCs w:val="16"/>
          <w:color w:val="auto"/>
        </w:rPr>
        <w:t xml:space="preserve"> and entering the control number included in the proxy card in the enclosed proxy materials. We recommend that you log on a few minutes before the Annual Meeting to ensure that you are logged in when the meeting begins. To access the meeting, follow the instructions you will receive in subsequent emails you receive after registration. Information on how to vote online during the Annual Meeting is discussed below.</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decided to hold a virtual stockholder meeting in light of public health concerns regarding the COVID-19 pandemic in order to protect the health and safety of our stockholders, employees and directors as well as to facilitate stockholder participation at the Annual Meeting. Stockholders attending the virtual meeting will be afforded the same rights and opportunities to participate as they would at an in-person meeting. You will not be able to attend the Annual Meeting in person.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encourage you to access the Annual Meeting before it begins. Online check-in will begin approximately 15 minutes before the meeting.</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Only stockholders of record at the close of business on April 20, 2021 will be entitled to vote at the Annual Meeting. On this record date, there were 37,817,164 shares of common stock outstanding and entitled to vote. Whether or not you participate in the Annual Meeting, it is important that you vote your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on April 20, 2021 your shares were registered directly in your name with the Company’s transfer agent, American Stock Transfer &amp; Trust Company, LLC, then you are a stockholder of record. As a stockholder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record, you may vote online during the meeting or vote by proxy. Whether or not you plan to attend the meeting, we urge you to fill out and return the enclosed proxy card or vote by proxy over the telephone or through the internet as instructed below to ensure your vote is counted.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If on April 20, 2021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bank or other agent.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There are two matters scheduled for a vote:</w:t>
      </w:r>
    </w:p>
    <w:p>
      <w:pPr>
        <w:spacing w:after="0" w:line="135"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two directors (Proposal 1);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selection by the Audit Committee of the Board of Directors of Deloitte &amp; Touche LLP as the independent registered public accounting firm of the Company for the year ending December 31, 2021 (Proposal 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For Proposal 2, you may vote “For” or “Against” or abstain from voting.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procedures for voting are fairly simple: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1" w:lineRule="exact"/>
        <w:rPr>
          <w:sz w:val="20"/>
          <w:szCs w:val="20"/>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online during the meeting, access the Annual Meeting materials by following the instructions you will receive in your email and submit an electronic ballot during the meeting.</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enclosed proxy card. To ensure your vote is counted, your telephone vote must be received before 11:59 p.m., Eastern Time on June 16, 2021.</w:t>
      </w:r>
    </w:p>
    <w:p>
      <w:pPr>
        <w:spacing w:after="0" w:line="76" w:lineRule="exact"/>
        <w:rPr>
          <w:sz w:val="20"/>
          <w:szCs w:val="20"/>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vote through the internet,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complete an electronic proxy card. You will be asked to provide the company number and control number from the enclosed proxy card. To ensure your vote is counted, your internet vote must be received before 11:59 p.m., Eastern Time on June 16,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Arial" w:cs="Arial" w:eastAsia="Arial" w:hAnsi="Arial"/>
          <w:sz w:val="17"/>
          <w:szCs w:val="17"/>
          <w:i w:val="1"/>
          <w:iCs w:val="1"/>
          <w:color w:val="auto"/>
        </w:rPr>
        <w:t xml:space="preserve">www.virtualshareholdermeeting.com/TSHA2021 </w:t>
      </w:r>
      <w:r>
        <w:rPr>
          <w:rFonts w:ascii="Arial" w:cs="Arial" w:eastAsia="Arial" w:hAnsi="Arial"/>
          <w:sz w:val="17"/>
          <w:szCs w:val="17"/>
          <w:color w:val="auto"/>
        </w:rPr>
        <w:t>using the control number as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137160</wp:posOffset>
            </wp:positionV>
            <wp:extent cx="6998970" cy="492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35" w:lineRule="exact"/>
        <w:rPr>
          <w:sz w:val="20"/>
          <w:szCs w:val="20"/>
          <w:color w:val="auto"/>
        </w:rPr>
      </w:pPr>
    </w:p>
    <w:p>
      <w:pPr>
        <w:ind w:left="240" w:right="500"/>
        <w:spacing w:after="0" w:line="266"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each matter to be voted upon, you have one vote for each share of common stock you held as of April 20, 2021.</w:t>
      </w:r>
    </w:p>
    <w:p>
      <w:pPr>
        <w:spacing w:after="0" w:line="329"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Annual Meeting, your shares will not be voted.</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both nominees for director and “For” the ratification of Deloitte &amp; Touche LLP as the Company’s independent registered public accounting firm for the year ending December 31, 2021. If any other matter is properly presented at the meeting, your proxyholder (one of the individuals named on your proxy card) will vote your shares using his or her best judgment.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may use their discretion to vote your “uninstructed” shares with respect to matters considered to be “routine” under such rules, but not with respect to “non-routine” matters. Proposal 1 is considered to be “non-routine” under such rules, meaning that your broker may not vote your shares on this proposal in the absence of your voting instructions. However, Proposal 2 is considered to be “routine” under such rules, meaning that if you do not return voting instructions to your broker by its deadline, your shares may be voted by your broker in its discretion on Proposal 2.</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72" w:lineRule="auto"/>
        <w:rPr>
          <w:sz w:val="20"/>
          <w:szCs w:val="20"/>
          <w:color w:val="auto"/>
        </w:rPr>
      </w:pPr>
      <w:r>
        <w:rPr>
          <w:rFonts w:ascii="Arial" w:cs="Arial" w:eastAsia="Arial" w:hAnsi="Arial"/>
          <w:sz w:val="15"/>
          <w:szCs w:val="15"/>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5"/>
          <w:szCs w:val="15"/>
          <w:b w:val="1"/>
          <w:bCs w:val="1"/>
          <w:i w:val="1"/>
          <w:iCs w:val="1"/>
          <w:u w:val="single" w:color="auto"/>
          <w:color w:val="auto"/>
        </w:rPr>
        <w:t>must</w:t>
      </w:r>
      <w:r>
        <w:rPr>
          <w:rFonts w:ascii="Arial" w:cs="Arial" w:eastAsia="Arial" w:hAnsi="Arial"/>
          <w:sz w:val="15"/>
          <w:szCs w:val="15"/>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5"/>
          <w:szCs w:val="15"/>
          <w:b w:val="1"/>
          <w:bCs w:val="1"/>
          <w:color w:val="auto"/>
        </w:rPr>
        <w: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Corporate Secretary at 3000 Pegasus Park Drive, Suite 1430, Dallas, Texas 75247.</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your shares are held by your broker, bank or other agent, you should follow the instructions provided by your broker, bank or other agent.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To be considered for inclusion in next year’s proxy materials, your proposal must be submitted in writing by December 30, 2021 to 3000 Pegasus Park Drive, Suite 1430, Dallas, Texas 75247. If you wish to nominate an individual for election at, or bring business other than through a stockholder proposal before, the 2022 Annual Meeting of Stockholders, you must deliver your notice to our Corporate Secretary at the address above between February 17, 2022 and March 19, 2022. Your notice to the Corporate Secretary must set forth information specified in our Bylaws, including your name and address and the class and number of shares of our stock that you beneficially own.</w:t>
      </w:r>
    </w:p>
    <w:p>
      <w:pPr>
        <w:spacing w:after="0" w:line="17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If you propose to bring business before an Annual Meeting of Stockholders other than a director nomination, your notice must also include, as to each matter proposed, the following: (1) a brief description of the business desired to be brought before such Annual Meeting and the reasons for conducting that business at the Annual Meeting and (2) any material interest you have in that business. If you propose to nominate an individual for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7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more information, and for more detailed requirements, please refer to our Amended and Restated Bylaws, filed as Exhibit 3.4 to our Registration Statement on Form S-1 (File No. 333-248559), filed with the SEC on September 2,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Proposal 1, votes “For,” “Withhold” and broker non-votes; and, with respect to Proposal 2, votes “For,” “Against” and abstentions. Broker non-votes on Proposal 1 will have no effect and will not be counted towards the vote total for this proposal. We do not expect broker non-votes on Proposal 2. Abstentions on Proposal 2 will be counted towards the vote total for this proposal and will have the same effect as “Against” votes.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stock exchange rules, the broker, bank or other such agent cannot vote the shares. These un-voted shares are counted as “broker non-votes.” Proposal 1 is considered to be “non-routine” under such rules and we therefore expect broker non-votes on this proposal. However, because Proposal 2 is considered “routine” under such rules, we do not expect broker non-votes on this proposal.</w:t>
      </w:r>
    </w:p>
    <w:p>
      <w:pPr>
        <w:spacing w:after="0" w:line="29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b w:val="1"/>
          <w:bCs w:val="1"/>
          <w:color w:val="auto"/>
        </w:rPr>
        <w:t>.</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For the election of directors, the two nominees receiving the most “For” votes from the holders of shares present or represented by proxy and entitled to vote on the election of directors will be elected. Only votes “For” will affect the outcome.</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To be approved, Proposal 2, ratification of the selection of Deloitte &amp; Touche LLP as the Company’s independent registered public accounting firm for the year ending December 31, 2021, must receive “For” votes from the holders of a majority of shares present or represented by proxy and entitled to vote on the matter. If you “Abstain” from voting, it will have the same effect as an “Against” vote. Since brokers have authority to vote on your behalf with respect to Proposal 2, we do not expect broker non-votes on this proposal.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meeting or represented by proxy. On the record date, there were 37,817,164 shares outstanding and entitled to vote. Thus, the holders of 18,908,583 shares must be present or represented by proxy at the meeting to have a quorum.</w:t>
      </w:r>
    </w:p>
    <w:p>
      <w:pPr>
        <w:spacing w:after="0" w:line="14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during the meeting. Abstentions and broker non-votes will be counted towards the quorum requirement. If there is no quorum, either the chairperson of the meeting or the holders of a majority of shares present at the meeting or represented by proxy may adjourn the meeting to another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ask a question at the Annual Meeting?</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 xml:space="preserve">Only stockholders of record as of April 20, 2021 may submit questions or comments at the Annual Meeting. If you would like to submit a question, you may do so by joining the virtual meeting at </w:t>
      </w:r>
      <w:r>
        <w:rPr>
          <w:rFonts w:ascii="Arial" w:cs="Arial" w:eastAsia="Arial" w:hAnsi="Arial"/>
          <w:sz w:val="16"/>
          <w:szCs w:val="16"/>
          <w:i w:val="1"/>
          <w:iCs w:val="1"/>
          <w:color w:val="auto"/>
        </w:rPr>
        <w:t>www.virtualshareholdermeeting.com/TSHA2021</w:t>
      </w:r>
      <w:r>
        <w:rPr>
          <w:rFonts w:ascii="Arial" w:cs="Arial" w:eastAsia="Arial" w:hAnsi="Arial"/>
          <w:sz w:val="16"/>
          <w:szCs w:val="16"/>
          <w:color w:val="auto"/>
        </w:rPr>
        <w:t xml:space="preserve"> and typing your question in the box in the meeting portal.</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 I do if I have technical difficulties in connection with the Annual Meeting?</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If you encounter any difficulties accessing the virtual meeting during the check-in or meeting time, please call the technical support number displayed on the virtual meeting page. Technical support will be available beginning approximately one hour prior to the meeting on June 17, 2021.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 xml:space="preserve">A list of our record stockholders as of the close of business on the record date will be made available to stockholders during the meeting at </w:t>
      </w:r>
      <w:r>
        <w:rPr>
          <w:rFonts w:ascii="Arial" w:cs="Arial" w:eastAsia="Arial" w:hAnsi="Arial"/>
          <w:sz w:val="17"/>
          <w:szCs w:val="17"/>
          <w:i w:val="1"/>
          <w:iCs w:val="1"/>
          <w:color w:val="auto"/>
        </w:rPr>
        <w:t>www.virtualshareholdermeeting.com/TSHA2021</w:t>
      </w:r>
      <w:r>
        <w:rPr>
          <w:rFonts w:ascii="Arial" w:cs="Arial" w:eastAsia="Arial" w:hAnsi="Arial"/>
          <w:sz w:val="17"/>
          <w:szCs w:val="17"/>
          <w:color w:val="auto"/>
        </w:rPr>
        <w:t>. In addition, for the ten days prior to the date of the Annual Meeting, the list will be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examination by any stockholder of record for a legally valid purpose at our corporate headquarters during regular business hours. To access the list of record stockholders beginning June 7, 2021, and until the meeting, stockholders should email IR@tayshagtx.com.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proxy statement, Form 10-K and annual report to stockholders are available at </w:t>
      </w:r>
      <w:r>
        <w:rPr>
          <w:rFonts w:ascii="Arial" w:cs="Arial" w:eastAsia="Arial" w:hAnsi="Arial"/>
          <w:sz w:val="18"/>
          <w:szCs w:val="18"/>
          <w:i w:val="1"/>
          <w:iCs w:val="1"/>
          <w:color w:val="auto"/>
        </w:rPr>
        <w:t>http://www.ir.tayshagtx.com</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2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Board of Directors is divided into three classes,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4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Board of Directors presently has seven members. There are two directors in the class whose term of office expires in 2021. Each of the nominees listed below is currently a director of the Company who was previously elected by the stockholders. If elected at the Annual Meeting, each of these nominees would serve until the 2024 Annual Meeting of Stockholders and until his successor has been duly elected and qualified, or, if sooner, until the director’s death, resignation or removal. It is the Company’s policy to invite and encourage directors and nominees for director to attend each Annual Meeting of Stockholders. As a private company, we did not hold an Annual Meeting of Stockholders in 2020.</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Directors are elected by a plurality of the votes of the holders of shares present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will instead be voted for the election of a substitute nominee proposed by Taysha. Each person nominated for election has agreed to serve if elected. The Company’s management has no reason to believe that any nominee will be unable to serve.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 N</w:t>
      </w:r>
      <w:r>
        <w:rPr>
          <w:rFonts w:ascii="Arial" w:cs="Arial" w:eastAsia="Arial" w:hAnsi="Arial"/>
          <w:sz w:val="14"/>
          <w:szCs w:val="14"/>
          <w:b w:val="1"/>
          <w:bCs w:val="1"/>
          <w:color w:val="auto"/>
        </w:rPr>
        <w:t>OMINEES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LECTION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A T</w:t>
      </w:r>
      <w:r>
        <w:rPr>
          <w:rFonts w:ascii="Arial" w:cs="Arial" w:eastAsia="Arial" w:hAnsi="Arial"/>
          <w:sz w:val="14"/>
          <w:szCs w:val="14"/>
          <w:b w:val="1"/>
          <w:bCs w:val="1"/>
          <w:color w:val="auto"/>
        </w:rPr>
        <w:t>HREE</w:t>
      </w:r>
      <w:r>
        <w:rPr>
          <w:rFonts w:ascii="Arial" w:cs="Arial" w:eastAsia="Arial" w:hAnsi="Arial"/>
          <w:sz w:val="18"/>
          <w:szCs w:val="18"/>
          <w:b w:val="1"/>
          <w:bCs w:val="1"/>
          <w:color w:val="auto"/>
        </w:rPr>
        <w:t>-Y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XPIRING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2024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121"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following is a brief biography of each nominee for director and a discussion of the specific experience, qualifications, attributes or skills of each nominee that led the Nominating and Corporate Governance Committee of the Board of Directors to recommend that person as a nominee for director.</w:t>
      </w:r>
    </w:p>
    <w:p>
      <w:pPr>
        <w:spacing w:after="0" w:line="12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effective functioning of the Board. To provide a mix of experience and perspective on the Board, the Committee also takes into account gender, age and ethnic diversity. The brief biographies below include information, as of the date of this proxy statement, regarding the specific and particular experience, qualifications, attributes or skills of each director or nominee that led the Committee to believe that that nominee should continue to serve on the Board.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 Session II</w:t>
      </w:r>
      <w:r>
        <w:rPr>
          <w:rFonts w:ascii="Arial" w:cs="Arial" w:eastAsia="Arial" w:hAnsi="Arial"/>
          <w:sz w:val="18"/>
          <w:szCs w:val="18"/>
          <w:i w:val="1"/>
          <w:iCs w:val="1"/>
          <w:color w:val="auto"/>
        </w:rPr>
        <w:t>, age 42</w:t>
      </w:r>
    </w:p>
    <w:p>
      <w:pPr>
        <w:spacing w:after="0" w:line="117"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RA Session II has served as our President and Chief Executive Officer and as a member of our Board of Directors since our founding in September 2019. In addition to serving as our President and Chief Executive Officer, Mr. Session currently serves as Entrepreneur-in-Residence of the University of Texas Southwestern Medical Center. He has served on the board of directors of Chardan Healthcare Acquisition 2 Corp. since April 2020.</w:t>
      </w:r>
    </w:p>
    <w:p>
      <w:pPr>
        <w:spacing w:after="0" w:line="2"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color w:val="auto"/>
        </w:rPr>
        <w:t>Mr. Session previously served as Chief Business Officer of the gene therapy subsidiaries of BridgeBio Pharma, Inc., a biopharmaceutical company, from January 2019 to April 2020; Senior Vice President, Corporate Strategy and Project Management of AveXis, Inc., a gene therapy company, from March 2017 to May 2018; and in various roles for PTC Therapeutics, Inc., a biopharmaceutical company, from June 2013 to March 2017, most</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recently as the Vice President of Commercial Development. Mr. Session has also served as an advisor to multiple biotechnology companies, including Alcyone Lifesciences, Inc. from January 2019 to December 2019, 4D Molecular Therapeutics, Inc. from August 2018 to December 2019 and Celenex from June 2018 to September 2018. Mr. Session earned a B.S.B.A. in finance from the University of North Carolina at Charlotte, an M.S.F. in finance from Texas A&amp;M University-Commerce and an M.B.A. from Texas A&amp;M University-Commerce. Our Board of Directors believes that Mr. Session is qualified to serve as a director based on his role as our Chief Executive Officer and his extensive management experience in the biotechnology industry.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Paul B. Manning</w:t>
      </w:r>
      <w:r>
        <w:rPr>
          <w:rFonts w:ascii="Arial" w:cs="Arial" w:eastAsia="Arial" w:hAnsi="Arial"/>
          <w:sz w:val="18"/>
          <w:szCs w:val="18"/>
          <w:i w:val="1"/>
          <w:iCs w:val="1"/>
          <w:color w:val="auto"/>
        </w:rPr>
        <w:t>, age 65</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Paul B. Manning has served as a member of our Board of Directors since March 2020. Mr. Manning currently serves as the Chief Executive Officer of PBM Capital Group, LLC, a private equity investment firm in the business of investing in healthcare and life-science related companies, which he founded in 2010. Mr. Manning currently serves as Chairman of the board of directors of Verrica Pharmaceuticals Inc., a biopharmaceutical company, and on the board of directors of Liquidia Corporation, a biopharmaceutical company. Additionally, he previously served on the boards of directors of Dova Pharmaceuticals, Inc., a biopharmaceutical company, from September 2016 to November 2019 and AveXis, Inc., a gene therapy company, from April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329184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1840" cy="325755"/>
                    </a:xfrm>
                    <a:prstGeom prst="rect">
                      <a:avLst/>
                    </a:prstGeom>
                    <a:noFill/>
                  </pic:spPr>
                </pic:pic>
              </a:graphicData>
            </a:graphic>
          </wp:anchor>
        </w:drawing>
      </w:r>
    </w:p>
    <w:p>
      <w:pPr>
        <w:spacing w:after="0" w:line="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w:t>
      </w:r>
      <w:r>
        <w:rPr>
          <w:rFonts w:ascii="Arial" w:cs="Arial" w:eastAsia="Arial" w:hAnsi="Arial"/>
          <w:sz w:val="18"/>
          <w:szCs w:val="18"/>
          <w:b w:val="1"/>
          <w:bCs w:val="1"/>
          <w:color w:val="auto"/>
        </w:rPr>
        <w:t>.</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NTIL THE</w:t>
      </w:r>
      <w:r>
        <w:rPr>
          <w:rFonts w:ascii="Arial" w:cs="Arial" w:eastAsia="Arial" w:hAnsi="Arial"/>
          <w:sz w:val="18"/>
          <w:szCs w:val="18"/>
          <w:b w:val="1"/>
          <w:bCs w:val="1"/>
          <w:color w:val="auto"/>
        </w:rPr>
        <w:t xml:space="preserve"> 2022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Phillip B. Donenberg</w:t>
      </w:r>
      <w:r>
        <w:rPr>
          <w:rFonts w:ascii="Arial" w:cs="Arial" w:eastAsia="Arial" w:hAnsi="Arial"/>
          <w:sz w:val="18"/>
          <w:szCs w:val="18"/>
          <w:i w:val="1"/>
          <w:iCs w:val="1"/>
          <w:color w:val="auto"/>
        </w:rPr>
        <w:t>, age 60</w:t>
      </w:r>
    </w:p>
    <w:p>
      <w:pPr>
        <w:spacing w:after="0" w:line="11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Phillip B. Donenberg has served as a member of our Board of Directors since August 2020. Mr. Donenberg currently serves as Senior Vice President and Chief Financial Officer of Jaguar Gene Therapy, LLC, a privately held early-stage gene therapy company, and has served in such role since February 2020. Mr. Donenberg has served on the board of directors and as chairman of the audit committee of AVROBIO, Inc., a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gene therapy company, from October 2017 to June 2018 and as Vice President, Corporate Controller from September 2016 to October 2017. Mr. Donenberg served as Chief Financial Officer of RestorGenex Corporation from 2014 until its merger with Diffusion Pharmaceuticals LLC, a pharmaceutical company, in January 2016, and served as the merged company’s consultant Chief Financial Officer until September 2016. Mr. Donenberg earned a B.S. in accountancy from the University of Illinois Champaign-Urbana College of Business and is a Certified Public Accountant. Our Board of Directors believes that</w:t>
      </w:r>
    </w:p>
    <w:p>
      <w:pPr>
        <w:spacing w:after="0" w:line="6"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Mr. Donenberg is qualified to serve as a director based on his financial expertise and his experience as a director and executive of companies in the biotechnology and pharmaceutical industries.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Sukumar Nagendran, M.D.</w:t>
      </w:r>
      <w:r>
        <w:rPr>
          <w:rFonts w:ascii="Arial" w:cs="Arial" w:eastAsia="Arial" w:hAnsi="Arial"/>
          <w:sz w:val="18"/>
          <w:szCs w:val="18"/>
          <w:color w:val="auto"/>
        </w:rPr>
        <w:t>, age 55</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Sukumar Nagendran has served as a member of our Board of Directors since July 2020. Dr. Nagendran currently serves as President, Research and Development at Jaguar Gene Therapy, LLC, a position he has held since February 2020. Dr. Nagendran has served on the board of directors of Solid Biosciences Inc., a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gene therapy company, from September 2015 to May 2018.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NTIL THE</w:t>
      </w:r>
      <w:r>
        <w:rPr>
          <w:rFonts w:ascii="Arial" w:cs="Arial" w:eastAsia="Arial" w:hAnsi="Arial"/>
          <w:sz w:val="18"/>
          <w:szCs w:val="18"/>
          <w:b w:val="1"/>
          <w:bCs w:val="1"/>
          <w:color w:val="auto"/>
        </w:rPr>
        <w:t xml:space="preserve"> 2023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Sean P. Nolan</w:t>
      </w:r>
      <w:r>
        <w:rPr>
          <w:rFonts w:ascii="Arial" w:cs="Arial" w:eastAsia="Arial" w:hAnsi="Arial"/>
          <w:sz w:val="18"/>
          <w:szCs w:val="18"/>
          <w:color w:val="auto"/>
        </w:rPr>
        <w:t>, age 53</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Sean P. Nolan has served as the Chairman of our Board of Directors since March 2020. He has served as the President of Nolan Capital, LLC, an investment fund, since October 2019. Mr. Nolan most recently served as President, Chief Executive Officer and a member of the board of directors of AveXis, Inc., a gene therapy company, from June 2015 to May 2018 until its acquisition by Novartis International AG. Mr. Nolan has served on the board of directors of Ventas, Inc., a healthcare real estate investment trust company, since July 2019 and previously served on the board of directors of Neoleukin Therapeutics, Inc., a biopharmaceutical company, from February 2015 to June 2020. Mr. Nolan serves on the board of directors of several privately held companies including Chairman of Encoded Therapeutics and Affinia Therapeutics, and Executive Chairman of Jaguar Gene Therapy, LLC and Istari Oncology. Mr. Nolan earned a B.S. in biology from John Carroll University. Our Board of Directors believes that Mr. Nolan is qualified to serve as a director based upon his more than 29 years of broad leadership and management experience in the biopharmaceutical industry.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Kathleen Reape, M.D.</w:t>
      </w:r>
      <w:r>
        <w:rPr>
          <w:rFonts w:ascii="Arial" w:cs="Arial" w:eastAsia="Arial" w:hAnsi="Arial"/>
          <w:sz w:val="18"/>
          <w:szCs w:val="18"/>
          <w:color w:val="auto"/>
        </w:rPr>
        <w:t>, age 55</w:t>
      </w:r>
    </w:p>
    <w:p>
      <w:pPr>
        <w:spacing w:after="0" w:line="11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Kathleen Reape has served as a member of our Board of Directors since November 2020. She served as Chief Medical Officer of Spark Therapeutics, Inc. from September 2018 to March 2020 and as the Head of Clinical Research and Development from January 2016 to September 2018. Dr. Reape earned a B.A. in biology and an M.D. from the University of Pennsylvania. Our Board of Directors believes that Dr. Reape is qualified to serve as a director based upon her extensive experience in gene therapy and clinical research and development as well as her involvement with the regulatory approval of products, including small molecules, biologics, biosimilars and therapeutic devices.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Laura Sepp-Lorenzino, Ph.D.</w:t>
      </w:r>
      <w:r>
        <w:rPr>
          <w:rFonts w:ascii="Arial" w:cs="Arial" w:eastAsia="Arial" w:hAnsi="Arial"/>
          <w:sz w:val="18"/>
          <w:szCs w:val="18"/>
          <w:color w:val="auto"/>
        </w:rPr>
        <w:t>, age 60</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Laura Sepp-Lorenzino has served as a member of our Board of Directors since November 2020. She has served as Executive Vice President, Chief Scientific Officer of Intellia Therapeutics, Inc. since May 2019. From September 2017 to May 2019, Dr. Sepp-Lorenzino served as Vice President, Head of Nucleic Acid Therapies at Vertex Pharmaceuticals, Inc. She served as Vice President, Entrepreneur-in-Residence at Alnylam Pharmaceuticals, Inc. from 2014 to September 2017. Dr. Sepp-Lorenzino earned a professional degree in biochemistry from the Universidad de Buenos Aires in Argentina and an M.S. and Ph.D. in biochemistry from New York University. Our Board of Directors believes that Dr. Sepp-Lorenzino is qualified to serve as a director based upon her extensive experience in research and development of nucleic acid therapies.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required under the Nasdaq Stock Market (“Nasdaq”) listing standards, a majority of the members of a listed company’s board of directors must qualify as “independent,” as affirmatively determined by the board of directors. Our Board of Directors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Sean P. Nolan, Phillip B. Donenberg, Paul B. Manning, Sukumar Nagendran, Kathleen Reape and Laura Sepp-Lorenzino. In making this determination, the Board concluded that none of these directors or nominees for director had a material or other disqualifying relationship with the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Board of Directors of the Company has an independent Chair, Mr. Nolan,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In addition, the entire Board receives reports from time to time regarding various enterprise risks facing the Company, and the applicable Board committees receive related reports with respect to the committees’ respective areas of oversight. The Board has delegated to the Board’s Chairman the responsibility of coordinating between the Board and management with regard to the determination and implementation of responses to any problematic risk management issues.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Board of Directors met seven times during the last fiscal year. Each director attended 75% or more of the aggregate number of meetings of the Board and of the committees on which he or she served, held during the portion of the last fiscal year for which he or she was a director or committee member.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has three standing committees: an Audit Committee, a Compensation Committee and a Nominating and Corporate Governance 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membership of each Board committee and meeting information for fiscal year 2020 for each of the Board committees: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40" w:type="dxa"/>
            <w:vAlign w:val="bottom"/>
            <w:vMerge w:val="restart"/>
          </w:tcPr>
          <w:p>
            <w:pPr>
              <w:spacing w:after="0"/>
              <w:rPr>
                <w:sz w:val="12"/>
                <w:szCs w:val="12"/>
                <w:color w:val="auto"/>
              </w:rPr>
            </w:pPr>
          </w:p>
        </w:tc>
        <w:tc>
          <w:tcPr>
            <w:tcW w:w="122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94"/>
              </w:rPr>
              <w:t>Audit</w:t>
            </w: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90"/>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Claire Aldridge, Ph.D.</w:t>
            </w:r>
            <w:r>
              <w:rPr>
                <w:rFonts w:ascii="Arial" w:cs="Arial" w:eastAsia="Arial" w:hAnsi="Arial"/>
                <w:sz w:val="15"/>
                <w:szCs w:val="15"/>
                <w:color w:val="auto"/>
              </w:rPr>
              <w:t>(1)</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Phillip B. Donenberg</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 Manning</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P. Nolan</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X</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Kathleen Reape, M.D.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Sepp-Lorenzino, Ph.D.</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(4)</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RA Session II</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fiscal year 2020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Chairperson</w:t>
      </w:r>
    </w:p>
    <w:p>
      <w:pPr>
        <w:spacing w:after="0" w:line="23"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Aldridge resigned from the Board in July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Nolan resigned from the Audit Committee in November 2020 in connection with Dr. Sepp-Lorenzino’s appointment to the Board.</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Reape was appointed to the Nominating and Corporate Governance Committee in November 2020 in connection with her appointment to the Board.</w:t>
      </w: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Sepp-Lorenzino was appointed to the Audit Committee in November 2020 in connection with her appointment to the Board.</w:t>
      </w:r>
    </w:p>
    <w:p>
      <w:pPr>
        <w:spacing w:after="0" w:line="9"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Session resigned from the Nominating and Corporate Governance in November 2020 in connection with Dr. Reape’s appointment to the Board.</w:t>
      </w:r>
    </w:p>
    <w:p>
      <w:pPr>
        <w:spacing w:after="0" w:line="18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current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7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The Audit Committee is currently composed of three directors: Phillip B. Donenberg, Sukumar Nagendran and Laura Sepp-Lorenzino. The Audit Committee met two times during fiscal year 2020. The Board has adopted a written Audit Committee charter that is available to stockholders on our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8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Board of Directors has also determined that Mr. Donenberg qualifies as an “audit committee financial expert,” as defined in applicable SEC rules. The Board made a qualitative assessment of Mr. Donenberg’s level of knowledge and experience based on a number of factors, including his formal education, that he is a Certified Public Accountant and his experience as a chief financial officer for public reporting companies.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Audit Committee has reviewed and discussed the audited consolidated financial statements for the fiscal year ended December 31, 2020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2020.</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Phillip B. Donenberg,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Sukumar Nagendran, M.D.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 Sepp-Lorenzino, Ph.D.</w:t>
      </w:r>
    </w:p>
    <w:p>
      <w:pPr>
        <w:spacing w:after="0" w:line="238" w:lineRule="exact"/>
        <w:rPr>
          <w:sz w:val="20"/>
          <w:szCs w:val="20"/>
          <w:color w:val="auto"/>
        </w:rPr>
      </w:pPr>
    </w:p>
    <w:p>
      <w:pPr>
        <w:ind w:left="340" w:right="60" w:hanging="224"/>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Compensation Committee of the Board of Directors acts on behalf of the Board to review, modify and oversee the Company’s compensation strategy, policies, plans and programs, including:</w:t>
      </w:r>
    </w:p>
    <w:p>
      <w:pPr>
        <w:spacing w:after="0" w:line="76" w:lineRule="exact"/>
        <w:rPr>
          <w:sz w:val="20"/>
          <w:szCs w:val="20"/>
          <w:color w:val="auto"/>
        </w:rPr>
      </w:pPr>
    </w:p>
    <w:p>
      <w:pPr>
        <w:ind w:left="1080" w:right="2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corporate and individual performance objectives relevant to the compensation of our executive officers, directors and other senior management and evaluating performance in light of these stated objectives;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or reviewing and recommending to the Board of Directors for approval, the compensation and other terms of employment or service, including severance and change-in-control arrangements, of our Chief Executive Officer and the other executive officers;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the Board for approval compensation arrangements for our directors;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administration of our equity compensation plans, pension and profit-sharing plans, deferred compensation plans and other similar plan and programs;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our compensation policies and practices as they relate to risk management and risk-taking incentives.</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The Compensation Committee is currently composed of three directors: Phillip B. Donenberg, Sukumar Nagendran and Sean P. Nolan. All members of the Company’s Compensation Committee are independent (as independence is currently defined in Rule 5605(d)(2) of the Nasdaq listing standards). The Compensation Committee met three times during fiscal year 2020. The Board has adopted a written Compensation Committee charter that is available to stockholders on the Company’s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Typically, the Compensation Committee meets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In addition, various members of management and other employees as well as outside advisors or consultants are frequently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advisors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w:t>
      </w:r>
    </w:p>
    <w:p>
      <w:pPr>
        <w:spacing w:after="0" w:line="17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referenced above, the Compensation Committee engaged Radford as its compensation consultant.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Compensation Committee identified Radford based on Radford’s general reputation in the industry. The Compensation Committee requested that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Radford:</w:t>
      </w:r>
    </w:p>
    <w:p>
      <w:pPr>
        <w:spacing w:after="0" w:line="116" w:lineRule="exact"/>
        <w:rPr>
          <w:sz w:val="20"/>
          <w:szCs w:val="20"/>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 the Compensation Committee in refining the Company’s compensation strategy and in developing and implementing an executive compensation program to execute that strategy.</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part of the engagement, the Compensation Committee directed Radford to develop a comparative group of companies and to perform analyses of competitive performance and compensation levels for that group. Radford ultimately developed recommendations that were presented to the Compensation Committee for its consideration. Following an active dialogue with Radford</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Compensation Committee recommended that the Board of Directors approve the recommendations of Radford.</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Under its charter, the Compensation Committee may form, and delegate authority to, subcommittees as appropriate. In fiscal year 2020, the Compensation Committee delegated authority to Mr. Session, the Company’s President and Chief Executive Officer,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During fiscal year 2020, Mr. Session exercised his authority to grant options to purchase an aggregate of 472,500 shares to non-officer employees.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Historically, the Compensation Committee has determined annual compensation for our executive officers during the first quarter of the year, including any adjustments to annual base salaries and approval of awards of annual performance bonuses and equity awards, as well as approval of new annual performance objectives for the coming year. In addition, at various meetings throughout the year the Compensation Committee also considers matters related to individual compensation, such as compensation for new executive hires and other strategic compensation issues, such as the efficacy of the Company’s compensation strategy, potential modifications to that strategy and new trends, plans or approaches to compensation. For executives other than the Chief Executive Officer, the Compensation Committee solicits and considers evaluations and recommendations submitted by the Chief Executive Officer when determining the compensation of the other executive officers. In the case of the Chief Executive Officer, the Compensation Committee evaluates his performance, which influences any adjustments the Committee approves to his compensation as well as awards to be granted. As part of its deliberations, the Compensation Committee may review and consider, as appropriate, materials that it deems appropriate, including financial reports and projections, tax and accounting information,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Nominating and Corporate Governance Committee of the Board of Directors is responsible for identifying, reviewing and evaluating candidates to serve as directors of the Company (consistent with any criteria provided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by the Board), reviewing and evaluating incumbent directors and the performance of the Board generally, making recommendations to the Board regarding the membership of the committees of the Board and developing a set of corporate governance principles for the Company.</w:t>
      </w:r>
    </w:p>
    <w:p>
      <w:pPr>
        <w:spacing w:after="0" w:line="12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 xml:space="preserve">The Nominating and Corporate Governance Committee is currently composed of three directors: Paul B. Manning, Sean P. Nolan and Kathleen Reape. All members of the Nominating and Corporate Governance Committee are independent (as independence is currently defined in Rule 5605(a)(2) of the Nasdaq listing standards). The Nominating and Corporate Governance Committee met one time during fiscal year 2020. The Board has adopted a written Nominating and Corporate Governance Committee charter that is available to stockholders on the Company’s website at </w:t>
      </w:r>
      <w:r>
        <w:rPr>
          <w:rFonts w:ascii="Arial" w:cs="Arial" w:eastAsia="Arial" w:hAnsi="Arial"/>
          <w:sz w:val="16"/>
          <w:szCs w:val="16"/>
          <w:i w:val="1"/>
          <w:iCs w:val="1"/>
          <w:color w:val="auto"/>
        </w:rPr>
        <w:t>www.tayshagtx.com</w:t>
      </w:r>
      <w:r>
        <w:rPr>
          <w:rFonts w:ascii="Arial" w:cs="Arial" w:eastAsia="Arial" w:hAnsi="Arial"/>
          <w:sz w:val="16"/>
          <w:szCs w:val="16"/>
          <w:color w:val="auto"/>
        </w:rPr>
        <w:t>.</w:t>
      </w:r>
    </w:p>
    <w:p>
      <w:pPr>
        <w:spacing w:after="0" w:line="1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other factors when considering potential candidates, including expertise relevant to the Company’s current and planned operations, having sufficient time to devote to the affairs of the Company, demonstrated excellence in his or her field, having the ability to exercise sound business judgment and having commitment to support the Company’s long-term interests. The Nominating and Corporate Governance Committee retains the right to modify these qualifications from time to time as the Company’s needs change and evolve. Board diversity and inclusion is critical to the Company’s success. Candidates for director nominees are also reviewed in the context of the current composition of the Board, the operating requirements of the Company and the long-term interests of stockholders. In conducting this assessment, the Nominating and Corporate Governance Committee may also consider diversity (including gender, racial and ethnic diversity), age, skills and such other factors as it deems appropriate, given the current needs of the Board and the Company.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commitment to diversity and inclusion.</w:t>
      </w:r>
    </w:p>
    <w:p>
      <w:pPr>
        <w:spacing w:after="0" w:line="18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Nominating and Corporate Governance Committee appreciates the value of thoughtful changes to the Board’s membership and identifies and considers qualities, skills and other director attributes that might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could impair the directors’ independence. The Nominating and Corporate Governance Committee also considers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other factors. The Nominating and Corporate Governance Committee then uses its network to compile a list of potential candidates, which may include recommendations from a professional search firm when deemed appropriate. The Nominating and Corporate Governance Committee conducts any appropriate and necessary inquiries into the backgrounds and qualifications of possible candidates after considering the needs of the Board. The Nominating and Corporate Governance Committee then meets to discuss and consider the candidates’ qualifications and then selects a nominee for recommendation to the Board. In fiscal year 2020, the Nominating and Corporate Governance Committee engaged and paid a fee to Chartwell Partners to assist in the process of identifying and evaluating director candidates. However, all current directors and nominees for director were identified and nominated by members of the Board.</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consideration by the Nominating and Corporate Governance Committee to become nominees for election to the Board may do so by delivering a written recommendation to the Nominating and Corporate Governance Committee at the following address: Taysha Gene Therapies, Inc., Attention: Corporate Secretary, 3000 Pegasus Park Drive, Suite 1430, Dallas, Texas 75247, at least 90 days, but not more than 120 days prior to the anniversary date of the mailing of our proxy statement for the preceding year’s Annual Meeting of Stockholders. Submissions must include the information required by our Bylaws, including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submission must be accompanied by the written consent of the proposed nominee to be named as a nominee and to serve as a director if elected.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Board has adopted a formal process by which stockholders may communicate with the Board or any of its directors. Stockholders who wish to communicate with the Board may do so by sending written communications addressed to the Board or the director in care of Taysha Gene Therapies, Inc., 3000 Pegasus Park Drive, Suite 1430, Dallas, Texas 75247, Attn: Corporate Secretary. Each communication must set forth the name and address of the stockholder on whose behalf the communication is sent and the number and class of shares of our stock that are owned beneficially by the stockholder as of the date of the communication.</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These communications will be reviewed by our Corporate Secretary, who will determine whether they should be presented to the Board. The purpose of this screening is to allow the Board to avoid having to consider communications that contain advertisements or solicitations or are unduly hostile, threatening or similarly inappropriate. All communications directed to the Compliance Officer in accordance with our Whistleblower Policy for Accounting and Auditing Matters that relate to questionable accounting or auditing matters involving our company will be promptly and directly forwarded to the Audit Committee.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The Company has adopted the Taysha Code of Business Conduct and Ethics that applies to all officers, directors and employees. The Code of Business Conduct and Ethics is available on our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If the Company makes any substantive amendments to the Code of Business Conduct and Ethics or grants any waiver from a provision of the Code to any executive officer or director, the Company will promptly disclose the nature of the amendment or waiver on its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Our Insider Trading Policy prohibits our employees, including our executive officers, and the non-employee members of our Board from engaging in short sales, transactions in put or call options, hedging transactions, using margin accounts, or other inherently speculative transactions involving our equity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ATIFICATION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ELECTION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22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Audit Committee of the Board of Directors has selected Deloitte &amp; Touche LLP as the Company’s independent registered public accounting firm for the fiscal year ending December 31, 2021 and has further directed that management submit the selection of its independent registered public accounting firm for ratification by the stockholders at the Annual Meeting. Deloitte &amp; Touche LLP has audited the Company’s consolidated financial statements since 2020. Representatives of Deloitte &amp; Touche LLP are expected to be present online at the Annual Meeting. They will have an opportunity to make a statement if they so desire and will be available to respond to appropriate questions.</w:t>
      </w:r>
    </w:p>
    <w:p>
      <w:pPr>
        <w:spacing w:after="0" w:line="176"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Neither the Company’s Bylaws nor other governing documents or law require stockholder ratification of the selection of Deloitte &amp; Touche LLP as the Company’s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6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affirmative vote of the holders of a majority of the shares present or represented by proxy and entitled to vote on the matter at the Annual Meeting will be required to ratify the selection of Deloitte &amp; Touche LLP.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table represents aggregate fees billed to the Company for the fiscal year ended December 31, 2020 by Deloitte &amp; Touche LLP, the Company’s principal accountant. No fees were billed to us by Deloitte &amp; Touche LLP during the period from September 20, 2019 (date of our inception) through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8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1,311,459</w:t>
            </w:r>
          </w:p>
        </w:tc>
        <w:tc>
          <w:tcPr>
            <w:tcW w:w="40" w:type="dxa"/>
            <w:vAlign w:val="bottom"/>
            <w:tcBorders>
              <w:top w:val="single" w:sz="8" w:color="CCEEFF"/>
            </w:tcBorders>
            <w:shd w:val="clear" w:color="auto" w:fill="CCEEFF"/>
          </w:tcPr>
          <w:p>
            <w:pPr>
              <w:spacing w:after="0"/>
              <w:rPr>
                <w:sz w:val="18"/>
                <w:szCs w:val="18"/>
                <w:color w:val="auto"/>
              </w:rPr>
            </w:pPr>
          </w:p>
        </w:tc>
      </w:tr>
      <w:tr>
        <w:trPr>
          <w:trHeight w:val="224"/>
        </w:trPr>
        <w:tc>
          <w:tcPr>
            <w:tcW w:w="89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1,311,459</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85090</wp:posOffset>
            </wp:positionV>
            <wp:extent cx="762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4" w:lineRule="exact"/>
        <w:rPr>
          <w:sz w:val="20"/>
          <w:szCs w:val="20"/>
          <w:color w:val="auto"/>
        </w:rPr>
      </w:pPr>
    </w:p>
    <w:p>
      <w:pPr>
        <w:ind w:left="1080" w:right="2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the independent registered public accounting firm in connection with regulatory filings. The audit fees also include fees for professional services provided in connection with our initial public offering in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Audit Committee has adopted a policy and procedures for the pre-approval of audit and non-audit services rendered by our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Audit Committee has determined that the rendering of services other than audit services by Deloitte &amp; Touche LLP is compatible with maintaining the principal accountant’s independence.</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3291840"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1840" cy="325755"/>
                    </a:xfrm>
                    <a:prstGeom prst="rect">
                      <a:avLst/>
                    </a:prstGeom>
                    <a:noFill/>
                  </pic:spPr>
                </pic:pic>
              </a:graphicData>
            </a:graphic>
          </wp:anchor>
        </w:drawing>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2.</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459"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tc>
      </w:tr>
      <w:tr>
        <w:trPr>
          <w:trHeight w:val="432"/>
        </w:trPr>
        <w:tc>
          <w:tcPr>
            <w:tcW w:w="11020" w:type="dxa"/>
            <w:vAlign w:val="bottom"/>
            <w:gridSpan w:val="5"/>
          </w:tcPr>
          <w:p>
            <w:pPr>
              <w:spacing w:after="0"/>
              <w:rPr>
                <w:sz w:val="20"/>
                <w:szCs w:val="20"/>
                <w:color w:val="auto"/>
              </w:rPr>
            </w:pPr>
            <w:r>
              <w:rPr>
                <w:rFonts w:ascii="Arial" w:cs="Arial" w:eastAsia="Arial" w:hAnsi="Arial"/>
                <w:sz w:val="18"/>
                <w:szCs w:val="18"/>
                <w:color w:val="auto"/>
              </w:rPr>
              <w:t>Our executive officers, and their respective ages as of April 1, 2020, are as follows:</w:t>
            </w:r>
          </w:p>
        </w:tc>
      </w:tr>
      <w:tr>
        <w:trPr>
          <w:trHeight w:val="412"/>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24"/>
                <w:szCs w:val="24"/>
                <w:color w:val="auto"/>
              </w:rPr>
            </w:pPr>
          </w:p>
        </w:tc>
        <w:tc>
          <w:tcPr>
            <w:tcW w:w="6400" w:type="dxa"/>
            <w:vAlign w:val="bottom"/>
          </w:tcPr>
          <w:p>
            <w:pPr>
              <w:ind w:left="288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RA</w:t>
            </w: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Session II</w:t>
            </w:r>
          </w:p>
        </w:tc>
        <w:tc>
          <w:tcPr>
            <w:tcW w:w="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16"/>
                <w:szCs w:val="16"/>
                <w:color w:val="auto"/>
              </w:rPr>
            </w:pPr>
          </w:p>
        </w:tc>
        <w:tc>
          <w:tcPr>
            <w:tcW w:w="6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Kamran Alam</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Suyash Prasad, M.B.B.S., F.F.P.M.</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Medical Officer and Head of Research and Development</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biography of Mr. Session is set forth in “Proposal 1: Election of Directors” above.</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 xml:space="preserve">Kamran Alam </w:t>
      </w:r>
      <w:r>
        <w:rPr>
          <w:rFonts w:ascii="Arial" w:cs="Arial" w:eastAsia="Arial" w:hAnsi="Arial"/>
          <w:sz w:val="18"/>
          <w:szCs w:val="18"/>
          <w:color w:val="auto"/>
        </w:rPr>
        <w:t>has served as our Chief Financial Officer since August 2020. Mr. Alam previously served as Senior Vice President, Finance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Rocket Pharmaceuticals, Inc., a biopharmaceutical company, from October 2019 to July 2020 and as Vice President, Finance at AveXis, Inc., a gene therapy company, from April 2016 to October 2019. From 2013 to April 2016, he held positions of increasing responsibility at Aptinyx Inc., a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192"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i w:val="1"/>
          <w:iCs w:val="1"/>
          <w:color w:val="auto"/>
        </w:rPr>
        <w:t xml:space="preserve">Suyash Prasad </w:t>
      </w:r>
      <w:r>
        <w:rPr>
          <w:rFonts w:ascii="Arial" w:cs="Arial" w:eastAsia="Arial" w:hAnsi="Arial"/>
          <w:sz w:val="16"/>
          <w:szCs w:val="16"/>
          <w:color w:val="auto"/>
        </w:rPr>
        <w:t>has served as our Chief Medical Officer and Head of Research and Development since June 2020. Dr. Prasad has served as principal of</w:t>
      </w:r>
      <w:r>
        <w:rPr>
          <w:rFonts w:ascii="Arial" w:cs="Arial" w:eastAsia="Arial" w:hAnsi="Arial"/>
          <w:sz w:val="16"/>
          <w:szCs w:val="16"/>
          <w:i w:val="1"/>
          <w:iCs w:val="1"/>
          <w:color w:val="auto"/>
        </w:rPr>
        <w:t xml:space="preserve"> </w:t>
      </w:r>
      <w:r>
        <w:rPr>
          <w:rFonts w:ascii="Arial" w:cs="Arial" w:eastAsia="Arial" w:hAnsi="Arial"/>
          <w:sz w:val="16"/>
          <w:szCs w:val="16"/>
          <w:color w:val="auto"/>
        </w:rPr>
        <w:t>Suyash Prasad Consulting LLC, a consulting firm, since October 2019. He previously served as Senior Vice President and Chief Medical Officer of Audentes Therapeutics, Inc., a gene therapy company, from 2014 to June 2019. Dr. Prasad earned a medical degree from the University of Newcastle-upon-Tyne, United Kingdom, a master’s degree (with distinction) in translational science from Kings College, London, United Kingdom, and a diploma in pharmaceutical medicine from the Faculty of Pharmaceutical Medicine of the Royal Colleges of Physicians of the United Kingdom. Dr. Prasad is a United Kingdom board-certified physician and is a member of the Royal College of Physicians and the Royal College of Pediatrics and Child Health and is a Fellow of the Faculty of Pharmaceutical Medicine of the Royal College of Physicians of the United Kingdom.</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WNERSHIP 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WNERS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p>
    <w:p>
      <w:pPr>
        <w:spacing w:after="0" w:line="22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following table sets forth certain information regarding the ownership of the Company’s common stock as of April 1, 2021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860" w:type="dxa"/>
            <w:vAlign w:val="bottom"/>
            <w:tcBorders>
              <w:top w:val="single" w:sz="8" w:color="auto"/>
            </w:tcBorders>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2"/>
              </w:rPr>
              <w:t>Number of Shares</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6500" w:type="dxa"/>
            <w:vAlign w:val="bottom"/>
            <w:vMerge w:val="restart"/>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18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90"/>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1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RA Session II</w:t>
            </w:r>
            <w:r>
              <w:rPr>
                <w:rFonts w:ascii="Arial" w:cs="Arial" w:eastAsia="Arial" w:hAnsi="Arial"/>
                <w:sz w:val="15"/>
                <w:szCs w:val="15"/>
                <w:color w:val="auto"/>
              </w:rPr>
              <w:t>(2)</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9,430,582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5,664,215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(4)</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2,229,816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UT Southwestern</w:t>
            </w:r>
            <w:r>
              <w:rPr>
                <w:rFonts w:ascii="Arial" w:cs="Arial" w:eastAsia="Arial" w:hAnsi="Arial"/>
                <w:sz w:val="15"/>
                <w:szCs w:val="15"/>
                <w:color w:val="auto"/>
              </w:rPr>
              <w:t>(5)</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2,179,000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 Session II</w:t>
            </w:r>
            <w:r>
              <w:rPr>
                <w:rFonts w:ascii="Arial" w:cs="Arial" w:eastAsia="Arial" w:hAnsi="Arial"/>
                <w:sz w:val="15"/>
                <w:szCs w:val="15"/>
                <w:color w:val="auto"/>
              </w:rPr>
              <w:t>(2)</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9,430,582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Kamran Alam</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Suyash Prasad, M.B.B.S, F.F.P.M.</w:t>
            </w:r>
            <w:r>
              <w:rPr>
                <w:rFonts w:ascii="Arial" w:cs="Arial" w:eastAsia="Arial" w:hAnsi="Arial"/>
                <w:sz w:val="15"/>
                <w:szCs w:val="15"/>
                <w:color w:val="auto"/>
              </w:rPr>
              <w:t>(6)</w:t>
            </w: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3,844*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Phillip B. Donenberg</w:t>
            </w:r>
            <w:r>
              <w:rPr>
                <w:rFonts w:ascii="Arial" w:cs="Arial" w:eastAsia="Arial" w:hAnsi="Arial"/>
                <w:sz w:val="15"/>
                <w:szCs w:val="15"/>
                <w:color w:val="auto"/>
              </w:rPr>
              <w:t>(7)</w:t>
            </w: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6,888*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Paul B. Manning</w:t>
            </w:r>
            <w:r>
              <w:rPr>
                <w:rFonts w:ascii="Arial" w:cs="Arial" w:eastAsia="Arial" w:hAnsi="Arial"/>
                <w:sz w:val="15"/>
                <w:szCs w:val="15"/>
                <w:color w:val="auto"/>
              </w:rPr>
              <w:t>(8)</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5,222,195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Sean P. Nolan</w:t>
            </w:r>
            <w:r>
              <w:rPr>
                <w:rFonts w:ascii="Arial" w:cs="Arial" w:eastAsia="Arial" w:hAnsi="Arial"/>
                <w:sz w:val="15"/>
                <w:szCs w:val="15"/>
                <w:color w:val="auto"/>
              </w:rPr>
              <w:t>(9)</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1,097,989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Sukumar Nagendran, M.D.</w:t>
            </w:r>
            <w:r>
              <w:rPr>
                <w:rFonts w:ascii="Arial" w:cs="Arial" w:eastAsia="Arial" w:hAnsi="Arial"/>
                <w:sz w:val="15"/>
                <w:szCs w:val="15"/>
                <w:color w:val="auto"/>
              </w:rPr>
              <w:t>(10)</w:t>
            </w: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26,114*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Kathleen Reape, M.D</w:t>
            </w:r>
            <w:r>
              <w:rPr>
                <w:rFonts w:ascii="Arial" w:cs="Arial" w:eastAsia="Arial" w:hAnsi="Arial"/>
                <w:sz w:val="15"/>
                <w:szCs w:val="15"/>
                <w:color w:val="auto"/>
              </w:rPr>
              <w:t>.(11)</w:t>
            </w: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5,166*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Laura Sepp-Lorenzino, Ph.D.</w:t>
            </w:r>
            <w:r>
              <w:rPr>
                <w:rFonts w:ascii="Arial" w:cs="Arial" w:eastAsia="Arial" w:hAnsi="Arial"/>
                <w:sz w:val="15"/>
                <w:szCs w:val="15"/>
                <w:color w:val="auto"/>
              </w:rPr>
              <w:t>(12)</w:t>
            </w: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5,166*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(9 persons)</w:t>
            </w:r>
            <w:r>
              <w:rPr>
                <w:rFonts w:ascii="Arial" w:cs="Arial" w:eastAsia="Arial" w:hAnsi="Arial"/>
                <w:sz w:val="15"/>
                <w:szCs w:val="15"/>
                <w:color w:val="auto"/>
              </w:rPr>
              <w:t>(13)</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15,797,944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ownership of less than one percent.</w:t>
      </w:r>
    </w:p>
    <w:p>
      <w:pPr>
        <w:spacing w:after="0" w:line="23" w:lineRule="exact"/>
        <w:rPr>
          <w:sz w:val="20"/>
          <w:szCs w:val="20"/>
          <w:color w:val="auto"/>
        </w:rPr>
      </w:pPr>
    </w:p>
    <w:p>
      <w:pPr>
        <w:ind w:left="540" w:right="20" w:hanging="424"/>
        <w:spacing w:after="0" w:line="28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37,761,435 shares outstanding on April 1, 2021, adjusted as required by rules promulgated by the SEC.</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(a) 9,148,402 shares of common stock (including 512,962 shares of unvested restricted common stock), (b) 141,090 shares of common stock held by the Session 2020 Annuity Trust I, of which Mr. Session is the trustee and has sole voting and investment power with respect to the shares held by such trust and (c) 141,090 shares of common stock held by the Session 2020 Annuity Trust II, of which Mr. Session is the trustee and has sole voting and investment power with respect to the shares held by such trust.</w:t>
      </w:r>
    </w:p>
    <w:p>
      <w:pPr>
        <w:ind w:left="540" w:right="60" w:hanging="424"/>
        <w:spacing w:after="0" w:line="268"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13G/A filed on February 16, 2021 by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86" w:lineRule="auto"/>
        <w:rPr>
          <w:sz w:val="20"/>
          <w:szCs w:val="20"/>
          <w:color w:val="auto"/>
        </w:rPr>
      </w:pPr>
      <w:r>
        <w:rPr>
          <w:rFonts w:ascii="Arial" w:cs="Arial" w:eastAsia="Arial" w:hAnsi="Arial"/>
          <w:sz w:val="16"/>
          <w:szCs w:val="16"/>
          <w:color w:val="auto"/>
        </w:rPr>
        <w:t>shares owned directly by the various investment companies registered under the Investment Company Act of 1940, or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FMR LLC is 245 Summer Street, Boston, Massachusetts 02110.</w:t>
      </w:r>
    </w:p>
    <w:p>
      <w:pPr>
        <w:spacing w:after="0" w:line="1" w:lineRule="exact"/>
        <w:rPr>
          <w:sz w:val="20"/>
          <w:szCs w:val="20"/>
          <w:color w:val="auto"/>
        </w:rPr>
      </w:pPr>
    </w:p>
    <w:p>
      <w:pPr>
        <w:ind w:left="540" w:right="22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13G filed on February 2, 2021 by BlackRock, Inc., pursuant to which BlackRock, Inc. reported having sole voting power over 2,221,008 shares, shared voting power over no shares, sole dispositive power over 2,229,816 shares and shared dispositive power over no shares. The address of BlackRock, Inc. is 55 East 52nd Street, New York, NY 10055.</w:t>
      </w:r>
    </w:p>
    <w:p>
      <w:pPr>
        <w:ind w:left="540" w:right="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13G filed on February 16, 2021 by entities and individuals associated with The University of Texas/Texas A&amp;M Investment Management Company. Consists of 2,179,000 shares of common stock held by The Board of Regents of the University of Texas System on behalf of UT Southwestern. The business address for The Board of Regents of the University of Texas System is 5323 Harry Hines Boulevard, Dallas, Texas 75390-9094.</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3,844 shares of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6,888 shares of common stock issuable upon the exercise of options within 60 days of April 1, 2021.</w:t>
      </w:r>
    </w:p>
    <w:p>
      <w:pPr>
        <w:spacing w:after="0" w:line="9" w:lineRule="exact"/>
        <w:rPr>
          <w:rFonts w:ascii="Arial" w:cs="Arial" w:eastAsia="Arial" w:hAnsi="Arial"/>
          <w:sz w:val="18"/>
          <w:szCs w:val="18"/>
          <w:color w:val="auto"/>
        </w:rPr>
      </w:pPr>
    </w:p>
    <w:p>
      <w:pPr>
        <w:jc w:val="both"/>
        <w:ind w:left="540" w:right="16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3,195,205 shares of common stock held by The Paul B. Manning Revocable Trust dated May 10, 2000, of which Mr. Manning is the trustee and has sole voting and investment power with respect to the shares held by such trust, (b) 2,020,102 shares of common stock held by BKB Growth Investments, LLC and (c) 6,888 shares of common stock issuable upon the exercise of options within 60 days of April 1, 2021.</w:t>
      </w:r>
    </w:p>
    <w:p>
      <w:pPr>
        <w:spacing w:after="0" w:line="1" w:lineRule="exact"/>
        <w:rPr>
          <w:rFonts w:ascii="Arial" w:cs="Arial" w:eastAsia="Arial" w:hAnsi="Arial"/>
          <w:sz w:val="16"/>
          <w:szCs w:val="16"/>
          <w:color w:val="auto"/>
        </w:rPr>
      </w:pPr>
    </w:p>
    <w:p>
      <w:pPr>
        <w:jc w:val="both"/>
        <w:ind w:left="540" w:right="160"/>
        <w:spacing w:after="0" w:line="250" w:lineRule="auto"/>
        <w:rPr>
          <w:rFonts w:ascii="Arial" w:cs="Arial" w:eastAsia="Arial" w:hAnsi="Arial"/>
          <w:sz w:val="16"/>
          <w:szCs w:val="16"/>
          <w:color w:val="auto"/>
        </w:rPr>
      </w:pPr>
      <w:r>
        <w:rPr>
          <w:rFonts w:ascii="Arial" w:cs="Arial" w:eastAsia="Arial" w:hAnsi="Arial"/>
          <w:sz w:val="18"/>
          <w:szCs w:val="18"/>
          <w:color w:val="auto"/>
        </w:rPr>
        <w:t>Mr. Manning is a co-manager of Tiger Lily Capital, LLC, the manager of BKB Growth Investments, LLC, and has shared voting and investment power with respect to the shares held by BKB Growth Investments, LLC. The business address for each person and entity named in this footnote is 200 Garrett Street, Suite S, Charlottesville, Virginia 22902.</w:t>
      </w:r>
    </w:p>
    <w:p>
      <w:pPr>
        <w:spacing w:after="0" w:line="1"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1,091,101 shares of common stock held by Nolan Capital, LLC and (b) 6,888 shares of common stock issuable upon the exercise of options within 60 days of April 1, 2021. Mr. Nolan is the President of Nolan Capital, LLC and has shared voting and investment power with respect to the shares held by Nolan Capital, LLC. The business address for each person and entity named in this footnote is 8 The Green, Ste. R, Dover, Delaware 19901.</w:t>
      </w:r>
    </w:p>
    <w:p>
      <w:pPr>
        <w:spacing w:after="0" w:line="1"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19,226 shares of common stock and (b) 6,888 shares of common stock issuable upon the exercise of options within 60 days of April 1, 2021.</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5,166 shares of common stock issuable upon the exercise of options within 60 days of April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5,166 shares of common stock issuable upon the exercise of options within 60 days of April 1, 2021.</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15,760,060 shares of common stock (including 512,962 shares of unvested restricted common stock) and (b) 37,884 shares of common stock issuable upon the exercise of options within 60 days of April 1,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year ended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Non-Equity</w:t>
            </w:r>
          </w:p>
        </w:tc>
        <w:tc>
          <w:tcPr>
            <w:tcW w:w="14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Salary</w:t>
            </w:r>
          </w:p>
        </w:tc>
        <w:tc>
          <w:tcPr>
            <w:tcW w:w="1120" w:type="dxa"/>
            <w:vAlign w:val="bottom"/>
            <w:gridSpan w:val="2"/>
            <w:vMerge w:val="continue"/>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3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RA Session II</w:t>
            </w: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 Executive Officer and Director</w:t>
            </w:r>
            <w:r>
              <w:rPr>
                <w:rFonts w:ascii="Arial" w:cs="Arial" w:eastAsia="Arial" w:hAnsi="Arial"/>
                <w:sz w:val="15"/>
                <w:szCs w:val="15"/>
                <w:color w:val="auto"/>
              </w:rPr>
              <w:t>(3)</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362,594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4,060,626</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271,878</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4,695,252</w:t>
            </w: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rPr>
              <w:t>Kamran Alam</w:t>
            </w: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142,088</w:t>
            </w:r>
            <w:r>
              <w:rPr>
                <w:rFonts w:ascii="Arial" w:cs="Arial" w:eastAsia="Arial" w:hAnsi="Arial"/>
                <w:sz w:val="15"/>
                <w:szCs w:val="15"/>
                <w:color w:val="auto"/>
              </w:rPr>
              <w:t>(5)</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4,933,703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85,217</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330,153</w:t>
            </w:r>
            <w:r>
              <w:rPr>
                <w:rFonts w:ascii="Arial" w:cs="Arial" w:eastAsia="Arial" w:hAnsi="Arial"/>
                <w:sz w:val="15"/>
                <w:szCs w:val="15"/>
                <w:color w:val="auto"/>
              </w:rPr>
              <w:t>(6)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5,491,161</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Suyash Prasad, M.B.B.S, F.F.P.M.</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7"/>
              </w:rPr>
              <w:t>Chief Medical Officer and Head of Research and Development</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216,833</w:t>
            </w:r>
            <w:r>
              <w:rPr>
                <w:rFonts w:ascii="Arial" w:cs="Arial" w:eastAsia="Arial" w:hAnsi="Arial"/>
                <w:sz w:val="15"/>
                <w:szCs w:val="15"/>
                <w:color w:val="auto"/>
              </w:rPr>
              <w:t>(7)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3,668,409</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129,975</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4,015,369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2"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stock awards granted during the year measured pursuant to Financial Accounting Standards Board Accounting Standards Codification Topic 718, or ASC Topic 718, the basis for computing stock-based compensation in our financial statements. This calculation assumes that the named executive officer will perform the requisite service for the award to vest in full as required by SEC rules. The assumptions we used in valuing stock awards are described in Note 8 to our consolidated financial statements included in our Annual Report on Form 10-K (File No. 001-39536) filed with the SEC on March 3, 2021. These amounts do not reflect the actual economic value that will be realized by the named executive officer upon the settlement of such stock awards or the sale of the common stock issuable upon the settlement of such stock awards.</w:t>
      </w:r>
    </w:p>
    <w:p>
      <w:pPr>
        <w:spacing w:after="0" w:line="5"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Session is also a member of our Board of Directors, but did not receive any additional compensation in his capacity as a director.</w:t>
      </w:r>
    </w:p>
    <w:p>
      <w:pPr>
        <w:spacing w:after="0" w:line="9" w:lineRule="exact"/>
        <w:rPr>
          <w:rFonts w:ascii="Arial" w:cs="Arial" w:eastAsia="Arial" w:hAnsi="Arial"/>
          <w:sz w:val="18"/>
          <w:szCs w:val="18"/>
          <w:color w:val="auto"/>
        </w:rPr>
      </w:pPr>
    </w:p>
    <w:p>
      <w:pPr>
        <w:ind w:left="540" w:right="80"/>
        <w:spacing w:after="0" w:line="250" w:lineRule="auto"/>
        <w:rPr>
          <w:rFonts w:ascii="Arial" w:cs="Arial" w:eastAsia="Arial" w:hAnsi="Arial"/>
          <w:sz w:val="18"/>
          <w:szCs w:val="18"/>
          <w:color w:val="auto"/>
        </w:rPr>
      </w:pPr>
      <w:r>
        <w:rPr>
          <w:rFonts w:ascii="Arial" w:cs="Arial" w:eastAsia="Arial" w:hAnsi="Arial"/>
          <w:sz w:val="18"/>
          <w:szCs w:val="18"/>
          <w:color w:val="auto"/>
        </w:rPr>
        <w:t>Mr. Session’s employment commenced with us in April 2020. The 2020 salary reported reflects the pro rata portion of Mr. Session’s annual salary earned during 2020 from commencement of his employment through December 31, 2020.</w:t>
      </w: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 holiday meal stipend.</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Alam’s employment with us commenced in August 2020. The 2020 salary reported reflects the pro rata portion of Mr. Alam’s annual salary earned during 2020 from commencement of his employment through December 31, 2020.</w:t>
      </w:r>
    </w:p>
    <w:p>
      <w:pPr>
        <w:ind w:left="540" w:right="24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 a reimbursement of $107,021 for out-of-pocket expenses associated with Mr. Alam repaying his sign-on bonus to his former employer and related gross-up payment in the amount of $106,560 to cover Mr. Alam’s tax liability with respect to such reimbursement, (b) a reimbursement of $63,714 for certain out-of-pocket indemnification expenses associated with Mr. Alam’s resignation from his former employer and related gross-up payment in the amount of $52,704 to cover Mr. Alam’s tax liability with respect to such reimbursement and (c) a holiday meal stipend of $154.</w:t>
      </w:r>
    </w:p>
    <w:p>
      <w:pPr>
        <w:spacing w:after="0" w:line="1" w:lineRule="exact"/>
        <w:rPr>
          <w:rFonts w:ascii="Arial" w:cs="Arial" w:eastAsia="Arial" w:hAnsi="Arial"/>
          <w:sz w:val="18"/>
          <w:szCs w:val="18"/>
          <w:color w:val="auto"/>
        </w:rPr>
      </w:pPr>
    </w:p>
    <w:p>
      <w:pPr>
        <w:ind w:left="540" w:right="320" w:hanging="424"/>
        <w:spacing w:after="0" w:line="26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Prasad’s employment with us commenced in June 2020. The 2020 salary reported reflects the pro rata portion of Dr. Prasad’s annual salary earned during 2020 from commencement of his employment through December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Compensation Committee of our Board of Directors has historically determined our executives’ compensation, including the compensation of our named executive officers. Our Compensation Committee typically reviews and discusses management’s proposed compensation with the Chief Executive Officer for all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executives other than the Chief Executive Officer. Based on those discussions and its discretion, the Compensation Committee then approves the compensation of each executive officer without members of management present.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left="120" w:right="440"/>
        <w:spacing w:after="0" w:line="273" w:lineRule="auto"/>
        <w:rPr>
          <w:sz w:val="20"/>
          <w:szCs w:val="20"/>
          <w:color w:val="auto"/>
        </w:rPr>
      </w:pPr>
      <w:r>
        <w:rPr>
          <w:rFonts w:ascii="Arial" w:cs="Arial" w:eastAsia="Arial" w:hAnsi="Arial"/>
          <w:sz w:val="17"/>
          <w:szCs w:val="17"/>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named executive officer’s individual performance.</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Prior to our initial public offering, Mr. Session’s executive employment agreement provided for an annual base salary of $450,000, Mr. Alam’s offer letter provided for an annual base salary of $350,000 and Dr. Prasad’s offer letter provided for an annual base salary of $420,000. In connection with our initial public offering in September 2020, the Compensation Committee approved base salaries of $542,800, $390,000 and $432,600 for each of Messrs. Session and Alam and Dr. Prasad,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named executive officers are eligible to receive annual incentive compensation based on the satisfaction of individual and corporate performance objectives established by the Board of Directors. Each named executive officer has a target annual incentive opportunity, calculated as a percentage of annual base salary, and may earn more or less than the target amount based on our company’s and his individual performance. For 2020, the target annual incentive opportunities as a percentage of base salary for our named executive officers were 50% for Mr. Session and 40% for each of Mr. Alam and Dr. Prasad. The amounts of any annual incentives earned are determined after the end of the year, based on the achievement of the designated corporate and individual performance objectives, and may be paid in cash or equity. The Compensation Committee determined that the percentage attainment of our corporate goals for 2020 was 150% and approved individual performance achievement payouts for each named executive officer in the amounts reflected in the column of the Summary Compensation Table above entitled “Non-Equity Incentive Plan Compensation.”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 Following the completion of our initial public offering, we grant all equity awards pursuant to our 2020 Stock Incentive Plan.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2020.</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100" w:type="dxa"/>
            <w:vAlign w:val="bottom"/>
            <w:gridSpan w:val="4"/>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94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9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9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Stock That Have</w:t>
            </w:r>
          </w:p>
        </w:tc>
        <w:tc>
          <w:tcPr>
            <w:tcW w:w="0" w:type="dxa"/>
            <w:vAlign w:val="bottom"/>
          </w:tcPr>
          <w:p>
            <w:pPr>
              <w:spacing w:after="0"/>
              <w:rPr>
                <w:sz w:val="1"/>
                <w:szCs w:val="1"/>
                <w:color w:val="auto"/>
              </w:rPr>
            </w:pPr>
          </w:p>
        </w:tc>
      </w:tr>
      <w:tr>
        <w:trPr>
          <w:trHeight w:val="148"/>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Not Vested</w:t>
            </w:r>
          </w:p>
        </w:tc>
        <w:tc>
          <w:tcPr>
            <w:tcW w:w="0" w:type="dxa"/>
            <w:vAlign w:val="bottom"/>
          </w:tcPr>
          <w:p>
            <w:pPr>
              <w:spacing w:after="0"/>
              <w:rPr>
                <w:sz w:val="1"/>
                <w:szCs w:val="1"/>
                <w:color w:val="auto"/>
              </w:rPr>
            </w:pPr>
          </w:p>
        </w:tc>
      </w:tr>
      <w:tr>
        <w:trPr>
          <w:trHeight w:val="158"/>
        </w:trPr>
        <w:tc>
          <w:tcPr>
            <w:tcW w:w="702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 Session II</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769,058</w:t>
            </w: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20,410,799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Kamran Alam</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331,121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8,787,951</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Suyash Prasad, M.B.B.S, F.F.P.M.</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668,745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17,748,492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5" w:lineRule="exact"/>
        <w:rPr>
          <w:sz w:val="20"/>
          <w:szCs w:val="20"/>
          <w:color w:val="auto"/>
        </w:rPr>
      </w:pPr>
    </w:p>
    <w:p>
      <w:pPr>
        <w:ind w:left="1080" w:right="6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value of our common stock is based on the closing price of our common stock on the Nasdaq Global Select Market on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retirement or deferred compensation plan sponsored by us during 2020 other than our 401(k) plan described below. During 2020, our named executive officers were eligible to participate in our employee benefit plans on the same basis offered to our employees generally, including health insurance and group life insurance benefits. We maintain a 401(k) plan that is intended to qualify as a tax-qualified plan under Section 401 of the U.S. Internal Revenue Code of 1986, as amended, or the Code, which our named executive officers are eligible to participate in on the same basis as our other employees. We generally do not provide perquisites or personal benefits except in very limited circumstances, and we did not provide any perquisites to our named executive officers in 2020. We provided $329,999 in personal benefits to Mr. Alam in 2020 in connection with his hiring for reimbursement of out-of-pocket indemnification expenses paid to his former employer and expenses associated with Mr. Alam repaying his sign-on bonus to his former employer and related tax gross-up payments.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Employment Agreement with Mr. Session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entered into an amended and restated executive employment agreement with Mr. Session, which reflects an initial annual base salary of</w:t>
      </w:r>
    </w:p>
    <w:p>
      <w:pPr>
        <w:spacing w:after="0" w:line="35" w:lineRule="exact"/>
        <w:rPr>
          <w:sz w:val="20"/>
          <w:szCs w:val="20"/>
          <w:color w:val="auto"/>
        </w:rPr>
      </w:pPr>
    </w:p>
    <w:p>
      <w:pPr>
        <w:ind w:left="120" w:right="200"/>
        <w:spacing w:after="0" w:line="323" w:lineRule="auto"/>
        <w:rPr>
          <w:sz w:val="20"/>
          <w:szCs w:val="20"/>
          <w:color w:val="auto"/>
        </w:rPr>
      </w:pPr>
      <w:r>
        <w:rPr>
          <w:rFonts w:ascii="Arial" w:cs="Arial" w:eastAsia="Arial" w:hAnsi="Arial"/>
          <w:sz w:val="16"/>
          <w:szCs w:val="16"/>
          <w:color w:val="auto"/>
        </w:rPr>
        <w:t>$542,800, which is subject to adjustment at the discretion of our Board of Directors, and an annual bonus target equal to 50% of Mr. Session’s annual base salary to be awarded based upon the achievement of individual and company performance goals as determined by our Board of Directors.</w:t>
      </w:r>
    </w:p>
    <w:p>
      <w:pPr>
        <w:spacing w:after="0" w:line="13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Pursuant to the amended and restated executive employment agreement, 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w:t>
      </w:r>
    </w:p>
    <w:p>
      <w:pPr>
        <w:spacing w:after="0" w:line="2"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Mr. Session’s execution of and compliance with an effective and irrevocable general release, compliance with certain non-competition and non-solicitation obligations, resignation from all positions with us and return of all our property. The amended and restated executive employment agreement further provides that Mr. Session is entitled to the severance benefits described in “—Potential Payments Upon Termination or Change in Control” below.</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Offer Letters with Mr. Alam and Dr. Prasad</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have entered into amended and restated offer letters with each of Mr. Alam and Dr. Prasad. For Dr. Prasad, the amended and restated offer letter reflects an initial annual base salary of $432,600, which is subject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adjustment at the discretion of our Board of Directors, and an annual bonus target equal to 40% of Dr. Prasad’s annual base salary to be awarded based upon the achievement of individual and company performance goals as determined by our Board of Directors. For Mr. Alam, the amended and restated offer letter reflects an initial annual base salary of $390,000, which is subject to adjustment at the discretion of our Board of Directors, and an annual bonus target equal to 40% of Mr. Alam’s annual base salary to be awarded based upon the achievement of individual and company performance goals as determined by our Board of Directors.</w:t>
      </w:r>
    </w:p>
    <w:p>
      <w:pPr>
        <w:spacing w:after="0" w:line="18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Pursuant to the amended and restated offer letters, if we terminate Dr. Prasad’s or Mr. Alam’s employment without “cause,” or if Dr. Prasad or Mr. Alam terminates his employment for “good reason” (each, as defined in such executive’s amended and restated offer letter), he will be entitled to continued payment of his base salary for 12 months. Such severance benefits are conditioned upon the executive’s execution of and compliance with an effective and irrevocable general release, compliance with certain non-competition and non-solicitation obligations, resignation from all positions with us and return of all our property. The amended and restated offer letters further provide that Dr. Prasad and Mr. Alam are entitled to the severance benefits described in “—Potential Payments Upon Termination or Change in Control”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Each of our named executive officers is eligible to receive severance benefits under the terms of our Change in Control Severance Plan adopted by the Board of Directors in September 2020.</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Change in Control Severance Plan provides for severance benefits upon a “covered termination” that occurs during a “change in control period” (each as described below). Upon a covered termination that occurs during a change in control period, participants will be entitled to a lump sum payment equal to the participant’s base salary for a specified period (18 months for Mr. Session and 12 months for each of Mr. Alam and Dr. Prasad), a lump sum payment equal to a multiple of the participant’s target annual bonus (150% for Mr. Session and 100% for each of Mr. Alam and Dr. Prasad), payment of continued group health benefits for a period of months (18 months for Mr. Session and 12 months for each of Mr. Alam and Dr. Prasad) and full accelerated vesting of all outstanding equity awards (including performance-based awards, which shall vest at 100% of target).</w:t>
      </w:r>
    </w:p>
    <w:p>
      <w:pPr>
        <w:spacing w:after="0" w:line="16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All severance benefits under the Change in Control Severance Plan are subject to the participant’s execution of an effective release of claims against the company and compliance with the terms of any confidential information agreement, proprietary information and inventions agreement and any other agreement between the participant and the Company. For purposes of the Change in Control Severance Plan, a “covered termination” is a termination of employment by the Company without “cause,” as defined in the Change in Control Severance Plan, or as a result of the participant’s resignation for “good reason,” as defined in the Change in Control Severance Plan, in either case, not as a result of death or disability. For purposes of the Change in Control Severance Plan, a “change in control period” is the period of time beginning on the date on which a “change in control,” as defined in the 2020 Stock Incentive Plan, becomes effective (or, in the case of Mr. Session, the period beginning three months prior to the date on which a change in control becomes effective) and ending on the first anniversary of the effective date of such change in control.</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following table shows for the fiscal year ended December 31, 2020 certain information with respect to the compensation of our non-employee directors. RA Session II, our President and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Fees Earned or</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920" w:type="dxa"/>
            <w:vAlign w:val="bottom"/>
            <w:gridSpan w:val="2"/>
            <w:vMerge w:val="continue"/>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4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(1)(2)</w:t>
            </w:r>
          </w:p>
        </w:tc>
        <w:tc>
          <w:tcPr>
            <w:tcW w:w="46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Claire Aldridge, Ph.D.</w:t>
            </w:r>
            <w:r>
              <w:rPr>
                <w:rFonts w:ascii="Arial" w:cs="Arial" w:eastAsia="Arial" w:hAnsi="Arial"/>
                <w:sz w:val="15"/>
                <w:szCs w:val="15"/>
                <w:color w:val="auto"/>
              </w:rPr>
              <w:t>(3)</w:t>
            </w:r>
          </w:p>
        </w:tc>
        <w:tc>
          <w:tcPr>
            <w:tcW w:w="9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Phillip B. Donenberg</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14,808</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519,079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533,887</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 Manning</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11,577</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432,140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443,717</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14,135</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518,916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533,051</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P. Nolan</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24,435</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432,140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456,575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Kathleen Reape, M.D.</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4,071</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430,484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434,555</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Sepp-Lorenzino, Ph.D.</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4,437</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430,484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5" w:lineRule="exact"/>
        <w:rPr>
          <w:sz w:val="20"/>
          <w:szCs w:val="20"/>
          <w:color w:val="auto"/>
        </w:rPr>
      </w:pPr>
    </w:p>
    <w:p>
      <w:pPr>
        <w:ind w:left="1080" w:right="60" w:hanging="532"/>
        <w:spacing w:after="0" w:line="26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the stock options granted under our 2020 Stock Incentive Plan or our 2020 Equity Incentive Plan, computed in accordance with ASC Topic 718. The assumptions we used in valuing options are described in Note 8 to our consolidated financial statements included in our Annual Report on Form 10-K (File No. 001-39536) filed with the SEC on March 3, 2021. This amount does not reflect the actual economic value that may be realized by such director.</w:t>
      </w:r>
    </w:p>
    <w:p>
      <w:pPr>
        <w:spacing w:after="0" w:line="1" w:lineRule="exact"/>
        <w:rPr>
          <w:rFonts w:ascii="Arial" w:cs="Arial" w:eastAsia="Arial" w:hAnsi="Arial"/>
          <w:sz w:val="17"/>
          <w:szCs w:val="17"/>
          <w:color w:val="auto"/>
        </w:rPr>
      </w:pPr>
    </w:p>
    <w:p>
      <w:pPr>
        <w:ind w:left="1080" w:right="40" w:hanging="532"/>
        <w:spacing w:after="0" w:line="260"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below shows the aggregate number of option awards outstanding for each of our directors who is not a named executive officer, as of December 31, 2020:</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00" w:type="dxa"/>
            <w:vAlign w:val="bottom"/>
            <w:vMerge w:val="restart"/>
          </w:tcPr>
          <w:p>
            <w:pPr>
              <w:spacing w:after="0"/>
              <w:rPr>
                <w:sz w:val="12"/>
                <w:szCs w:val="12"/>
                <w:color w:val="auto"/>
              </w:rPr>
            </w:pPr>
          </w:p>
        </w:tc>
        <w:tc>
          <w:tcPr>
            <w:tcW w:w="39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Claire Aldridge, Ph.D.</w:t>
            </w:r>
          </w:p>
        </w:tc>
        <w:tc>
          <w:tcPr>
            <w:tcW w:w="3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Phillip B. Donenberg</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39,171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 Manning</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39,171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P. Nolan</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Kathleen Reape, M.D.</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Sepp-Lorenzino, Ph.D.</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Aldridge resigned from our Board of Directors in July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Board of Directors has adopted a Non-Employee Director Compensation Policy, pursuant to which each of our directors who is not an employee or consultant of our company is eligible to receive compensation for service on our Board of Directors and committees of our Board of Directors.</w:t>
      </w:r>
    </w:p>
    <w:p>
      <w:pPr>
        <w:spacing w:after="0" w:line="12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Each eligible director will receive an annual cash retainer of $35,000 for serving on our Board of Directors, and the independent chairperson of the Board of Directors will receive an additional annual cash retainer of $30,000 for his or her service. The chairperson of the Audit Committee of our Board of Directors will be entitled to an additional annual cash retainer of $15,000, the chairperson of the Compensation Committee of our Board of Directors will be entitled to an additional annual cash retainer of $10,000 and the chairperson of the Nominating and Corporate Governance Committee of our Board of Directors will be entitled to an additional annual cash retainer of $8,000. The members of the Audit Committee of our Board of Directors will be entitled to an additional annual cash retainer of $7,500, the members of the Compensation Committee of our Board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Directors will be entitled to an additional annual cash retainer of $5,000 and the members of the Nominating and Corporate Governance Committee of our Board of Directors will be entitled to an additional annual cash retainer of $4,000; however, in each case such cash retainer is payable only to members who are not the chairperson of such committee.</w:t>
      </w:r>
    </w:p>
    <w:p>
      <w:pPr>
        <w:spacing w:after="0" w:line="184"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In addition, upon the pricing of our initial public offering, each eligible director was granted a non-statutory stock option to purchase 31,000 shares of our common stock at the initial public offering price under our 2020 Stock Incentive Plan, with the shares vesting in 36 equal monthly installments, subject to continued service as a director through each vesting date. Each new eligible director who joins our Board of Directors will be granted</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a non-statutory stock option to purchase 31,000 shares of our common stock under our 2020 Stock Incentive Plan, with the shares vesting in 36 equal monthly installments, subject to continued service as a director through each vesting date.</w:t>
      </w:r>
    </w:p>
    <w:p>
      <w:pPr>
        <w:spacing w:after="0" w:line="185"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will be granted a non-statutory stock option to purchase 15,500 shares of our common stock under our 2020 Stock Incentive Plan, with the shares vesting on the earlier of the first anniversary of the date of grant or the next annual stockholders meeting, subject to continued service as a director though the applicable vesting date.</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option awarded to eligible directors under the Non-Employee Director Compensation Policy will be subject to accelerated vesting upon a Change in Control (as defined in the 2020 Stock Incentive Plan).</w:t>
      </w:r>
    </w:p>
    <w:p>
      <w:pPr>
        <w:spacing w:after="0" w:line="170"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exercise price per share of each stock option granted under the Non-Employee Director Compensation Policy will be equal to the closing price of our common stock on the Nasdaq Global Select Market on the date of grant. Each stock option will have a term of ten years from the date of grant, subject to earlier termination in connection with a termination of the eligible director’s continuous service with us (provided that upon a termination of service other than for death, disability or cause, the post-termination exercise period will be 12 months from the date of termination).</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9" w:right="5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UTHORIZED FOR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 provides certain information with respect to our equity incentive plans, which were our only equity compensation plans in effect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jc w:val="center"/>
              <w:ind w:right="164"/>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2"/>
            <w:vMerge w:val="restart"/>
          </w:tcPr>
          <w:p>
            <w:pPr>
              <w:jc w:val="center"/>
              <w:ind w:right="924"/>
              <w:spacing w:after="0"/>
              <w:rPr>
                <w:sz w:val="20"/>
                <w:szCs w:val="20"/>
                <w:color w:val="auto"/>
              </w:rPr>
            </w:pPr>
            <w:r>
              <w:rPr>
                <w:rFonts w:ascii="Arial" w:cs="Arial" w:eastAsia="Arial" w:hAnsi="Arial"/>
                <w:sz w:val="14"/>
                <w:szCs w:val="14"/>
                <w:b w:val="1"/>
                <w:bCs w:val="1"/>
                <w:color w:val="auto"/>
                <w:w w:val="91"/>
              </w:rPr>
              <w:t>Number of securities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60" w:type="dxa"/>
            <w:vAlign w:val="bottom"/>
            <w:gridSpan w:val="2"/>
            <w:vMerge w:val="restart"/>
          </w:tcPr>
          <w:p>
            <w:pPr>
              <w:jc w:val="center"/>
              <w:ind w:right="924"/>
              <w:spacing w:after="0"/>
              <w:rPr>
                <w:sz w:val="20"/>
                <w:szCs w:val="20"/>
                <w:color w:val="auto"/>
              </w:rPr>
            </w:pPr>
            <w:r>
              <w:rPr>
                <w:rFonts w:ascii="Arial" w:cs="Arial" w:eastAsia="Arial" w:hAnsi="Arial"/>
                <w:sz w:val="14"/>
                <w:szCs w:val="14"/>
                <w:b w:val="1"/>
                <w:bCs w:val="1"/>
                <w:color w:val="auto"/>
                <w:w w:val="91"/>
              </w:rPr>
              <w:t>Weighted-average</w:t>
            </w: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2"/>
          </w:tcPr>
          <w:p>
            <w:pPr>
              <w:jc w:val="center"/>
              <w:ind w:right="924"/>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2260" w:type="dxa"/>
            <w:vAlign w:val="bottom"/>
            <w:gridSpan w:val="2"/>
            <w:vMerge w:val="continue"/>
          </w:tcPr>
          <w:p>
            <w:pPr>
              <w:spacing w:after="0"/>
              <w:rPr>
                <w:sz w:val="12"/>
                <w:szCs w:val="12"/>
                <w:color w:val="auto"/>
              </w:rPr>
            </w:pP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2"/>
          </w:tcPr>
          <w:p>
            <w:pPr>
              <w:jc w:val="center"/>
              <w:ind w:right="904"/>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2260" w:type="dxa"/>
            <w:vAlign w:val="bottom"/>
            <w:gridSpan w:val="2"/>
          </w:tcPr>
          <w:p>
            <w:pPr>
              <w:jc w:val="center"/>
              <w:ind w:right="924"/>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2"/>
          </w:tcPr>
          <w:p>
            <w:pPr>
              <w:jc w:val="center"/>
              <w:ind w:right="924"/>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260" w:type="dxa"/>
            <w:vAlign w:val="bottom"/>
            <w:gridSpan w:val="2"/>
          </w:tcPr>
          <w:p>
            <w:pPr>
              <w:jc w:val="center"/>
              <w:ind w:right="924"/>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20" w:type="dxa"/>
            <w:vAlign w:val="bottom"/>
            <w:gridSpan w:val="2"/>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600" w:type="dxa"/>
            <w:vAlign w:val="bottom"/>
            <w:gridSpan w:val="2"/>
            <w:vMerge w:val="restart"/>
          </w:tcPr>
          <w:p>
            <w:pPr>
              <w:spacing w:after="0"/>
              <w:rPr>
                <w:sz w:val="12"/>
                <w:szCs w:val="12"/>
                <w:color w:val="auto"/>
              </w:rPr>
            </w:pPr>
          </w:p>
        </w:tc>
        <w:tc>
          <w:tcPr>
            <w:tcW w:w="2280" w:type="dxa"/>
            <w:vAlign w:val="bottom"/>
            <w:gridSpan w:val="2"/>
          </w:tcPr>
          <w:p>
            <w:pPr>
              <w:jc w:val="center"/>
              <w:ind w:right="904"/>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260" w:type="dxa"/>
            <w:vAlign w:val="bottom"/>
            <w:gridSpan w:val="2"/>
          </w:tcPr>
          <w:p>
            <w:pPr>
              <w:jc w:val="center"/>
              <w:ind w:right="924"/>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2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2280" w:type="dxa"/>
            <w:vAlign w:val="bottom"/>
            <w:gridSpan w:val="2"/>
          </w:tcPr>
          <w:p>
            <w:pPr>
              <w:jc w:val="center"/>
              <w:ind w:right="924"/>
              <w:spacing w:after="0" w:line="158" w:lineRule="exact"/>
              <w:rPr>
                <w:sz w:val="20"/>
                <w:szCs w:val="20"/>
                <w:color w:val="auto"/>
              </w:rPr>
            </w:pPr>
            <w:r>
              <w:rPr>
                <w:rFonts w:ascii="Arial" w:cs="Arial" w:eastAsia="Arial" w:hAnsi="Arial"/>
                <w:sz w:val="14"/>
                <w:szCs w:val="14"/>
                <w:b w:val="1"/>
                <w:bCs w:val="1"/>
                <w:color w:val="auto"/>
                <w:w w:val="93"/>
              </w:rPr>
              <w:t>(a)</w:t>
            </w:r>
          </w:p>
        </w:tc>
        <w:tc>
          <w:tcPr>
            <w:tcW w:w="2260" w:type="dxa"/>
            <w:vAlign w:val="bottom"/>
            <w:gridSpan w:val="2"/>
          </w:tcPr>
          <w:p>
            <w:pPr>
              <w:jc w:val="center"/>
              <w:ind w:right="924"/>
              <w:spacing w:after="0" w:line="158" w:lineRule="exact"/>
              <w:rPr>
                <w:sz w:val="20"/>
                <w:szCs w:val="20"/>
                <w:color w:val="auto"/>
              </w:rPr>
            </w:pPr>
            <w:r>
              <w:rPr>
                <w:rFonts w:ascii="Arial" w:cs="Arial" w:eastAsia="Arial" w:hAnsi="Arial"/>
                <w:sz w:val="14"/>
                <w:szCs w:val="14"/>
                <w:b w:val="1"/>
                <w:bCs w:val="1"/>
                <w:color w:val="auto"/>
              </w:rPr>
              <w:t>(b)</w:t>
            </w:r>
          </w:p>
        </w:tc>
        <w:tc>
          <w:tcPr>
            <w:tcW w:w="1520" w:type="dxa"/>
            <w:vAlign w:val="bottom"/>
            <w:gridSpan w:val="2"/>
          </w:tcPr>
          <w:p>
            <w:pPr>
              <w:jc w:val="center"/>
              <w:ind w:right="164"/>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3,524,895</w:t>
            </w:r>
          </w:p>
        </w:tc>
        <w:tc>
          <w:tcPr>
            <w:tcW w:w="1000" w:type="dxa"/>
            <w:vAlign w:val="bottom"/>
            <w:tcBorders>
              <w:top w:val="single" w:sz="8" w:color="CCEEFF"/>
            </w:tcBorders>
            <w:shd w:val="clear" w:color="auto" w:fill="CCEEFF"/>
          </w:tcPr>
          <w:p>
            <w:pPr>
              <w:jc w:val="right"/>
              <w:ind w:right="744"/>
              <w:spacing w:after="0"/>
              <w:rPr>
                <w:sz w:val="20"/>
                <w:szCs w:val="20"/>
                <w:color w:val="auto"/>
              </w:rPr>
            </w:pPr>
            <w:r>
              <w:rPr>
                <w:rFonts w:ascii="Arial" w:cs="Arial" w:eastAsia="Arial" w:hAnsi="Arial"/>
                <w:sz w:val="15"/>
                <w:szCs w:val="15"/>
                <w:color w:val="auto"/>
                <w:w w:val="87"/>
              </w:rPr>
              <w:t>(1)</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3.96</w:t>
            </w:r>
          </w:p>
        </w:tc>
        <w:tc>
          <w:tcPr>
            <w:tcW w:w="1000" w:type="dxa"/>
            <w:vAlign w:val="bottom"/>
            <w:tcBorders>
              <w:top w:val="single" w:sz="8" w:color="CCEEFF"/>
            </w:tcBorders>
            <w:shd w:val="clear" w:color="auto" w:fill="CCEEFF"/>
          </w:tcPr>
          <w:p>
            <w:pPr>
              <w:jc w:val="right"/>
              <w:ind w:right="744"/>
              <w:spacing w:after="0"/>
              <w:rPr>
                <w:sz w:val="20"/>
                <w:szCs w:val="20"/>
                <w:color w:val="auto"/>
              </w:rPr>
            </w:pPr>
            <w:r>
              <w:rPr>
                <w:rFonts w:ascii="Arial" w:cs="Arial" w:eastAsia="Arial" w:hAnsi="Arial"/>
                <w:sz w:val="15"/>
                <w:szCs w:val="15"/>
                <w:color w:val="auto"/>
                <w:w w:val="87"/>
              </w:rPr>
              <w:t>(2)</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3,303,509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02"/>
        </w:trPr>
        <w:tc>
          <w:tcPr>
            <w:tcW w:w="49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6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3,524,895</w:t>
            </w:r>
          </w:p>
        </w:tc>
        <w:tc>
          <w:tcPr>
            <w:tcW w:w="226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3.96</w:t>
            </w:r>
          </w:p>
        </w:tc>
        <w:tc>
          <w:tcPr>
            <w:tcW w:w="15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3,303,509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shares underlying options and restricted stock units granted pursuant to our 2020 Equity Incentive Plan and 2020 Stock Incentive Plan.</w:t>
      </w:r>
    </w:p>
    <w:p>
      <w:pPr>
        <w:spacing w:after="0" w:line="46"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weighted-average exercise price includes 2,850,053 shares included in column a that are issuable upon vesting of restricted stock units which have no exercise price. The weighted average exercise price of the outstanding options was $20.68 per share as of December 31, 2020.</w:t>
      </w:r>
    </w:p>
    <w:p>
      <w:pPr>
        <w:spacing w:after="0" w:line="1" w:lineRule="exact"/>
        <w:rPr>
          <w:rFonts w:ascii="Arial" w:cs="Arial" w:eastAsia="Arial" w:hAnsi="Arial"/>
          <w:sz w:val="16"/>
          <w:szCs w:val="16"/>
          <w:color w:val="auto"/>
        </w:rPr>
      </w:pPr>
    </w:p>
    <w:p>
      <w:pPr>
        <w:ind w:left="540" w:right="40" w:hanging="424"/>
        <w:spacing w:after="0" w:line="286"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our 2020 Stock Incentive Plan and 2020 Employee Stock Purchase Plan. The number of shares of our common stock reserved for issuance under our 2020 Stock Incentive Plan automatically increases on January 1 of each year, continuing through and including January 1, 2030, by 5% of the total number of shares of our common stock outstanding on December 31 of the preceding calendar year, or a lesser number of shares determined by our Board of Directors. Pursuant to this provision, we added 1,434,934 shares of common stock that are available for issuance under the 2020 Stock Incentive Plan on January 1, 2021, which is not reflected in the table above. The number of shares of our common stock reserved for issuance under our 2020 Employee Stock Purchase Plan automatically increases on January 1 of each year, continuing through and including January 1, 2030, by 1% of the total number of shares of our common stock outstanding on December 31 of the preceding calendar year, or a lesser number of shares determined by our Board of Directors. Our Board of Directors acted prior to January 1, 2021 to provide that there would be no increase in the share reserve for the 2020 Employee Stock Purchase Plan for 2021.</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ERSONS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September 2020, we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such person’s immediate family members and any entity owned or controlled by such person.</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following includes a summary of transactions since our incorporation on September 20, 2019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UT Southwestern</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November 2019, we entered into a research, collaboration and license agreement, or the UT Southwestern Agreement, with The University of Texas Southwestern Medical Center, or UT Southwestern, a beneficial owner of more than 5% of our capital stock. Claire Aldridge, Ph.D., a former member of our Board of Directors, was the Associate Vice President of Commercialization and Business Development at UT Southwestern. In accordance with the terms of, and as consideration for, the UT Southwestern Agreement, we issued 2,179,000 shares of our common stock to UT Southwestern in November 2019. We do not have any future milestone or royalty obligations to UT Southwestern under the UT Southwestern Agreement. See the section titled “Business—License Agreements—Research, Collaboration and License Agreement with the University of Texas Southwestern Medical Center” in our Annual Report on Form 10-K (File No. 001-39536) filed with the SEC on March 3, 2021, for additional information.</w:t>
      </w:r>
    </w:p>
    <w:p>
      <w:pPr>
        <w:spacing w:after="0" w:line="16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are also obligated to provide research and development funding pursuant to certain sponsored research agreements entered into beginning in April 2020 in connection with the UT Southwestern Agreement. We paid an aggregate of $3.6 million to UT Southwestern under the sponsored research agreements during the year ended December 31, 2020.</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January 2021, we launched an innovation fund with UT Southwestern, pursuant to which we support UT Southwestern’s gene therapy discovery activities. We will have an exclusive option on new programs and intellectual property associated with, and arising from, the research conducted under this arrangement.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RA Session II</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Guarantee and Security Agreement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December 2019, Mr. Session, our President and Chief Executive Officer and a member of our Board of Directors, entered into a guarantee and security agreement by and among Queen’s University at Kingston, or Queen’s University, our company and himself, pursuant to which Mr. Session has personally guaranteed payments due by us to Queen’s University in the event that we fail to fund our obligations under a research grant agreement by and between Queen’s University and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Agreement</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January 2020, Mr. Session loaned us the principal amount of approximately $1.7 million with interest accruing at a rate of 10% per annum, and we granted Mr. Session a first priority security interest in certain of our assets as collateral for the loan. We repaid Mr. Session an aggregate of approximately $1.7 million, including interest, in payments made in March 2020 and July 2020, and Mr. Session released his security interest in the collateral.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Convertible Preferred Stock Financing</w:t>
      </w:r>
    </w:p>
    <w:p>
      <w:pPr>
        <w:spacing w:after="0" w:line="117"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In March 2020, we entered into a preferred stock purchase agreement with certain investors, including beneficial owners of greater than 5% of our capital stock and affiliates of members of our Board of Directors, pursuant to which we issued and sold to such investors an aggregate of 6,000,000 shares of our Series A convertible preferred stock at a purchase price of $3.00 per share for aggregate gross proceeds of $18.0 million.</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agreement, such investors were required to purchase up to an aggregate of 4,000,000 additional shares of our Series A convertible preferred stock upon our achievement of certain milestones. Moreover, such investors had the right, in their sole discretion, to purchase any or all of such additional shares whether or not we achieved the specified milestones. In June and July 2020, such investors exercised in full their option to purchase these additional shares prior to our achievement of such milestones, and we issued and sold to such investors an aggregate of 4,000,000 shares of Series A convertible preferred stock at a purchase price of $3.00 per share for aggregate gross proceeds of $12.0 million.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aggregate number of shares of Series A convertible preferred stock issued to our related parties in this financing:</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Series A</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58"/>
        </w:trPr>
        <w:tc>
          <w:tcPr>
            <w:tcW w:w="7300" w:type="dxa"/>
            <w:vAlign w:val="bottom"/>
            <w:gridSpan w:val="2"/>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PBM TGT Holdings, LLC</w:t>
            </w:r>
            <w:r>
              <w:rPr>
                <w:rFonts w:ascii="Arial" w:cs="Arial" w:eastAsia="Arial" w:hAnsi="Arial"/>
                <w:sz w:val="15"/>
                <w:szCs w:val="15"/>
                <w:color w:val="auto"/>
              </w:rPr>
              <w:t>(1)</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8,166,667</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24,500,001.00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Nolan Capital, LLC</w:t>
            </w:r>
            <w:r>
              <w:rPr>
                <w:rFonts w:ascii="Arial" w:cs="Arial" w:eastAsia="Arial" w:hAnsi="Arial"/>
                <w:sz w:val="15"/>
                <w:szCs w:val="15"/>
                <w:color w:val="auto"/>
              </w:rPr>
              <w:t>(2)</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1,000,000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762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40" w:lineRule="exact"/>
        <w:rPr>
          <w:sz w:val="20"/>
          <w:szCs w:val="20"/>
          <w:color w:val="auto"/>
        </w:rPr>
      </w:pPr>
    </w:p>
    <w:p>
      <w:pPr>
        <w:ind w:left="1080" w:right="80" w:hanging="532"/>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and a holder of more than 5% of our capital stock, is the Chief Executive Officer of PBM Capital Group, LLC and has sole voting and investment power with respect to the shares held by PBM TGT Holdings,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w:t>
      </w:r>
    </w:p>
    <w:p>
      <w:pPr>
        <w:spacing w:after="0" w:line="3"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Sean P. Nolan, the Chairman of our Board of Directors, is the President of Nolan Capital, LLC.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 Convertible Preferred Stock Financing</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5,647,048 shares of our Series B convertible preferred stock at a purchase price of $17.00 per share for aggregate gross proceeds of $96.0 million. The financing closed in July and August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below sets forth the aggregate number of shares of Series B convertible preferred stock issued to our related parties in this financing:</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Series B</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58"/>
        </w:trPr>
        <w:tc>
          <w:tcPr>
            <w:tcW w:w="7300" w:type="dxa"/>
            <w:vAlign w:val="bottom"/>
            <w:gridSpan w:val="2"/>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FMR, LLC</w:t>
            </w:r>
            <w:r>
              <w:rPr>
                <w:rFonts w:ascii="Arial" w:cs="Arial" w:eastAsia="Arial" w:hAnsi="Arial"/>
                <w:sz w:val="15"/>
                <w:szCs w:val="15"/>
                <w:color w:val="auto"/>
              </w:rPr>
              <w:t>(1)</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1,705,882</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28,999,994.00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PBM Capital Group, LLC</w:t>
            </w:r>
            <w:r>
              <w:rPr>
                <w:rFonts w:ascii="Arial" w:cs="Arial" w:eastAsia="Arial" w:hAnsi="Arial"/>
                <w:sz w:val="15"/>
                <w:szCs w:val="15"/>
                <w:color w:val="auto"/>
              </w:rPr>
              <w:t>(2)</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117,647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1,999,999.00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Sukumar Nagendran, M.D.</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17,647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299,999.00</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Suyash Prasad, M.B.B.S., F.F.P.M</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3,529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59,993.00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Nolan Capital, LLC</w:t>
            </w:r>
            <w:r>
              <w:rPr>
                <w:rFonts w:ascii="Arial" w:cs="Arial" w:eastAsia="Arial" w:hAnsi="Arial"/>
                <w:sz w:val="15"/>
                <w:szCs w:val="15"/>
                <w:color w:val="auto"/>
              </w:rPr>
              <w:t>(3)</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5"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Entities affiliated with FMR, LLC collectively hold more than 5% of our capital stock.</w:t>
      </w:r>
    </w:p>
    <w:p>
      <w:pPr>
        <w:spacing w:after="0" w:line="23" w:lineRule="exact"/>
        <w:rPr>
          <w:rFonts w:ascii="Arial" w:cs="Arial" w:eastAsia="Arial" w:hAnsi="Arial"/>
          <w:sz w:val="18"/>
          <w:szCs w:val="18"/>
          <w:color w:val="auto"/>
        </w:rPr>
      </w:pPr>
    </w:p>
    <w:p>
      <w:pPr>
        <w:ind w:left="1080" w:right="80" w:hanging="532"/>
        <w:spacing w:after="0" w:line="250"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and a holder of more than 5% of our capital stock, is the Chief Executive Officer of PBM Capital Group, LLC.</w:t>
      </w: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Sean P. Nolan, the Chairman of our Board of Directors, is the President of Nolan Capital, LLC.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PBM Capital Group, LLC</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March 2020, we entered into a services agreement with PBM Capital Group, LLC, or the PBM Services Agreement. Under the PBM Services Agreement,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 We paid PBM Capital Group, LLC an aggregate of $127,000, which includes certain passthrough costs under the PBM Services Agreement, during the year ended December 31,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agreements with our named executive officers, see “Executive Compensation—Employment Agreements with our Named Executive Officers.”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also employ Patrick Nolan as our Business Development Manager. Patrick Nolan is the son of Sean P. Nolan, the Chairman of our Board of Directors. We expect that total compensation for Patrick Nolan will exceed $120,000 in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provide indemnification for our directors and executive officers so that they will be free from undue concern about personal liability in connection with their service to our company. Under our amended and restated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to which he or she is or may be made a party by reason of his or her position as a director, officer or other agent of our company, and otherwise to the fullest extent permitted under Delaware law and our amended and restated bylaws.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OUSEHOLDING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ROXY</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This year, a number of 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Taysha Gene Therapies, Inc., Attention: Corporate Secretary, 3000 Pegasus Park Drive, Suite 1430, Dallas, Texas 75247. Stockholders who currently receive multiple copies of the Annual Meeting materials at their addresses and would like to request “householding” of their communications should contact their brokers.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071880" cy="522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718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Timothy J. Douros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29, 2021</w:t>
      </w:r>
    </w:p>
    <w:p>
      <w:pPr>
        <w:spacing w:after="0" w:line="221"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A copy of the Company’s Annual Report to the Securities and Exchange Commission on Form 10-K for the fiscal year ended December 31, 2020 is available without charge upon written request to: Taysha Gene Therapies, Inc., Attention: Corporate Secretary, Taysha Gene Therapies, Inc., 3000 Pegasus Park Drive, Suite 1430, Dallas, Texas 75247.</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80"/>
          </w:cols>
          <w:pgMar w:left="320" w:top="459" w:right="79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7200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928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5666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9285" cy="5666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2021-04-29T17:23:52Z</dcterms:created>
  <dcterms:modified xsi:type="dcterms:W3CDTF">2021-04-29T17:23:52Z</dcterms:modified>
</cp:coreProperties>
</file>