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0001569926</w:t>
            </w: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TAYSHA GENE THERAPIES,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001-39536</w:t>
            </w: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3000 PEGASUS PARK DRIVE</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6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1430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6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6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75247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214-612-0000</w:t>
            </w: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Sean P. Nolan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44"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2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6"/>
              </w:rPr>
              <w:t>Name and Address of</w:t>
            </w:r>
          </w:p>
        </w:tc>
        <w:tc>
          <w:tcPr>
            <w:tcW w:w="0" w:type="dxa"/>
            <w:vAlign w:val="bottom"/>
          </w:tcPr>
          <w:p>
            <w:pPr>
              <w:spacing w:after="0"/>
              <w:rPr>
                <w:sz w:val="1"/>
                <w:szCs w:val="1"/>
                <w:color w:val="auto"/>
              </w:rPr>
            </w:pPr>
          </w:p>
        </w:tc>
      </w:tr>
      <w:tr>
        <w:trPr>
          <w:trHeight w:val="286"/>
        </w:trPr>
        <w:tc>
          <w:tcPr>
            <w:tcW w:w="2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28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 LLC</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2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Avenue, 16th</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3"/>
              </w:rPr>
              <w:t>168078</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855517.02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273919373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20"/>
            <w:col w:w="636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00"/>
            <w:col w:w="820" w:space="48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 01/23/2026 RSU 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168078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Vested grant</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settled in stock;</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consideration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01/23/2026 Reporting Person's</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continued service</w:t>
      </w:r>
    </w:p>
    <w:p>
      <w:pPr>
        <w:spacing w:after="0" w:line="1" w:lineRule="exact"/>
        <w:rPr>
          <w:sz w:val="20"/>
          <w:szCs w:val="20"/>
          <w:color w:val="auto"/>
        </w:rPr>
      </w:pPr>
    </w:p>
    <w:p>
      <w:pPr>
        <w:sectPr>
          <w:pgSz w:w="11900" w:h="16838" w:orient="portrait"/>
          <w:cols w:equalWidth="0" w:num="4">
            <w:col w:w="3600" w:space="660"/>
            <w:col w:w="2220" w:space="720"/>
            <w:col w:w="660" w:space="640"/>
            <w:col w:w="2740"/>
          </w:cols>
          <w:pgMar w:left="320" w:top="108" w:right="339" w:bottom="1440" w:gutter="0" w:footer="0" w:header="0"/>
          <w:type w:val="continuous"/>
        </w:sectPr>
      </w:pPr>
    </w:p>
    <w:p>
      <w:pPr>
        <w:ind w:left="9540"/>
        <w:spacing w:after="0" w:line="221" w:lineRule="auto"/>
        <w:rPr>
          <w:sz w:val="20"/>
          <w:szCs w:val="20"/>
          <w:color w:val="auto"/>
        </w:rPr>
      </w:pPr>
      <w:r>
        <w:rPr>
          <w:rFonts w:ascii="Times New Roman" w:cs="Times New Roman" w:eastAsia="Times New Roman" w:hAnsi="Times New Roman"/>
          <w:sz w:val="22"/>
          <w:szCs w:val="22"/>
          <w:color w:val="auto"/>
        </w:rPr>
        <w:t>as an employee of</w:t>
      </w:r>
    </w:p>
    <w:p>
      <w:pPr>
        <w:ind w:left="9540"/>
        <w:spacing w:after="0"/>
        <w:rPr>
          <w:sz w:val="20"/>
          <w:szCs w:val="20"/>
          <w:color w:val="auto"/>
        </w:rPr>
      </w:pPr>
      <w:r>
        <w:rPr>
          <w:rFonts w:ascii="Times New Roman" w:cs="Times New Roman" w:eastAsia="Times New Roman" w:hAnsi="Times New Roman"/>
          <w:sz w:val="22"/>
          <w:szCs w:val="22"/>
          <w:color w:val="auto"/>
        </w:rPr>
        <w:t>the Issuer.</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jc w:val="center"/>
        <w:ind w:left="960" w:right="300"/>
        <w:spacing w:after="0" w:line="195" w:lineRule="auto"/>
        <w:tabs>
          <w:tab w:leader="none" w:pos="10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Reporting Person is selling the securities set forth herein pursuant to a mandatory sell-to-cover arrangement for the purpose of satisfying income tax liabilities incurred upon vesting of restricted stock unit awards only.</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01/23/2026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Sean Nolan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2026-01-23T20:12:02Z</dcterms:created>
  <dcterms:modified xsi:type="dcterms:W3CDTF">2026-01-23T20:12:02Z</dcterms:modified>
</cp:coreProperties>
</file>